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u w:val="single"/>
        </w:rPr>
      </w:pPr>
      <w:bookmarkStart w:colFirst="0" w:colLast="0" w:name="_cmagpi21c9o7" w:id="0"/>
      <w:bookmarkEnd w:id="0"/>
      <w:r w:rsidDel="00000000" w:rsidR="00000000" w:rsidRPr="00000000">
        <w:rPr>
          <w:b w:val="1"/>
          <w:bCs w:val="1"/>
          <w:u w:val="single"/>
          <w:rtl w:val="0"/>
        </w:rPr>
        <w:t xml:space="preserve">Quantitative Trading Research Report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jc w:val="center"/>
        <w:rPr/>
      </w:pPr>
      <w:bookmarkStart w:colFirst="0" w:colLast="0" w:name="_14wx5le5yvjj" w:id="1"/>
      <w:bookmarkEnd w:id="1"/>
      <w:r w:rsidDel="00000000" w:rsidR="00000000" w:rsidRPr="00000000">
        <w:rPr>
          <w:rtl w:val="0"/>
        </w:rPr>
        <w:t xml:space="preserve">Noise-Averse Intraday Momentum Trading Strategy</w:t>
      </w:r>
    </w:p>
    <w:p w:rsidR="00000000" w:rsidDel="00000000" w:rsidP="00000000" w:rsidRDefault="00000000" w:rsidRPr="00000000" w14:paraId="00000005">
      <w:pPr>
        <w:pStyle w:val="Subtitle"/>
        <w:jc w:val="center"/>
        <w:rPr/>
      </w:pPr>
      <w:bookmarkStart w:colFirst="0" w:colLast="0" w:name="_z2w854qxvxv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/>
      </w:pPr>
      <w:bookmarkStart w:colFirst="0" w:colLast="0" w:name="_b25wjm736a0d" w:id="3"/>
      <w:bookmarkEnd w:id="3"/>
      <w:r w:rsidDel="00000000" w:rsidR="00000000" w:rsidRPr="00000000">
        <w:rPr>
          <w:rtl w:val="0"/>
        </w:rPr>
        <w:t xml:space="preserve">By: Mariceline “Ember” Querubin</w:t>
      </w:r>
    </w:p>
    <w:p w:rsidR="00000000" w:rsidDel="00000000" w:rsidP="00000000" w:rsidRDefault="00000000" w:rsidRPr="00000000" w14:paraId="00000007">
      <w:pPr>
        <w:pStyle w:val="Subtitle"/>
        <w:jc w:val="center"/>
        <w:rPr/>
      </w:pPr>
      <w:bookmarkStart w:colFirst="0" w:colLast="0" w:name="_ljz6fi41s8id" w:id="4"/>
      <w:bookmarkEnd w:id="4"/>
      <w:r w:rsidDel="00000000" w:rsidR="00000000" w:rsidRPr="00000000">
        <w:rPr>
          <w:rtl w:val="0"/>
        </w:rPr>
        <w:t xml:space="preserve">Date: 2026-07-09, Thursday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  <w:t xml:space="preserve">Purpose: To demonstrate understanding of the strategy, the market opportunity, its risk/return profile, and the controls required before any capital is allocated. This version adds the completed exit and position-sizing design (catastrophic stop + fixed-fractional risk sizing) and shows all statistics on the full 2020–2026 sample.</w:t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jrsm41o87d1b" w:id="5"/>
      <w:bookmarkEnd w:id="5"/>
      <w:r w:rsidDel="00000000" w:rsidR="00000000" w:rsidRPr="00000000">
        <w:rPr>
          <w:rtl w:val="0"/>
        </w:rPr>
        <w:t xml:space="preserve">01 - Strategy Overview</w:t>
      </w:r>
    </w:p>
    <w:p w:rsidR="00000000" w:rsidDel="00000000" w:rsidP="00000000" w:rsidRDefault="00000000" w:rsidRPr="00000000" w14:paraId="0000000E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Asset class &amp; market: </w:t>
      </w:r>
      <w:r w:rsidDel="00000000" w:rsidR="00000000" w:rsidRPr="00000000">
        <w:rPr>
          <w:rtl w:val="0"/>
        </w:rPr>
        <w:t xml:space="preserve">Crypto perpetual futures (USDT-margined), 24/7.</w:t>
      </w:r>
    </w:p>
    <w:p w:rsidR="00000000" w:rsidDel="00000000" w:rsidP="00000000" w:rsidRDefault="00000000" w:rsidRPr="00000000" w14:paraId="0000000F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Instruments used: </w:t>
      </w:r>
      <w:r w:rsidDel="00000000" w:rsidR="00000000" w:rsidRPr="00000000">
        <w:rPr>
          <w:rtl w:val="0"/>
        </w:rPr>
        <w:t xml:space="preserve">Liquid perps. Primary book: seven majors (BTC, ETH, SOL, BNB, XRP, DOGE, ADA). Research universe: full listed set (up to 741 symbols); tokenized-equity/RWA products excluded by rule.</w:t>
      </w:r>
    </w:p>
    <w:p w:rsidR="00000000" w:rsidDel="00000000" w:rsidP="00000000" w:rsidRDefault="00000000" w:rsidRPr="00000000" w14:paraId="00000010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Time horizon: </w:t>
      </w:r>
      <w:r w:rsidDel="00000000" w:rsidR="00000000" w:rsidRPr="00000000">
        <w:rPr>
          <w:rtl w:val="0"/>
        </w:rPr>
        <w:t xml:space="preserve">Intraday only — every position opens and closes within one 13:30–23:59 UTC session; zero overnight exposure.</w:t>
      </w:r>
    </w:p>
    <w:p w:rsidR="00000000" w:rsidDel="00000000" w:rsidP="00000000" w:rsidRDefault="00000000" w:rsidRPr="00000000" w14:paraId="00000011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Trading frequency: </w:t>
      </w:r>
      <w:r w:rsidDel="00000000" w:rsidR="00000000" w:rsidRPr="00000000">
        <w:rPr>
          <w:rtl w:val="0"/>
        </w:rPr>
        <w:t xml:space="preserve">Session-based; decisions at fixed half-hour marks; ~0.3 entries per asset-session after filters.</w:t>
      </w:r>
    </w:p>
    <w:p w:rsidR="00000000" w:rsidDel="00000000" w:rsidP="00000000" w:rsidRDefault="00000000" w:rsidRPr="00000000" w14:paraId="00000012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Core hypothesis &amp; market inefficiency: </w:t>
      </w:r>
      <w:r w:rsidDel="00000000" w:rsidR="00000000" w:rsidRPr="00000000">
        <w:rPr>
          <w:rtl w:val="0"/>
        </w:rPr>
        <w:t xml:space="preserve">Most intraday movement is noise around the open. A move that escapes a statistically-defined “noise area” reflects a real demand/supply imbalance that takes hours to absorb, so it tends to continue to the session close.</w:t>
      </w:r>
    </w:p>
    <w:p w:rsidR="00000000" w:rsidDel="00000000" w:rsidP="00000000" w:rsidRDefault="00000000" w:rsidRPr="00000000" w14:paraId="00000013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Why the strategy has an edge: </w:t>
      </w:r>
      <w:r w:rsidDel="00000000" w:rsidR="00000000" w:rsidRPr="00000000">
        <w:rPr>
          <w:rtl w:val="0"/>
        </w:rPr>
        <w:t xml:space="preserve">A microstructure continuation effect: imbalance-driven breakouts persist intraday. </w:t>
      </w:r>
    </w:p>
    <w:p w:rsidR="00000000" w:rsidDel="00000000" w:rsidP="00000000" w:rsidRDefault="00000000" w:rsidRPr="00000000" w14:paraId="00000014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Discretionary / systematic / hybrid: </w:t>
      </w:r>
      <w:r w:rsidDel="00000000" w:rsidR="00000000" w:rsidRPr="00000000">
        <w:rPr>
          <w:rtl w:val="0"/>
        </w:rPr>
        <w:t xml:space="preserve">Fully systematic; no discretionary inputs. Manual override is stop-only.</w:t>
      </w:r>
    </w:p>
    <w:p w:rsidR="00000000" w:rsidDel="00000000" w:rsidP="00000000" w:rsidRDefault="00000000" w:rsidRPr="00000000" w14:paraId="00000015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Market rationale: </w:t>
      </w:r>
      <w:r w:rsidDel="00000000" w:rsidR="00000000" w:rsidRPr="00000000">
        <w:rPr>
          <w:rtl w:val="0"/>
        </w:rPr>
        <w:t xml:space="preserve">Imbalance absorption + participation confirmation; scheduled macro releases produce spikes that reverse, so they are excluded.</w:t>
      </w:r>
    </w:p>
    <w:p w:rsidR="00000000" w:rsidDel="00000000" w:rsidP="00000000" w:rsidRDefault="00000000" w:rsidRPr="00000000" w14:paraId="00000016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Origin: </w:t>
      </w:r>
      <w:r w:rsidDel="00000000" w:rsidR="00000000" w:rsidRPr="00000000">
        <w:rPr>
          <w:rtl w:val="0"/>
        </w:rPr>
        <w:t xml:space="preserve">Zarattini, Aziz &amp; Barbon (2024, S&amp;P 500 ETF); replicated on ES/NQ; ported here to crypto perps.</w:t>
      </w:r>
    </w:p>
    <w:p w:rsidR="00000000" w:rsidDel="00000000" w:rsidP="00000000" w:rsidRDefault="00000000" w:rsidRPr="00000000" w14:paraId="00000017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="256.8" w:lineRule="auto"/>
        <w:ind w:left="600" w:hanging="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80" w:line="256.8" w:lineRule="auto"/>
        <w:rPr/>
      </w:pPr>
      <w:bookmarkStart w:colFirst="0" w:colLast="0" w:name="_s0q59zecz69" w:id="6"/>
      <w:bookmarkEnd w:id="6"/>
      <w:r w:rsidDel="00000000" w:rsidR="00000000" w:rsidRPr="00000000">
        <w:rPr>
          <w:rtl w:val="0"/>
        </w:rPr>
        <w:t xml:space="preserve">02 - Strategy Mechanics (MS/ EC/ PSL/ SL/ TP)</w:t>
      </w:r>
    </w:p>
    <w:p w:rsidR="00000000" w:rsidDel="00000000" w:rsidP="00000000" w:rsidRDefault="00000000" w:rsidRPr="00000000" w14:paraId="0000001A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  <w:t xml:space="preserve">All quantities use only information available strictly before the decision instant (causal, event-driven forward pass). Session parameters are frozen at the 13:30 UTC open from prior-session data.</w:t>
      </w:r>
    </w:p>
    <w:p w:rsidR="00000000" w:rsidDel="00000000" w:rsidP="00000000" w:rsidRDefault="00000000" w:rsidRPr="00000000" w14:paraId="0000001B">
      <w:pPr>
        <w:pStyle w:val="Heading2"/>
        <w:spacing w:after="80" w:line="256.8" w:lineRule="auto"/>
        <w:rPr/>
      </w:pPr>
      <w:bookmarkStart w:colFirst="0" w:colLast="0" w:name="_xd5qxshhj31n" w:id="7"/>
      <w:bookmarkEnd w:id="7"/>
      <w:r w:rsidDel="00000000" w:rsidR="00000000" w:rsidRPr="00000000">
        <w:rPr>
          <w:rtl w:val="0"/>
        </w:rPr>
        <w:br w:type="textWrapping"/>
        <w:t xml:space="preserve">What is a Definition of a Session?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line="256.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ANCHOR/ OPEN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This refers to 13:30 UTC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 = first 1-minute bar open.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Forced flat at 23:59 UTC which avoids the 00:00 funding. 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line="256.8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MARKS: 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="256.8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Every 30 minutes from 14:00 UTC to 23:30 UTC. 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80" w:line="256.8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Signal on the mark-bar close and is filled at the next bar open with a ≤ 5 minute tolerance.</w:t>
      </w:r>
    </w:p>
    <w:p w:rsidR="00000000" w:rsidDel="00000000" w:rsidP="00000000" w:rsidRDefault="00000000" w:rsidRPr="00000000" w14:paraId="00000023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80" w:line="256.8" w:lineRule="auto"/>
        <w:rPr/>
      </w:pPr>
      <w:bookmarkStart w:colFirst="0" w:colLast="0" w:name="_7kl1jhmyb13d" w:id="8"/>
      <w:bookmarkEnd w:id="8"/>
      <w:r w:rsidDel="00000000" w:rsidR="00000000" w:rsidRPr="00000000">
        <w:rPr>
          <w:rtl w:val="0"/>
        </w:rPr>
        <w:t xml:space="preserve">Market Structure (MS - The Noise Area)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strategy first asks: how much does this asset typically drift away from its session-open price, minute by minute, on a normal day? That typical drift is the “noise.” It is estimated as the average absolute move from the open, at each minute-of-session, over the prior N sessions (default N = 14):</w:t>
      </w:r>
    </w:p>
    <w:p w:rsidR="00000000" w:rsidDel="00000000" w:rsidP="00000000" w:rsidRDefault="00000000" w:rsidRPr="00000000" w14:paraId="00000026">
      <w:pPr>
        <w:spacing w:after="80" w:line="256.8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1550" cy="1314450"/>
            <wp:effectExtent b="12700" l="12700" r="12700" t="1270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13144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10" w:before="60" w:line="240" w:lineRule="auto"/>
        <w:jc w:val="left"/>
        <w:rPr/>
      </w:pPr>
      <w:r w:rsidDel="00000000" w:rsidR="00000000" w:rsidRPr="00000000">
        <w:rPr>
          <w:rtl w:val="0"/>
        </w:rPr>
        <w:t xml:space="preserve">Reading it: for a given minute-of-session t, take each of the last 14 sessions, measure how far that session’s price at minute t had moved from that session’s open (as a percentage, absolute value), and average them. closeⱼ(t) is session j’s price at minute t; openⱼ is session j’s open. A minimum of 10 valid prior sessions is required or no band is drawn.</w:t>
      </w:r>
    </w:p>
    <w:p w:rsidR="00000000" w:rsidDel="00000000" w:rsidP="00000000" w:rsidRDefault="00000000" w:rsidRPr="00000000" w14:paraId="0000002A">
      <w:pPr>
        <w:spacing w:after="8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56.8" w:lineRule="auto"/>
        <w:rPr/>
      </w:pPr>
      <w:r w:rsidDel="00000000" w:rsidR="00000000" w:rsidRPr="00000000">
        <w:rPr>
          <w:rtl w:val="0"/>
        </w:rPr>
        <w:t xml:space="preserve">Because ranges widen through the day, σ(t) grows as the session progresses — the noise area is a funnel, narrow at the open and flaring out toward the close.</w:t>
      </w:r>
    </w:p>
    <w:p w:rsidR="00000000" w:rsidDel="00000000" w:rsidP="00000000" w:rsidRDefault="00000000" w:rsidRPr="00000000" w14:paraId="0000002C">
      <w:pPr>
        <w:spacing w:after="80" w:line="256.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oce69m7dy86i" w:id="9"/>
      <w:bookmarkEnd w:id="9"/>
      <w:r w:rsidDel="00000000" w:rsidR="00000000" w:rsidRPr="00000000">
        <w:rPr>
          <w:rtl w:val="0"/>
        </w:rPr>
        <w:t xml:space="preserve">The Bands (Entry Boundaries)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 noise amplitude σ(t) is turned into an upper and lower price boundary around the session. A width multiplier k (default 1.0) scales how far outside the noise a move must break to count as a signal. The boundaries are anchored gap-aware — to the higher of {open, previous close} on top and the lower on the bottom — so an overnight gap does not create false breakouts: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12700" l="12700" r="12700" t="127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1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10" w:before="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Reading it: O is the session open, C</w:t>
      </w:r>
      <w:r w:rsidDel="00000000" w:rsidR="00000000" w:rsidRPr="00000000">
        <w:rPr>
          <w:vertAlign w:val="subscript"/>
          <w:rtl w:val="0"/>
        </w:rPr>
        <w:t xml:space="preserve">prev </w:t>
      </w:r>
      <w:r w:rsidDel="00000000" w:rsidR="00000000" w:rsidRPr="00000000">
        <w:rPr>
          <w:rtl w:val="0"/>
        </w:rPr>
        <w:t xml:space="preserve">the prior session’s close. Price inside the band is treated as noise and generates no trades. A close beyond a boundary is a candidate breakout. Raising k widens the band and demands a larger move; lowering k trades more often on smaller moves.</w:t>
      </w:r>
    </w:p>
    <w:p w:rsidR="00000000" w:rsidDel="00000000" w:rsidP="00000000" w:rsidRDefault="00000000" w:rsidRPr="00000000" w14:paraId="00000035">
      <w:pPr>
        <w:spacing w:after="110" w:before="6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110" w:before="60" w:line="240" w:lineRule="auto"/>
        <w:rPr/>
      </w:pPr>
      <w:bookmarkStart w:colFirst="0" w:colLast="0" w:name="_51zaegkq50h0" w:id="10"/>
      <w:bookmarkEnd w:id="10"/>
      <w:r w:rsidDel="00000000" w:rsidR="00000000" w:rsidRPr="00000000">
        <w:rPr>
          <w:rtl w:val="0"/>
        </w:rPr>
        <w:t xml:space="preserve">Volume Confirmation (Entry Filter)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price breakout alone is not enough — real imbalances arrive with real participation, while thin-volume breakouts are typically stop-runs that reverse. An entry is therefore allowed only if the dollar volume in the window ending at the decision mark exceeds K times its own recent norm (default K = 2.0, i.e. twice the typical volume for that time of day):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00700" cy="1419225"/>
            <wp:effectExtent b="12700" l="12700" r="12700" t="127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1419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Reading it: V</w:t>
      </w:r>
      <w:r w:rsidDel="00000000" w:rsidR="00000000" w:rsidRPr="00000000">
        <w:rPr>
          <w:vertAlign w:val="subscript"/>
          <w:rtl w:val="0"/>
        </w:rPr>
        <w:t xml:space="preserve">win</w:t>
      </w:r>
      <w:r w:rsidDel="00000000" w:rsidR="00000000" w:rsidRPr="00000000">
        <w:rPr>
          <w:rtl w:val="0"/>
        </w:rPr>
        <w:t xml:space="preserve">(m) is the dollar volume in the 30-minute window ending at mark m; the right-hand side is K times the average of that same window across the prior N sessions. This single filter removes roughly 59% of trades and nearly tripled gross edge per trade in testing. Setting K = 0 disables it.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4ckqwmcorvtz" w:id="11"/>
      <w:bookmarkEnd w:id="11"/>
      <w:r w:rsidDel="00000000" w:rsidR="00000000" w:rsidRPr="00000000">
        <w:rPr>
          <w:rtl w:val="0"/>
        </w:rPr>
        <w:t xml:space="preserve">VWAP (Used by the Dynamic Stop)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The intraday volume-weighted average price is the running fair-value reference the trailing stop leans on. It is computed from the session open up to the current bar: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1590675"/>
            <wp:effectExtent b="12700" l="12700" r="12700" t="1270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5906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Reading it: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is each bar’s typical price (high+low+close over 3), v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its volume; the sum runs from the session open to now. VWAP rising under a long position is confirmation; price falling back through it is the exit trigger below.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qnln5lfugdg1" w:id="12"/>
      <w:bookmarkEnd w:id="12"/>
      <w:r w:rsidDel="00000000" w:rsidR="00000000" w:rsidRPr="00000000">
        <w:rPr>
          <w:rtl w:val="0"/>
        </w:rPr>
        <w:t xml:space="preserve">Exits (Dynamic Stop, Catastrophic Stop, Take Profit)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There are three ways a position closes (besides the forced 23:59 flat). First, the dynamic trailing stop — for a long, exit when price falls back below the higher of VWAP and the lower band: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12700" l="12700" r="12700" t="1270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Second, a continuous intrabar catastrophic stop — a hard disaster brake checked every minute (not just at marks), set a fixed distance below entry (default 400 bps):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57800" cy="120015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015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Reading it: stop_bps is the distance in basis points (400 = 4%). Its job is tail insurance — bounding the rare −600 to −1,000 bps gap — not improving returns. Excursion analysis showed a 400–500 bps level clips disasters while pre-empting under 11% of the big winners that carry the edge; tighter stops (≤200 bps) would gut 25%+ of big winners and are rejected.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 xml:space="preserve">Third, the take-profit. Deliberately, there is none. 96% of profit historically comes from the top ~50 trades (extreme positive skew, kurtosis above 100). A take-profit amputates exactly that right tail, so winners are instead held to the 23:59 forced close.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gy2kstaegx1" w:id="13"/>
      <w:bookmarkEnd w:id="13"/>
      <w:r w:rsidDel="00000000" w:rsidR="00000000" w:rsidRPr="00000000">
        <w:rPr>
          <w:rtl w:val="0"/>
        </w:rPr>
        <w:t xml:space="preserve">Position Sizing (Fixed-Fractional Risk)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Every position is sized so that hitting the catastrophic stop costs a fixed, small fraction of equity. The position notional is the risk budget divided by the stop distance, capped by maximum leverage: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73100"/>
            <wp:effectExtent b="12700" l="12700" r="12700" t="1270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Reading it: RISK_FRAC is the fraction of equity risked per trade (default 0.0001 = 0.01%), stop_dist the catastrophic-stop distance as a fraction (400 bps = 0.04), MAX_LEV the leverage ceiling (20×). Worked example at $100k equity: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49300"/>
            <wp:effectExtent b="12700" l="12700" r="12700" t="1270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So a 0.01%-risk trade with a 400 bps stop takes a 0.25% notional position; if the stop is hit, the loss is 0.01% of equity by construction. RISK_FRAC and MAX_LEV are risk-budget choices set from limits, not parameters tuned on backtest returns. The small default fraction is deliberate for a many-position all-perps book, where aggregate (not per-trade) risk should carry normal size.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Important Note on Realistic Fills: The catastrophic stop uses conservative fills (worse of {stop, bar close} on gap-through), so sizing is computed off the NOMINAL stop distance and gap-through trades can realize more than RISK_FRAC. Measured realized risk: median 0.39× nominal, 99th percentile 1.45×, worst single trade 18.7× (one 6-year gap event). Reported, not assumed away.</w:t>
      </w:r>
    </w:p>
    <w:p w:rsidR="00000000" w:rsidDel="00000000" w:rsidP="00000000" w:rsidRDefault="00000000" w:rsidRPr="00000000" w14:paraId="0000005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bfaabm3nhtvr" w:id="14"/>
      <w:bookmarkEnd w:id="14"/>
      <w:r w:rsidDel="00000000" w:rsidR="00000000" w:rsidRPr="00000000">
        <w:rPr>
          <w:rtl w:val="0"/>
        </w:rPr>
        <w:t xml:space="preserve">Filters Used to Avoid Poor Trades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Volume Confirmation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News Blackout - No trades are made on all assets on the day CPI, FOMC, and NFP news are released.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>
          <w:rFonts w:ascii="Calibri" w:cs="Calibri" w:eastAsia="Calibri" w:hAnsi="Calibri"/>
          <w:color w:val="2e74b5"/>
          <w:sz w:val="32"/>
          <w:szCs w:val="32"/>
        </w:rPr>
      </w:pPr>
      <w:bookmarkStart w:colFirst="0" w:colLast="0" w:name="_c7xvjbg0xm43" w:id="15"/>
      <w:bookmarkEnd w:id="15"/>
      <w:r w:rsidDel="00000000" w:rsidR="00000000" w:rsidRPr="00000000">
        <w:rPr>
          <w:rtl w:val="0"/>
        </w:rPr>
        <w:t xml:space="preserve">03A - Backtesting and Research (Taker Execution)</w:t>
      </w:r>
      <w:r w:rsidDel="00000000" w:rsidR="00000000" w:rsidRPr="00000000">
        <w:rPr>
          <w:rtl w:val="0"/>
        </w:rPr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50"/>
        <w:gridCol w:w="7150"/>
        <w:tblGridChange w:id="0">
          <w:tblGrid>
            <w:gridCol w:w="2350"/>
            <w:gridCol w:w="715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Backtest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Jul 2020 – Jul 2026 (Binance, full cycle); Oct 2023 – Jul 2026 (Blofin, independent replication).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Binance Vision official archives (1-min klines + funding), single source, integrity-audited; independently replicated on Blofin.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Sample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Up to 741 assets; ~2,100 active session-dates; 84k trades (all-perps sized run).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Transaction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Taker 2 bps/side assumed (to be replaced by actual venue tier — open item).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Slippage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 bps/side base; stress +1/+2/+4; catastrophic-stop fills modelled worse-than-touch.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6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Methodology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Pre-registered: frozen spec + anti-bias suite BEFORE results; single trial per hypothesis; append-only registry; deflated-Sharpe accounting.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90" w:before="200" w:line="240" w:lineRule="auto"/>
        <w:rPr/>
      </w:pPr>
      <w:bookmarkStart w:colFirst="0" w:colLast="0" w:name="_a8vsd9l6x13f" w:id="16"/>
      <w:bookmarkEnd w:id="16"/>
      <w:r w:rsidDel="00000000" w:rsidR="00000000" w:rsidRPr="00000000">
        <w:rPr>
          <w:rtl w:val="0"/>
        </w:rPr>
        <w:t xml:space="preserve">Research Phases (all pre-registered)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50"/>
        <w:gridCol w:w="4450"/>
        <w:gridCol w:w="2000"/>
        <w:tblGridChange w:id="0">
          <w:tblGrid>
            <w:gridCol w:w="3050"/>
            <w:gridCol w:w="445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 / 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Result (net of costs)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Verdict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 Frozen spec, full universe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Pooled Sharpe ≈ −0.9; gross ~2 bps/side &lt;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2. Per-asset walk-forward (grid)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OOS Sharpe +0.86 (t≈1.3)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Improved, unconfirmed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3. Cross-sectional market-neutral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 −0.23; real 13.2 bps/day spread &lt;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7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4. Volume-confirmed entries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Paired t=3.4; net −0.94→−0.38 (≤0)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Mechanism valid, econ 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 News blackout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+~0.2 Sharpe cross-venue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Valid. Recent returns are negative.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 Catastrophic stop + fixed-risk sizing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 +0.46 all-perps (t=1.10), risk governor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Deployable config, forward-test only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90" w:before="200" w:line="240" w:lineRule="auto"/>
        <w:rPr/>
      </w:pPr>
      <w:bookmarkStart w:colFirst="0" w:colLast="0" w:name="_icz6fzvv3lq4" w:id="17"/>
      <w:bookmarkEnd w:id="17"/>
      <w:r w:rsidDel="00000000" w:rsidR="00000000" w:rsidRPr="00000000">
        <w:rPr>
          <w:rtl w:val="0"/>
        </w:rPr>
        <w:t xml:space="preserve">Performance — final configuration (all-perps, 0.01% risk/trade, 400bps stop, 2020–2026)</w:t>
      </w:r>
    </w:p>
    <w:tbl>
      <w:tblPr>
        <w:tblStyle w:val="Table3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50"/>
        <w:gridCol w:w="2200"/>
        <w:gridCol w:w="2550"/>
        <w:gridCol w:w="2200"/>
        <w:tblGridChange w:id="0">
          <w:tblGrid>
            <w:gridCol w:w="2550"/>
            <w:gridCol w:w="2200"/>
            <w:gridCol w:w="2550"/>
            <w:gridCol w:w="2200"/>
          </w:tblGrid>
        </w:tblGridChange>
      </w:tblGrid>
      <w:tr>
        <w:trPr>
          <w:cantSplit w:val="0"/>
          <w:tblHeader w:val="1"/>
        </w:trPr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8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+0.46 (t 1.10)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Max drawdown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−9.1%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Sortino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+1.07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Day win-rate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6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Calmar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7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+0.35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8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Trade win-rate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9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44.7%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A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B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+3.2%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C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D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83,777 / 741 assets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E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Ann. 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9F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8.4%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0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Stopped trades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1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12.9%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2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Final equity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3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1.225× (6.5y)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4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Realized risk (med/99th/max)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  <w:tcMar>
              <w:top w:w="52.0" w:type="dxa"/>
              <w:left w:w="88.0" w:type="dxa"/>
              <w:bottom w:w="52.0" w:type="dxa"/>
              <w:right w:w="88.0" w:type="dxa"/>
            </w:tcMar>
          </w:tcPr>
          <w:p w:rsidR="00000000" w:rsidDel="00000000" w:rsidP="00000000" w:rsidRDefault="00000000" w:rsidRPr="00000000" w14:paraId="000000A5">
            <w:pPr>
              <w:spacing w:line="238" w:lineRule="auto"/>
              <w:rPr>
                <w:rFonts w:ascii="Calibri" w:cs="Calibri" w:eastAsia="Calibri" w:hAnsi="Calibri"/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sz w:val="18"/>
                <w:szCs w:val="18"/>
                <w:rtl w:val="0"/>
              </w:rPr>
              <w:t xml:space="preserve">0.39× / 1.45× / 18.7×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64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spacing w:after="120" w:line="264" w:lineRule="auto"/>
        <w:rPr/>
      </w:pPr>
      <w:bookmarkStart w:colFirst="0" w:colLast="0" w:name="_2w61b09kz7ow" w:id="18"/>
      <w:bookmarkEnd w:id="18"/>
      <w:r w:rsidDel="00000000" w:rsidR="00000000" w:rsidRPr="00000000">
        <w:rPr>
          <w:rtl w:val="0"/>
        </w:rPr>
        <w:t xml:space="preserve">03B - Backtesting and Research (Maker Execution)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section tests whether earning the exchange maker rebate on entry, instead of paying taker, improves the strategy's economics. Important framing: the winning configuration here is a DIFFERENT STRATEGY from §03A — it adds a breakout-confirmation entry layer (position entered only after price confirms the breakout by a few basis points, via a resting limit order, rather than at the signal bar). Results are therefore not directly comparable to the taker system above; they describe a modified entry mechanic. Walk-forward, per-asset, Binance 2020–2026, 541–547 assets. All exits and stops remain taker.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rPr/>
      </w:pPr>
      <w:bookmarkStart w:colFirst="0" w:colLast="0" w:name="_bl98lepdhnyu" w:id="19"/>
      <w:bookmarkEnd w:id="19"/>
      <w:r w:rsidDel="00000000" w:rsidR="00000000" w:rsidRPr="00000000">
        <w:rPr>
          <w:rtl w:val="0"/>
        </w:rPr>
        <w:t xml:space="preserve">Entry Styles Tested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•  Style A — passive pullback (true maker rebate): limit rests on the near side; fills only if price retraces; earns +1 bps. Misses breakouts that never retrace.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•  Style B — breakout confirmation (taker): stop-limit on the far side; fills only if price continues past the breakout. A far-side resting order is marketable, so B pays taker — modelled that way so it cannot fabricate rebate edge.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 Style C — confirm-then-passive-maker (rebate): waits for the same confirmation as B (+5 bps), then posts a passive limit +3 bps beyond it, filling as momentum continues and earning +1 bps. The best configuration — and the one with the added confirmation layer.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ovpihdigplyi" w:id="20"/>
      <w:bookmarkEnd w:id="20"/>
      <w:r w:rsidDel="00000000" w:rsidR="00000000" w:rsidRPr="00000000">
        <w:rPr>
          <w:rtl w:val="0"/>
        </w:rPr>
        <w:t xml:space="preserve">Results — Entry-Style Comparison (walk-forward, pre-sizing)</w:t>
      </w:r>
    </w:p>
    <w:tbl>
      <w:tblPr>
        <w:tblStyle w:val="Table4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B2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Entry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3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4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5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6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7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Entry 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8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B9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A — maker pullback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+0.29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+0.71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+4.0%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93%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+1bps reb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+1.19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−2.67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C2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B — confirm (taker)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3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4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+2.57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5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+14.7%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6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91%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7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−2bps tkr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8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C9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−1.39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3efe7" w:val="clear"/>
          </w:tcPr>
          <w:p w:rsidR="00000000" w:rsidDel="00000000" w:rsidP="00000000" w:rsidRDefault="00000000" w:rsidRPr="00000000" w14:paraId="000000CA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16"/>
                <w:szCs w:val="16"/>
                <w:rtl w:val="0"/>
              </w:rPr>
              <w:t xml:space="preserve">C — confirm + maker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CB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CC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+2.87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CD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+16.6%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CE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CF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+1bps reb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D0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+1.74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3efe7" w:val="clear"/>
          </w:tcPr>
          <w:p w:rsidR="00000000" w:rsidDel="00000000" w:rsidP="00000000" w:rsidRDefault="00000000" w:rsidRPr="00000000" w14:paraId="000000D1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−1.16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Offset robustness (Style B): Sharpe +1.13 / +1.05 / +1.02 at confirmation offsets 3 / 5 / 8 bps — barely moves, so not an artifact of one tuned value.</w:t>
      </w:r>
    </w:p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spacing w:after="120" w:line="276" w:lineRule="auto"/>
        <w:rPr/>
      </w:pPr>
      <w:bookmarkStart w:colFirst="0" w:colLast="0" w:name="_e6ljtg9blw8d" w:id="21"/>
      <w:bookmarkEnd w:id="21"/>
      <w:r w:rsidDel="00000000" w:rsidR="00000000" w:rsidRPr="00000000">
        <w:rPr>
          <w:rtl w:val="0"/>
        </w:rPr>
        <w:t xml:space="preserve">Deployable Style C — After Position Sizing &amp; Catastrophic Stop</w:t>
      </w:r>
    </w:p>
    <w:p w:rsidR="00000000" w:rsidDel="00000000" w:rsidP="00000000" w:rsidRDefault="00000000" w:rsidRPr="00000000" w14:paraId="000000D6">
      <w:pPr>
        <w:spacing w:after="120" w:line="276" w:lineRule="auto"/>
        <w:rPr/>
      </w:pPr>
      <w:r w:rsidDel="00000000" w:rsidR="00000000" w:rsidRPr="00000000">
        <w:rPr>
          <w:rtl w:val="0"/>
        </w:rPr>
        <w:t xml:space="preserve">Applying the §03A risk framework (0.01% risk/trade, 400 bps catastrophic stop, 20× cap) to the Style-C machine gives the deployable curve. As with the taker system, fixed-risk sizing equalizes trade influence and lowers the headline Sharpe from the walk-forward figure — sizing changes the risk profile, not the edge:</w:t>
      </w:r>
    </w:p>
    <w:p w:rsidR="00000000" w:rsidDel="00000000" w:rsidP="00000000" w:rsidRDefault="00000000" w:rsidRPr="00000000" w14:paraId="000000D7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</w:tcPr>
          <w:p w:rsidR="00000000" w:rsidDel="00000000" w:rsidP="00000000" w:rsidRDefault="00000000" w:rsidRPr="00000000" w14:paraId="000000D8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9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A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</w:tcPr>
          <w:p w:rsidR="00000000" w:rsidDel="00000000" w:rsidP="00000000" w:rsidRDefault="00000000" w:rsidRPr="00000000" w14:paraId="000000DB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Sharpe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+0.65 (t 1.59)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Max drawdown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−14.5%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3f8" w:val="clear"/>
          </w:tcPr>
          <w:p w:rsidR="00000000" w:rsidDel="00000000" w:rsidP="00000000" w:rsidRDefault="00000000" w:rsidRPr="00000000" w14:paraId="000000E0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Sortino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E1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+1.68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E2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CAGR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3f8" w:val="clear"/>
          </w:tcPr>
          <w:p w:rsidR="00000000" w:rsidDel="00000000" w:rsidP="00000000" w:rsidRDefault="00000000" w:rsidRPr="00000000" w14:paraId="000000E3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+7.0%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Calmar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+0.48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Realized risk (med/99th/max)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4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0.31× / 1.11× / 10.9×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*Deployable yearly Sharpe: 2020 +0.58 · 2021 −0.76 · 2022 +2.05 · 2023 −0.09 · 2024 +0.76 · 2025 +1.49 (+36%) · 2026 −1.56.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*Final equity 1.50× over six years; 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*137,014 trades / 541 assets;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*Realized risk well-controlled (median 0.31× nominal, worst gap-through 10.9× — cleaner than the taker system's 18.7×).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spacing w:after="120" w:line="264" w:lineRule="auto"/>
        <w:rPr/>
      </w:pPr>
      <w:bookmarkStart w:colFirst="0" w:colLast="0" w:name="_6q2xyk1c03ot" w:id="22"/>
      <w:bookmarkEnd w:id="22"/>
      <w:r w:rsidDel="00000000" w:rsidR="00000000" w:rsidRPr="00000000">
        <w:rPr>
          <w:rtl w:val="0"/>
        </w:rPr>
        <w:t xml:space="preserve">04 - </w:t>
      </w:r>
      <w:r w:rsidDel="00000000" w:rsidR="00000000" w:rsidRPr="00000000">
        <w:rPr>
          <w:rtl w:val="0"/>
        </w:rPr>
        <w:t xml:space="preserve">Expected Returns and Risk Limits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Max capital requested: Forward test first: paper or dust ($10k–$25k) to measure realized fills vs. assumptions.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risk per trade: Fixed-fractional: 0.01% of equity to the 400 bps stop (≈ 0.25% notional). Realized median 0.39× nominal; worst gap-through 18.7× on one 6-year event.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Max loss (daily/weekly/period): Proposed governors: −2%/day review, −5%/week halt, −10% peak-to-trough full stop. Realized max DD −9.1%; bootstrap tail to −48% at larger sizing — governors scale with RISK_FRAC.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Exposure &amp; leverage: Long/short, direction-balanced. Per-asset ≤ 20× cap (non-binding at this risk); effective leverage far lower under fixed-risk sizing.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Liquidity &amp; correlation: $5M session-volume floor; majors-7 primary book (keeps cost assumption realistic and concentrates in less-correlated names — alt legs are highly cross-correlated, so effective breadth is below nominal count).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400" w:hanging="210"/>
      </w:pPr>
      <w:r w:rsidDel="00000000" w:rsidR="00000000" w:rsidRPr="00000000">
        <w:rPr>
          <w:rtl w:val="0"/>
        </w:rPr>
        <w:t xml:space="preserve">Tail risk: Extreme positive skew (edge in rare days) + fat-tailed adverse gaps between marks; the catastrophic stop bounds the latter but conservative fills still allow occasional multi-×-nominal losses.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s5syll8zlnsq" w:id="23"/>
      <w:bookmarkEnd w:id="23"/>
      <w:r w:rsidDel="00000000" w:rsidR="00000000" w:rsidRPr="00000000">
        <w:rPr>
          <w:rtl w:val="0"/>
        </w:rPr>
        <w:t xml:space="preserve">What Could Cause the Strategy to Fail?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Regime: sustained low-vol, range-bound markets 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Crowding/arbitrage of the public published edge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Costs above ~4–6 bps/side taker turn the thin gross edge negative for the broad book.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Execution: unfillable at assumed prices on illiquid alts; between-mark gap risk.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rPr/>
      </w:pPr>
      <w:bookmarkStart w:colFirst="0" w:colLast="0" w:name="_488ko82bnq9e" w:id="24"/>
      <w:bookmarkEnd w:id="24"/>
      <w:r w:rsidDel="00000000" w:rsidR="00000000" w:rsidRPr="00000000">
        <w:rPr>
          <w:rtl w:val="0"/>
        </w:rPr>
        <w:t xml:space="preserve">05 - Execution Plan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Venues: Variational, Blofin, Evedex, Hibachi under evaluation. Fee schedule &amp; liquidity confirmed per venue before allocation.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Order type: Taker (marketable) at next-bar open; passive/maker execution is the designated next research step to attack the cost gap; not yet validated.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ind w:left="400" w:hanging="21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timing: Signal on mark bar-close; fill next bar open (≤5 min); catastrophic stop continuous intrabar; forced flat 23:59 UTC.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Liquidity checks / slippage: Pre-trade $5M floor + majors primary book; assume 2 bps/side, stress +4; skip entries failing volume confirmation; prefer passive fills in live test.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ind w:left="400" w:hanging="210"/>
      </w:pPr>
      <w:r w:rsidDel="00000000" w:rsidR="00000000" w:rsidRPr="00000000">
        <w:rPr>
          <w:rtl w:val="0"/>
        </w:rPr>
        <w:t xml:space="preserve">Monitoring / override: Daily P&amp;L vs bootstrap bands; realized-risk-per-trade tracker; drawdown governors; regime dashboard. Kill-switch only (flatten + halt); no discretionary entries.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/>
      </w:pPr>
      <w:bookmarkStart w:colFirst="0" w:colLast="0" w:name="_5548fwgenip7" w:id="25"/>
      <w:bookmarkEnd w:id="25"/>
      <w:r w:rsidDel="00000000" w:rsidR="00000000" w:rsidRPr="00000000">
        <w:rPr>
          <w:rtl w:val="0"/>
        </w:rPr>
        <w:t xml:space="preserve">06 - Portfolio Fit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Correlation / diversification: Intraday, market-neutral, flat overnight — structurally low correlation to directional/carry books; positive diversification in principle, conditional on the edge being real (currently unconfirmed).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Capital efficiency: High when active (fractional leverage, no overnight capital); low current utilisation given regime and small forward-test size.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Expected contribution: Not material at this stage; informational (forward-test signal) rather than P&amp;L until confirmed live.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400" w:hanging="210"/>
      </w:pPr>
      <w:r w:rsidDel="00000000" w:rsidR="00000000" w:rsidRPr="00000000">
        <w:rPr>
          <w:rtl w:val="0"/>
        </w:rPr>
        <w:t xml:space="preserve">Conflicts / overlaps: Shares intraday execution windows and venue/margin capacity with any existing intraday crypto book; check shared signals before concurrent running.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m15jp9beo9xz" w:id="26"/>
      <w:bookmarkEnd w:id="26"/>
      <w:r w:rsidDel="00000000" w:rsidR="00000000" w:rsidRPr="00000000">
        <w:rPr>
          <w:rtl w:val="0"/>
        </w:rPr>
        <w:t xml:space="preserve">07 - Recommendation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Across four pre-registered variants and two venues, the strategy shows a real but small gross edge. The completed exit/sizing design produces a correctly risk-managed, deployable configuration (Sharpe +0.46, max DD −9.1% at 0.01% risk/trade) but does not change the edge — only its risk profile. Robustness puts the broad-book edge at coin-flip odds after deflation; majors-7 is strongest (deflated Sharpe 0.67) but still unconfirmed if not deployed on a forward test. </w:t>
      </w:r>
    </w:p>
    <w:p w:rsidR="00000000" w:rsidDel="00000000" w:rsidP="00000000" w:rsidRDefault="00000000" w:rsidRPr="00000000" w14:paraId="0000010B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Recommended next step: a frozen, zero/dust-capital FORWARD test of the full machine (volume-confirmed + news-blackout walk-forward + 400bps catastrophic stop + fixed-risk sizing), majors-7 primary with ETH/BTC/SOL controls, at the venue’s ACTUAL fee tier, judged from the freeze date forward — the only uncontaminated test. In parallel, a pre-registered maker/passive-execution study (the sole untested lever on the cost gap).</w:t>
      </w:r>
    </w:p>
    <w:p w:rsidR="00000000" w:rsidDel="00000000" w:rsidP="00000000" w:rsidRDefault="00000000" w:rsidRPr="00000000" w14:paraId="0000010D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Open items before allocation: (1) confirm actual per-venue taker fees; (2) run the forward test with pre-committed criteria; (3) measure realized correlation to the live portfolio; (4) finalise the deployment risk fraction.</w:t>
      </w:r>
    </w:p>
    <w:p w:rsidR="00000000" w:rsidDel="00000000" w:rsidP="00000000" w:rsidRDefault="00000000" w:rsidRPr="00000000" w14:paraId="0000010F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2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400" w:hanging="210"/>
      </w:pPr>
      <w:rPr>
        <w:u w:val="none"/>
      </w:rPr>
    </w:lvl>
    <w:lvl w:ilvl="1">
      <w:start w:val="1"/>
      <w:numFmt w:val="bullet"/>
      <w:lvlText w:val="–"/>
      <w:lvlJc w:val="left"/>
      <w:pPr>
        <w:ind w:left="760" w:hanging="21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