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QUANT REPORT: </w:t>
      </w:r>
    </w:p>
    <w:p w:rsidR="00000000" w:rsidDel="00000000" w:rsidP="00000000" w:rsidRDefault="00000000" w:rsidRPr="00000000" w14:paraId="00000002">
      <w:pPr>
        <w:pStyle w:val="Title"/>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ML Threshold Strategy</w:t>
      </w:r>
    </w:p>
    <w:p w:rsidR="00000000" w:rsidDel="00000000" w:rsidP="00000000" w:rsidRDefault="00000000" w:rsidRPr="00000000" w14:paraId="00000003">
      <w:pPr>
        <w:spacing w:after="120" w:line="276" w:lineRule="auto"/>
        <w:rPr/>
      </w:pPr>
      <w:r w:rsidDel="00000000" w:rsidR="00000000" w:rsidRPr="00000000">
        <w:rPr>
          <w:rtl w:val="0"/>
        </w:rPr>
      </w:r>
    </w:p>
    <w:p w:rsidR="00000000" w:rsidDel="00000000" w:rsidP="00000000" w:rsidRDefault="00000000" w:rsidRPr="00000000" w14:paraId="00000004">
      <w:pPr>
        <w:spacing w:after="120" w:line="276" w:lineRule="auto"/>
        <w:jc w:val="center"/>
        <w:rPr>
          <w:b w:val="1"/>
          <w:bCs w:val="1"/>
        </w:rPr>
      </w:pPr>
      <w:r w:rsidDel="00000000" w:rsidR="00000000" w:rsidRPr="00000000">
        <w:rPr>
          <w:b w:val="1"/>
          <w:bCs w:val="1"/>
          <w:rtl w:val="0"/>
        </w:rPr>
        <w:t xml:space="preserve">Report: Ember</w:t>
      </w:r>
    </w:p>
    <w:p w:rsidR="00000000" w:rsidDel="00000000" w:rsidP="00000000" w:rsidRDefault="00000000" w:rsidRPr="00000000" w14:paraId="00000005">
      <w:pPr>
        <w:spacing w:after="120" w:line="276" w:lineRule="auto"/>
        <w:jc w:val="center"/>
        <w:rPr>
          <w:b w:val="1"/>
          <w:bCs w:val="1"/>
        </w:rPr>
      </w:pPr>
      <w:r w:rsidDel="00000000" w:rsidR="00000000" w:rsidRPr="00000000">
        <w:rPr>
          <w:b w:val="1"/>
          <w:bCs w:val="1"/>
          <w:rtl w:val="0"/>
        </w:rPr>
        <w:t xml:space="preserve">Reporting to: Tyler Leonard</w:t>
      </w:r>
    </w:p>
    <w:p w:rsidR="00000000" w:rsidDel="00000000" w:rsidP="00000000" w:rsidRDefault="00000000" w:rsidRPr="00000000" w14:paraId="00000006">
      <w:pPr>
        <w:spacing w:after="120" w:line="276" w:lineRule="auto"/>
        <w:jc w:val="center"/>
        <w:rPr>
          <w:b w:val="1"/>
          <w:bCs w:val="1"/>
        </w:rPr>
      </w:pPr>
      <w:r w:rsidDel="00000000" w:rsidR="00000000" w:rsidRPr="00000000">
        <w:rPr>
          <w:b w:val="1"/>
          <w:bCs w:val="1"/>
          <w:rtl w:val="0"/>
        </w:rPr>
        <w:t xml:space="preserve">Date: 28/09/2026</w:t>
      </w:r>
    </w:p>
    <w:p w:rsidR="00000000" w:rsidDel="00000000" w:rsidP="00000000" w:rsidRDefault="00000000" w:rsidRPr="00000000" w14:paraId="00000007">
      <w:pPr>
        <w:spacing w:after="120" w:line="276" w:lineRule="auto"/>
        <w:jc w:val="center"/>
        <w:rPr>
          <w:b w:val="1"/>
          <w:bCs w:val="1"/>
        </w:rPr>
      </w:pPr>
      <w:r w:rsidDel="00000000" w:rsidR="00000000" w:rsidRPr="00000000">
        <w:rPr>
          <w:b w:val="1"/>
          <w:bCs w:val="1"/>
          <w:rtl w:val="0"/>
        </w:rPr>
        <w:t xml:space="preserve">Department: QUANT TEAM</w:t>
      </w:r>
    </w:p>
    <w:p w:rsidR="00000000" w:rsidDel="00000000" w:rsidP="00000000" w:rsidRDefault="00000000" w:rsidRPr="00000000" w14:paraId="00000008">
      <w:pPr>
        <w:spacing w:after="100" w:lineRule="auto"/>
        <w:rPr/>
      </w:pPr>
      <w:r w:rsidDel="00000000" w:rsidR="00000000" w:rsidRPr="00000000">
        <w:rPr>
          <w:rtl w:val="0"/>
        </w:rPr>
      </w:r>
    </w:p>
    <w:p w:rsidR="00000000" w:rsidDel="00000000" w:rsidP="00000000" w:rsidRDefault="00000000" w:rsidRPr="00000000" w14:paraId="00000009">
      <w:pPr>
        <w:pStyle w:val="Heading1"/>
        <w:rPr>
          <w:rFonts w:ascii="Arial Narrow" w:cs="Arial Narrow" w:eastAsia="Arial Narrow" w:hAnsi="Arial Narrow"/>
        </w:rPr>
      </w:pPr>
      <w:r w:rsidDel="00000000" w:rsidR="00000000" w:rsidRPr="00000000">
        <w:rPr>
          <w:rFonts w:ascii="Arial Narrow" w:cs="Arial Narrow" w:eastAsia="Arial Narrow" w:hAnsi="Arial Narrow"/>
          <w:rtl w:val="0"/>
        </w:rPr>
        <w:t xml:space="preserve">STRATEGY OVERVIEW:</w:t>
      </w:r>
    </w:p>
    <w:p w:rsidR="00000000" w:rsidDel="00000000" w:rsidP="00000000" w:rsidRDefault="00000000" w:rsidRPr="00000000" w14:paraId="0000000A">
      <w:pPr>
        <w:spacing w:after="120" w:line="276" w:lineRule="auto"/>
        <w:rPr/>
      </w:pPr>
      <w:r w:rsidDel="00000000" w:rsidR="00000000" w:rsidRPr="00000000">
        <w:rPr>
          <w:rtl w:val="0"/>
        </w:rPr>
        <w:t xml:space="preserve">Purpose of Report: To show understanding of the strategy, the market opportunity, the risk and expected return profile, and the controls required before any capital is allocated.</w:t>
      </w:r>
    </w:p>
    <w:p w:rsidR="00000000" w:rsidDel="00000000" w:rsidP="00000000" w:rsidRDefault="00000000" w:rsidRPr="00000000" w14:paraId="0000000B">
      <w:pPr>
        <w:spacing w:after="120" w:line="276" w:lineRule="auto"/>
        <w:rPr>
          <w:i w:val="1"/>
          <w:iCs w:val="1"/>
        </w:rPr>
      </w:pPr>
      <w:r w:rsidDel="00000000" w:rsidR="00000000" w:rsidRPr="00000000">
        <w:rPr>
          <w:rtl w:val="0"/>
        </w:rPr>
      </w:r>
    </w:p>
    <w:p w:rsidR="00000000" w:rsidDel="00000000" w:rsidP="00000000" w:rsidRDefault="00000000" w:rsidRPr="00000000" w14:paraId="0000000C">
      <w:pPr>
        <w:spacing w:after="120" w:line="276" w:lineRule="auto"/>
        <w:rPr>
          <w:b w:val="1"/>
          <w:bCs w:val="1"/>
          <w:i w:val="1"/>
          <w:iCs w:val="1"/>
        </w:rPr>
      </w:pPr>
      <w:r w:rsidDel="00000000" w:rsidR="00000000" w:rsidRPr="00000000">
        <w:rPr>
          <w:b w:val="1"/>
          <w:bCs w:val="1"/>
          <w:i w:val="1"/>
          <w:iCs w:val="1"/>
          <w:rtl w:val="0"/>
        </w:rPr>
        <w:t xml:space="preserve">Status in one line: research complete. The ranking signal is real and was strong from 2021 to 2025; in the 2026 holdout it did not invert but weakened to roughly the level of execution cost. Whether the strategy makes money now depends on fill quality, which historical data cannot settle. This report requests a measurement-size paper/live allocation, not a full allocation.</w:t>
      </w:r>
    </w:p>
    <w:p w:rsidR="00000000" w:rsidDel="00000000" w:rsidP="00000000" w:rsidRDefault="00000000" w:rsidRPr="00000000" w14:paraId="0000000D">
      <w:pPr>
        <w:spacing w:after="100" w:lineRule="auto"/>
        <w:rPr/>
      </w:pPr>
      <w:r w:rsidDel="00000000" w:rsidR="00000000" w:rsidRPr="00000000">
        <w:rPr>
          <w:rtl w:val="0"/>
        </w:rPr>
      </w:r>
    </w:p>
    <w:p w:rsidR="00000000" w:rsidDel="00000000" w:rsidP="00000000" w:rsidRDefault="00000000" w:rsidRPr="00000000" w14:paraId="0000000E">
      <w:pPr>
        <w:spacing w:after="120" w:line="276" w:lineRule="auto"/>
        <w:rPr>
          <w:b w:val="1"/>
          <w:bCs w:val="1"/>
        </w:rPr>
      </w:pPr>
      <w:r w:rsidDel="00000000" w:rsidR="00000000" w:rsidRPr="00000000">
        <w:rPr>
          <w:b w:val="1"/>
          <w:bCs w:val="1"/>
          <w:rtl w:val="0"/>
        </w:rPr>
        <w:t xml:space="preserve">How returns are quoted in this report: every return figure is a fraction of allocated equity, summed period by period without compounding, with the book run at 2x gross (1x long, 1x short). "+1.0 per year" therefore means the book earned 100% of its allocated equity in that year, and "+0.5 per year" means 50%. Sharpe ratios are on daily P&amp;L, annualized. Costs and edge are in basis points (bps) per unit of notional traded.</w:t>
      </w:r>
    </w:p>
    <w:p w:rsidR="00000000" w:rsidDel="00000000" w:rsidP="00000000" w:rsidRDefault="00000000" w:rsidRPr="00000000" w14:paraId="0000000F">
      <w:pPr>
        <w:spacing w:after="100" w:lineRule="auto"/>
        <w:rPr/>
      </w:pPr>
      <w:r w:rsidDel="00000000" w:rsidR="00000000" w:rsidRPr="00000000">
        <w:rPr>
          <w:rtl w:val="0"/>
        </w:rPr>
      </w:r>
    </w:p>
    <w:p w:rsidR="00000000" w:rsidDel="00000000" w:rsidP="00000000" w:rsidRDefault="00000000" w:rsidRPr="00000000" w14:paraId="00000010">
      <w:pPr>
        <w:spacing w:after="120" w:line="276" w:lineRule="auto"/>
        <w:rPr>
          <w:i w:val="1"/>
          <w:iCs w:val="1"/>
          <w:color w:val="666666"/>
        </w:rPr>
      </w:pPr>
      <w:r w:rsidDel="00000000" w:rsidR="00000000" w:rsidRPr="00000000">
        <w:rPr>
          <w:i w:val="1"/>
          <w:iCs w:val="1"/>
          <w:color w:val="666666"/>
          <w:rtl w:val="0"/>
        </w:rPr>
        <w:t xml:space="preserve">Input: Strategy parameters </w:t>
      </w:r>
    </w:p>
    <w:tbl>
      <w:tblPr>
        <w:tblStyle w:val="Table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600"/>
        <w:tblGridChange w:id="0">
          <w:tblGrid>
            <w:gridCol w:w="3000"/>
            <w:gridCol w:w="66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fefef" w:val="clear"/>
            <w:tcMar>
              <w:top w:w="60.0" w:type="dxa"/>
              <w:left w:w="100.0" w:type="dxa"/>
              <w:bottom w:w="60.0" w:type="dxa"/>
              <w:right w:w="100.0" w:type="dxa"/>
            </w:tcMar>
          </w:tcPr>
          <w:p w:rsidR="00000000" w:rsidDel="00000000" w:rsidP="00000000" w:rsidRDefault="00000000" w:rsidRPr="00000000" w14:paraId="00000011">
            <w:pPr>
              <w:rPr/>
            </w:pPr>
            <w:r w:rsidDel="00000000" w:rsidR="00000000" w:rsidRPr="00000000">
              <w:rPr>
                <w:b w:val="1"/>
                <w:bCs w:val="1"/>
                <w:sz w:val="19"/>
                <w:szCs w:val="19"/>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Mar>
              <w:top w:w="60.0" w:type="dxa"/>
              <w:left w:w="100.0" w:type="dxa"/>
              <w:bottom w:w="60.0" w:type="dxa"/>
              <w:right w:w="100.0" w:type="dxa"/>
            </w:tcMar>
          </w:tcPr>
          <w:p w:rsidR="00000000" w:rsidDel="00000000" w:rsidP="00000000" w:rsidRDefault="00000000" w:rsidRPr="00000000" w14:paraId="00000012">
            <w:pPr>
              <w:rPr/>
            </w:pPr>
            <w:r w:rsidDel="00000000" w:rsidR="00000000" w:rsidRPr="00000000">
              <w:rPr>
                <w:b w:val="1"/>
                <w:bCs w:val="1"/>
                <w:sz w:val="19"/>
                <w:szCs w:val="19"/>
                <w:rtl w:val="0"/>
              </w:rPr>
              <w:t xml:space="preserve">Value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3">
            <w:pPr>
              <w:rPr/>
            </w:pPr>
            <w:r w:rsidDel="00000000" w:rsidR="00000000" w:rsidRPr="00000000">
              <w:rPr>
                <w:sz w:val="19"/>
                <w:szCs w:val="19"/>
                <w:rtl w:val="0"/>
              </w:rPr>
              <w:t xml:space="preserve">Universe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4">
            <w:pPr>
              <w:rPr/>
            </w:pPr>
            <w:r w:rsidDel="00000000" w:rsidR="00000000" w:rsidRPr="00000000">
              <w:rPr>
                <w:sz w:val="19"/>
                <w:szCs w:val="19"/>
                <w:rtl w:val="0"/>
              </w:rPr>
              <w:t xml:space="preserve">Top 20 USDT perpetuals by trailing 30-day median quote volume, re-selected monthly, no lookahead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5">
            <w:pPr>
              <w:rPr/>
            </w:pPr>
            <w:r w:rsidDel="00000000" w:rsidR="00000000" w:rsidRPr="00000000">
              <w:rPr>
                <w:sz w:val="19"/>
                <w:szCs w:val="19"/>
                <w:rtl w:val="0"/>
              </w:rPr>
              <w:t xml:space="preserve">Book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6">
            <w:pPr>
              <w:rPr/>
            </w:pPr>
            <w:r w:rsidDel="00000000" w:rsidR="00000000" w:rsidRPr="00000000">
              <w:rPr>
                <w:sz w:val="19"/>
                <w:szCs w:val="19"/>
                <w:rtl w:val="0"/>
              </w:rPr>
              <w:t xml:space="preserve">5 long / 5 short, dollar-neutral, 2x gross (1x per side)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7">
            <w:pPr>
              <w:rPr/>
            </w:pPr>
            <w:r w:rsidDel="00000000" w:rsidR="00000000" w:rsidRPr="00000000">
              <w:rPr>
                <w:sz w:val="19"/>
                <w:szCs w:val="19"/>
                <w:rtl w:val="0"/>
              </w:rPr>
              <w:t xml:space="preserve">Rebalance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8">
            <w:pPr>
              <w:rPr/>
            </w:pPr>
            <w:r w:rsidDel="00000000" w:rsidR="00000000" w:rsidRPr="00000000">
              <w:rPr>
                <w:sz w:val="19"/>
                <w:szCs w:val="19"/>
                <w:rtl w:val="0"/>
              </w:rPr>
              <w:t xml:space="preserve">Every 8 hours on the UTC grid (00/08/16), aligned with funding settlements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9">
            <w:pPr>
              <w:rPr/>
            </w:pPr>
            <w:r w:rsidDel="00000000" w:rsidR="00000000" w:rsidRPr="00000000">
              <w:rPr>
                <w:sz w:val="19"/>
                <w:szCs w:val="19"/>
                <w:rtl w:val="0"/>
              </w:rPr>
              <w:t xml:space="preserve">Signal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A">
            <w:pPr>
              <w:rPr/>
            </w:pPr>
            <w:r w:rsidDel="00000000" w:rsidR="00000000" w:rsidRPr="00000000">
              <w:rPr>
                <w:sz w:val="19"/>
                <w:szCs w:val="19"/>
                <w:rtl w:val="0"/>
              </w:rPr>
              <w:t xml:space="preserve">LightGBM prediction of 8h forward return in ATR units, cross-sectionally demeaned target, ranked across the book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B">
            <w:pPr>
              <w:rPr/>
            </w:pPr>
            <w:r w:rsidDel="00000000" w:rsidR="00000000" w:rsidRPr="00000000">
              <w:rPr>
                <w:sz w:val="19"/>
                <w:szCs w:val="19"/>
                <w:rtl w:val="0"/>
              </w:rPr>
              <w:t xml:space="preserve">Weights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C">
            <w:pPr>
              <w:rPr/>
            </w:pPr>
            <w:r w:rsidDel="00000000" w:rsidR="00000000" w:rsidRPr="00000000">
              <w:rPr>
                <w:sz w:val="19"/>
                <w:szCs w:val="19"/>
                <w:rtl w:val="0"/>
              </w:rPr>
              <w:t xml:space="preserve">Inverse-ATR within each leg; positions netted, only changes traded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D">
            <w:pPr>
              <w:rPr/>
            </w:pPr>
            <w:r w:rsidDel="00000000" w:rsidR="00000000" w:rsidRPr="00000000">
              <w:rPr>
                <w:sz w:val="19"/>
                <w:szCs w:val="19"/>
                <w:rtl w:val="0"/>
              </w:rPr>
              <w:t xml:space="preserve">Model refresh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E">
            <w:pPr>
              <w:rPr/>
            </w:pPr>
            <w:r w:rsidDel="00000000" w:rsidR="00000000" w:rsidRPr="00000000">
              <w:rPr>
                <w:sz w:val="19"/>
                <w:szCs w:val="19"/>
                <w:rtl w:val="0"/>
              </w:rPr>
              <w:t xml:space="preserve">Retrained monthly on the trailing 12 months, purged of unrealized labels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sz w:val="19"/>
                <w:szCs w:val="19"/>
                <w:rtl w:val="0"/>
              </w:rPr>
              <w:t xml:space="preserve">Execution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sz w:val="19"/>
                <w:szCs w:val="19"/>
                <w:rtl w:val="0"/>
              </w:rPr>
              <w:t xml:space="preserve">Post-only limit at the bar-open reference, worked 15 min, then cross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sz w:val="19"/>
                <w:szCs w:val="19"/>
                <w:rtl w:val="0"/>
              </w:rPr>
              <w:t xml:space="preserve">Costs modelled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sz w:val="19"/>
                <w:szCs w:val="19"/>
                <w:rtl w:val="0"/>
              </w:rPr>
              <w:t xml:space="preserve">Taker 3 bps + 1 bp slippage; maker rebate 1 bp; funding at real settlements</w:t>
            </w:r>
            <w:r w:rsidDel="00000000" w:rsidR="00000000" w:rsidRPr="00000000">
              <w:rPr>
                <w:rtl w:val="0"/>
              </w:rPr>
            </w:r>
          </w:p>
        </w:tc>
      </w:tr>
    </w:tbl>
    <w:p w:rsidR="00000000" w:rsidDel="00000000" w:rsidP="00000000" w:rsidRDefault="00000000" w:rsidRPr="00000000" w14:paraId="00000023">
      <w:pPr>
        <w:pStyle w:val="Heading1"/>
        <w:spacing w:after="120" w:before="300" w:lineRule="auto"/>
        <w:rPr/>
      </w:pPr>
      <w:r w:rsidDel="00000000" w:rsidR="00000000" w:rsidRPr="00000000">
        <w:rPr>
          <w:rtl w:val="0"/>
        </w:rPr>
      </w:r>
    </w:p>
    <w:p w:rsidR="00000000" w:rsidDel="00000000" w:rsidP="00000000" w:rsidRDefault="00000000" w:rsidRPr="00000000" w14:paraId="00000024">
      <w:pPr>
        <w:pStyle w:val="Heading1"/>
        <w:spacing w:after="120" w:before="300" w:lineRule="auto"/>
        <w:rPr/>
      </w:pPr>
      <w:r w:rsidDel="00000000" w:rsidR="00000000" w:rsidRPr="00000000">
        <w:rPr>
          <w:rtl w:val="0"/>
        </w:rPr>
        <w:t xml:space="preserve">Strategy Overview</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Asset class and market traded: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Crypto, linear USDT-margined perpetual futures on the most liquid 20 names (BTC, ETH, SOL, XRP, DOGE and the liquid alts of the month).</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Instruments used: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Perpetual swaps only; no spot, no options. Long and short legs of equal notional.</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Time horizon: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Each position is held for 8 hours; the book is re-ranked every 8 hours.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Trading frequency: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 rebalances per day; about 1.9 of the 2.0x gross changes hands per rebalance (most names are replaced each period). Roughly 5.6x equity traded per day.</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Core hypothesis and market inefficiency: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Over an 8-hour horizon, relative returns across liquid perps are partly predictable from funding-rate regime (level, 6-settlement mean, 12-settlement dispersion), 24-hour realized volatility, ATR level, short-horizon reversal, time of day/week and, importantly, a slow per-name premium the model learns from the trailing year (a name's tendency to under- or outperform the pool after funding). These are crowding and carry effects: names where leverage is stretched in one direction tend to underperform peers over the next settlement cycle.</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Why the strategy has an edge: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ranking is right more often than not, consistently: rank correlation between prediction and outcome across the book was positive in 56 of 56 out-of-sample months from July 2021 to February 2026 (mean +0.057), and in 5 of the 7 holdout months of 2026. The full-period result is 8.8 standard deviations above random books with the same names and costs. The edge per unit traded (~4.6 bps over the full period, ~1.4 bps in 2026) is small; the strategy works only if all-in execution cost is held near 1 bp per side, which is why passive execution is the design, not an optimization.</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Discretionary, systematic or hybrid: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Fully systematic. Manual intervention limited to the kill switch and the monitoring rules.</w:t>
      </w:r>
    </w:p>
    <w:p w:rsidR="00000000" w:rsidDel="00000000" w:rsidP="00000000" w:rsidRDefault="00000000" w:rsidRPr="00000000" w14:paraId="0000002C">
      <w:pPr>
        <w:spacing w:after="70" w:line="276" w:lineRule="auto"/>
        <w:rPr/>
      </w:pPr>
      <w:r w:rsidDel="00000000" w:rsidR="00000000" w:rsidRPr="00000000">
        <w:rPr>
          <w:rtl w:val="0"/>
        </w:rPr>
      </w:r>
    </w:p>
    <w:p w:rsidR="00000000" w:rsidDel="00000000" w:rsidP="00000000" w:rsidRDefault="00000000" w:rsidRPr="00000000" w14:paraId="0000002D">
      <w:pPr>
        <w:pStyle w:val="Heading1"/>
        <w:spacing w:after="120" w:before="300" w:lineRule="auto"/>
        <w:rPr/>
      </w:pPr>
      <w:r w:rsidDel="00000000" w:rsidR="00000000" w:rsidRPr="00000000">
        <w:rPr>
          <w:rtl w:val="0"/>
        </w:rPr>
        <w:t xml:space="preserve">1. Market rationale</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MS (market structure):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24/7 permissionless venues, no closing auction, retail-heavy participation in alts, funding settlements every 8h (some venues 1–4h) that force periodic re-pricing of leverage. Cross-sectional dispersion among alts is high and changes with regime. The 8h grid places every decision at a settlement, when the funding features are freshest.</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EC (entry criteria):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At each 8h grid time, predictions are demeaned across the 20 book names; the top 5 are bought, the bottom 5 sold. No discretionary filter on direction; the book is neutral by construction.</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PSL (position sizing logic):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Inverse-ATR weights within each leg so each name carries similar risk; legs scaled to equal notional (1x equity each). Optional book-level vol targeting (1.5% daily) tested and available.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SL (stop loss):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 per-position stop: the hold is 8 hours and the position is re-ranked at the next grid time. Book-level loss limits act as the stop. </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TP (take profit):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None. Exit is time-based at the next rebalance; a name that remains in the same leg is held, not re-traded.</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Filters used to avoid poor trades: </w:t>
      </w: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Liquidity gate (≥ 5M USDT median daily quote volume, ≥ 180 days history); stablecoin and leveraged-token pairs excluded; a period is skipped if fewer than 10 book names have a valid prediction; names with a data gap are not traded that period. Prediction-magnitude thresholds were tested and rejected: they unbalance the legs and reduce the sample without improving the edge.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Data inputs required: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1-minute OHLCV with taker-buy volume per name; funding-rate history with settlement timestamps; BTC bars for cross-asset features. Live: the same, with sub-minute latency at the grid times.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Assumptions behind the model: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Signal is stationary enough for a 12-month training window (a 6-month window was tested and is slightly worse); a resting limit at the bar-open price fills when price trades 1–2 bps through it within 15 minutes; order size is small relative to 1-minute traded volume; costs as in the parameter table. The last three are execution assumptions that historical data cannot verify.</w:t>
      </w:r>
    </w:p>
    <w:p w:rsidR="00000000" w:rsidDel="00000000" w:rsidP="00000000" w:rsidRDefault="00000000" w:rsidRPr="00000000" w14:paraId="00000036">
      <w:pPr>
        <w:pStyle w:val="Heading1"/>
        <w:spacing w:after="120" w:before="300" w:lineRule="auto"/>
        <w:rPr/>
      </w:pPr>
      <w:r w:rsidDel="00000000" w:rsidR="00000000" w:rsidRPr="00000000">
        <w:rPr>
          <w:rtl w:val="0"/>
        </w:rPr>
        <w:t xml:space="preserve">4. Backtesting and research</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Backtest period: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Training data from January 2020; out-of-sample walk-forward predictions July 2021 to February 2026 (56 monthly folds); a separate untouched holdout March to mid-September 2026, run once after all design choices were fixed and reported below without adjustment.</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Data source: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Binance USDT-M perpetuals, 790 symbols, 1-minute bars and funding history, delisted names included (survivorship-free at the top-20 level; LUNA is in the January 2022 book).</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Sample size: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5,708 eight-hour rebalance periods, 136 distinct book names, ~114,000 name-period ranking decisions on the book, ~3.4 million name-bar predictions.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Transaction cost: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Taker 3 bps per side (</w:t>
      </w:r>
      <w:r w:rsidDel="00000000" w:rsidR="00000000" w:rsidRPr="00000000">
        <w:rPr>
          <w:rtl w:val="0"/>
        </w:rPr>
        <w:t xml:space="preserve">a little bit more than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our tier) plus 1 bp assumed slippage; maker rebate 1 bp; funding charged per name at each real settlement inside the hold.</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Slippage assumptions: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Flat 1 bp on taker fills. For passive execution, fills are simulated on the real 1-minute path: an order counts as filled only if price trades through the limit by 1 bp (base) or 2 bp (strict) within 15 minutes; otherwise it is crossed as taker. Adverse selection (filled orders that then move against us) is captured because P&amp;L on the filled portion is priced from the actual fill to the actual exit.</w:t>
      </w:r>
    </w:p>
    <w:p w:rsidR="00000000" w:rsidDel="00000000" w:rsidP="00000000" w:rsidRDefault="00000000" w:rsidRPr="00000000" w14:paraId="0000003C">
      <w:pPr>
        <w:spacing w:after="100" w:lineRule="auto"/>
        <w:rPr/>
      </w:pPr>
      <w:r w:rsidDel="00000000" w:rsidR="00000000" w:rsidRPr="00000000">
        <w:rPr>
          <w:rtl w:val="0"/>
        </w:rPr>
      </w:r>
    </w:p>
    <w:tbl>
      <w:tblPr>
        <w:tblStyle w:val="Table2"/>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0"/>
        <w:gridCol w:w="1100"/>
        <w:gridCol w:w="1600"/>
        <w:gridCol w:w="1700"/>
        <w:gridCol w:w="1000"/>
        <w:gridCol w:w="1500"/>
        <w:tblGridChange w:id="0">
          <w:tblGrid>
            <w:gridCol w:w="3300"/>
            <w:gridCol w:w="1100"/>
            <w:gridCol w:w="1600"/>
            <w:gridCol w:w="1700"/>
            <w:gridCol w:w="1000"/>
            <w:gridCol w:w="15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fefef" w:val="clear"/>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b w:val="1"/>
                <w:bCs w:val="1"/>
                <w:sz w:val="19"/>
                <w:szCs w:val="19"/>
                <w:rtl w:val="0"/>
              </w:rPr>
              <w:t xml:space="preserve">Execution (full period 2021-07 to 2026-09, holdout included)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b w:val="1"/>
                <w:bCs w:val="1"/>
                <w:sz w:val="19"/>
                <w:szCs w:val="19"/>
                <w:rtl w:val="0"/>
              </w:rPr>
              <w:t xml:space="preserve">Fill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b w:val="1"/>
                <w:bCs w:val="1"/>
                <w:sz w:val="19"/>
                <w:szCs w:val="19"/>
                <w:rtl w:val="0"/>
              </w:rPr>
              <w:t xml:space="preserve">All-in cost bps/side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b w:val="1"/>
                <w:bCs w:val="1"/>
                <w:sz w:val="19"/>
                <w:szCs w:val="19"/>
                <w:rtl w:val="0"/>
              </w:rPr>
              <w:t xml:space="preserve">Net total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b w:val="1"/>
                <w:bCs w:val="1"/>
                <w:sz w:val="19"/>
                <w:szCs w:val="19"/>
                <w:rtl w:val="0"/>
              </w:rPr>
              <w:t xml:space="preserve">Sharpe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b w:val="1"/>
                <w:bCs w:val="1"/>
                <w:sz w:val="19"/>
                <w:szCs w:val="19"/>
                <w:rtl w:val="0"/>
              </w:rPr>
              <w:t xml:space="preserve">Max drawdown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sz w:val="19"/>
                <w:szCs w:val="19"/>
                <w:rtl w:val="0"/>
              </w:rPr>
              <w:t xml:space="preserve">Flat taker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sz w:val="19"/>
                <w:szCs w:val="19"/>
                <w:rtl w:val="0"/>
              </w:rPr>
              <w:t xml:space="preserve">4.0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sz w:val="19"/>
                <w:szCs w:val="19"/>
                <w:rtl w:val="0"/>
              </w:rPr>
              <w:t xml:space="preserve">+0.46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sz w:val="19"/>
                <w:szCs w:val="19"/>
                <w:rtl w:val="0"/>
              </w:rPr>
              <w:t xml:space="preserve">0.21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sz w:val="19"/>
                <w:szCs w:val="19"/>
                <w:rtl w:val="0"/>
              </w:rPr>
              <w:t xml:space="preserve">−0.74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sz w:val="19"/>
                <w:szCs w:val="19"/>
                <w:rtl w:val="0"/>
              </w:rPr>
              <w:t xml:space="preserve">Simulated passive, 1 bp through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sz w:val="19"/>
                <w:szCs w:val="19"/>
                <w:rtl w:val="0"/>
              </w:rPr>
              <w:t xml:space="preserve">95%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sz w:val="19"/>
                <w:szCs w:val="19"/>
                <w:rtl w:val="0"/>
              </w:rPr>
              <w:t xml:space="preserve">1.09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sz w:val="19"/>
                <w:szCs w:val="19"/>
                <w:rtl w:val="0"/>
              </w:rPr>
              <w:t xml:space="preserve">+3.58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sz w:val="19"/>
                <w:szCs w:val="19"/>
                <w:rtl w:val="0"/>
              </w:rPr>
              <w:t xml:space="preserve">1.58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sz w:val="19"/>
                <w:szCs w:val="19"/>
                <w:rtl w:val="0"/>
              </w:rPr>
              <w:t xml:space="preserve">−0.58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sz w:val="19"/>
                <w:szCs w:val="19"/>
                <w:rtl w:val="0"/>
              </w:rPr>
              <w:t xml:space="preserve">Simulated passive, 2 bp through (conservative)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sz w:val="19"/>
                <w:szCs w:val="19"/>
                <w:rtl w:val="0"/>
              </w:rPr>
              <w:t xml:space="preserve">93%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sz w:val="19"/>
                <w:szCs w:val="19"/>
                <w:rtl w:val="0"/>
              </w:rPr>
              <w:t xml:space="preserve">2.04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sz w:val="19"/>
                <w:szCs w:val="19"/>
                <w:rtl w:val="0"/>
              </w:rPr>
              <w:t xml:space="preserve">+2.56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sz w:val="19"/>
                <w:szCs w:val="19"/>
                <w:rtl w:val="0"/>
              </w:rPr>
              <w:t xml:space="preserve">1.13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sz w:val="19"/>
                <w:szCs w:val="19"/>
                <w:rtl w:val="0"/>
              </w:rPr>
              <w:t xml:space="preserve">−0.64</w:t>
            </w:r>
            <w:r w:rsidDel="00000000" w:rsidR="00000000" w:rsidRPr="00000000">
              <w:rPr>
                <w:rtl w:val="0"/>
              </w:rPr>
            </w:r>
          </w:p>
        </w:tc>
      </w:tr>
    </w:tbl>
    <w:p w:rsidR="00000000" w:rsidDel="00000000" w:rsidP="00000000" w:rsidRDefault="00000000" w:rsidRPr="00000000" w14:paraId="00000055">
      <w:pPr>
        <w:spacing w:after="100" w:lineRule="auto"/>
        <w:rPr/>
      </w:pPr>
      <w:r w:rsidDel="00000000" w:rsidR="00000000" w:rsidRPr="00000000">
        <w:rPr>
          <w:rtl w:val="0"/>
        </w:rPr>
      </w:r>
    </w:p>
    <w:tbl>
      <w:tblPr>
        <w:tblStyle w:val="Table3"/>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0"/>
        <w:gridCol w:w="1200"/>
        <w:gridCol w:w="2000"/>
        <w:gridCol w:w="2000"/>
        <w:gridCol w:w="1400"/>
        <w:tblGridChange w:id="0">
          <w:tblGrid>
            <w:gridCol w:w="3300"/>
            <w:gridCol w:w="1200"/>
            <w:gridCol w:w="2000"/>
            <w:gridCol w:w="2000"/>
            <w:gridCol w:w="14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fefef" w:val="clear"/>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b w:val="1"/>
                <w:bCs w:val="1"/>
                <w:sz w:val="19"/>
                <w:szCs w:val="19"/>
                <w:rtl w:val="0"/>
              </w:rPr>
              <w:t xml:space="preserve">Year (passive, 1 bp through)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b w:val="1"/>
                <w:bCs w:val="1"/>
                <w:sz w:val="19"/>
                <w:szCs w:val="19"/>
                <w:rtl w:val="0"/>
              </w:rPr>
              <w:t xml:space="preserve">Net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b w:val="1"/>
                <w:bCs w:val="1"/>
                <w:sz w:val="19"/>
                <w:szCs w:val="19"/>
                <w:rtl w:val="0"/>
              </w:rPr>
              <w:t xml:space="preserve">Edge bps / unit traded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b w:val="1"/>
                <w:bCs w:val="1"/>
                <w:sz w:val="19"/>
                <w:szCs w:val="19"/>
                <w:rtl w:val="0"/>
              </w:rPr>
              <w:t xml:space="preserve">Simulated cost bps/side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b w:val="1"/>
                <w:bCs w:val="1"/>
                <w:sz w:val="19"/>
                <w:szCs w:val="19"/>
                <w:rtl w:val="0"/>
              </w:rPr>
              <w:t xml:space="preserve">Fill rate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sz w:val="19"/>
                <w:szCs w:val="19"/>
                <w:rtl w:val="0"/>
              </w:rPr>
              <w:t xml:space="preserve">2021 H2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sz w:val="19"/>
                <w:szCs w:val="19"/>
                <w:rtl w:val="0"/>
              </w:rPr>
              <w:t xml:space="preserve">+0.63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sz w:val="19"/>
                <w:szCs w:val="19"/>
                <w:rtl w:val="0"/>
              </w:rPr>
              <w:t xml:space="preserve">7.3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sz w:val="19"/>
                <w:szCs w:val="19"/>
                <w:rtl w:val="0"/>
              </w:rPr>
              <w:t xml:space="preserve">0.37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sz w:val="19"/>
                <w:szCs w:val="19"/>
                <w:rtl w:val="0"/>
              </w:rPr>
              <w:t xml:space="preserve">98%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sz w:val="19"/>
                <w:szCs w:val="19"/>
                <w:rtl w:val="0"/>
              </w:rPr>
              <w:t xml:space="preserve">2022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sz w:val="19"/>
                <w:szCs w:val="19"/>
                <w:rtl w:val="0"/>
              </w:rPr>
              <w:t xml:space="preserve">+1.09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sz w:val="19"/>
                <w:szCs w:val="19"/>
                <w:rtl w:val="0"/>
              </w:rPr>
              <w:t xml:space="preserve">6.3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sz w:val="19"/>
                <w:szCs w:val="19"/>
                <w:rtl w:val="0"/>
              </w:rPr>
              <w:t xml:space="preserve">0.84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sz w:val="19"/>
                <w:szCs w:val="19"/>
                <w:rtl w:val="0"/>
              </w:rPr>
              <w:t xml:space="preserve">97%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sz w:val="19"/>
                <w:szCs w:val="19"/>
                <w:rtl w:val="0"/>
              </w:rPr>
              <w:t xml:space="preserve">2023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sz w:val="19"/>
                <w:szCs w:val="19"/>
                <w:rtl w:val="0"/>
              </w:rPr>
              <w:t xml:space="preserve">+0.37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sz w:val="19"/>
                <w:szCs w:val="19"/>
                <w:rtl w:val="0"/>
              </w:rPr>
              <w:t xml:space="preserve">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sz w:val="19"/>
                <w:szCs w:val="19"/>
                <w:rtl w:val="0"/>
              </w:rPr>
              <w:t xml:space="preserve">0.73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sz w:val="19"/>
                <w:szCs w:val="19"/>
                <w:rtl w:val="0"/>
              </w:rPr>
              <w:t xml:space="preserve">96%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sz w:val="19"/>
                <w:szCs w:val="19"/>
                <w:rtl w:val="0"/>
              </w:rPr>
              <w:t xml:space="preserve">2024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sz w:val="19"/>
                <w:szCs w:val="19"/>
                <w:rtl w:val="0"/>
              </w:rPr>
              <w:t xml:space="preserve">+0.54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sz w:val="19"/>
                <w:szCs w:val="19"/>
                <w:rtl w:val="0"/>
              </w:rPr>
              <w:t xml:space="preserve">4.1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sz w:val="19"/>
                <w:szCs w:val="19"/>
                <w:rtl w:val="0"/>
              </w:rPr>
              <w:t xml:space="preserve">1.31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sz w:val="19"/>
                <w:szCs w:val="19"/>
                <w:rtl w:val="0"/>
              </w:rPr>
              <w:t xml:space="preserve">96%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F">
            <w:pPr>
              <w:rPr/>
            </w:pPr>
            <w:r w:rsidDel="00000000" w:rsidR="00000000" w:rsidRPr="00000000">
              <w:rPr>
                <w:sz w:val="19"/>
                <w:szCs w:val="19"/>
                <w:rtl w:val="0"/>
              </w:rPr>
              <w:t xml:space="preserve">2025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0">
            <w:pPr>
              <w:rPr/>
            </w:pPr>
            <w:r w:rsidDel="00000000" w:rsidR="00000000" w:rsidRPr="00000000">
              <w:rPr>
                <w:sz w:val="19"/>
                <w:szCs w:val="19"/>
                <w:rtl w:val="0"/>
              </w:rPr>
              <w:t xml:space="preserve">+1.03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1">
            <w:pPr>
              <w:rPr/>
            </w:pPr>
            <w:r w:rsidDel="00000000" w:rsidR="00000000" w:rsidRPr="00000000">
              <w:rPr>
                <w:sz w:val="19"/>
                <w:szCs w:val="19"/>
                <w:rtl w:val="0"/>
              </w:rPr>
              <w:t xml:space="preserve">6.6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2">
            <w:pPr>
              <w:rPr/>
            </w:pPr>
            <w:r w:rsidDel="00000000" w:rsidR="00000000" w:rsidRPr="00000000">
              <w:rPr>
                <w:sz w:val="19"/>
                <w:szCs w:val="19"/>
                <w:rtl w:val="0"/>
              </w:rPr>
              <w:t xml:space="preserve">1.52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3">
            <w:pPr>
              <w:rPr/>
            </w:pPr>
            <w:r w:rsidDel="00000000" w:rsidR="00000000" w:rsidRPr="00000000">
              <w:rPr>
                <w:sz w:val="19"/>
                <w:szCs w:val="19"/>
                <w:rtl w:val="0"/>
              </w:rPr>
              <w:t xml:space="preserve">94%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4">
            <w:pPr>
              <w:rPr/>
            </w:pPr>
            <w:r w:rsidDel="00000000" w:rsidR="00000000" w:rsidRPr="00000000">
              <w:rPr>
                <w:sz w:val="19"/>
                <w:szCs w:val="19"/>
                <w:rtl w:val="0"/>
              </w:rPr>
              <w:t xml:space="preserve">2026 holdout (Mar–Sep)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sz w:val="19"/>
                <w:szCs w:val="19"/>
                <w:rtl w:val="0"/>
              </w:rPr>
              <w:t xml:space="preserve">−0.09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6">
            <w:pPr>
              <w:rPr/>
            </w:pPr>
            <w:r w:rsidDel="00000000" w:rsidR="00000000" w:rsidRPr="00000000">
              <w:rPr>
                <w:sz w:val="19"/>
                <w:szCs w:val="19"/>
                <w:rtl w:val="0"/>
              </w:rPr>
              <w:t xml:space="preserve">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7">
            <w:pPr>
              <w:rPr/>
            </w:pPr>
            <w:r w:rsidDel="00000000" w:rsidR="00000000" w:rsidRPr="00000000">
              <w:rPr>
                <w:sz w:val="19"/>
                <w:szCs w:val="19"/>
                <w:rtl w:val="0"/>
              </w:rPr>
              <w:t xml:space="preserve">1.46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8">
            <w:pPr>
              <w:rPr/>
            </w:pPr>
            <w:r w:rsidDel="00000000" w:rsidR="00000000" w:rsidRPr="00000000">
              <w:rPr>
                <w:sz w:val="19"/>
                <w:szCs w:val="19"/>
                <w:rtl w:val="0"/>
              </w:rPr>
              <w:t xml:space="preserve">91%</w:t>
            </w:r>
            <w:r w:rsidDel="00000000" w:rsidR="00000000" w:rsidRPr="00000000">
              <w:rPr>
                <w:rtl w:val="0"/>
              </w:rPr>
            </w:r>
          </w:p>
        </w:tc>
      </w:tr>
    </w:tbl>
    <w:p w:rsidR="00000000" w:rsidDel="00000000" w:rsidP="00000000" w:rsidRDefault="00000000" w:rsidRPr="00000000" w14:paraId="00000079">
      <w:pPr>
        <w:spacing w:after="100" w:lineRule="auto"/>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Performance vs out-of-sample results: </w:t>
      </w: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All figures are out of sample (walk-forward). In sample (July 2021 to February 2026) the passive-execution result was +3.66 total, Sharpe ~1.9, every calendar year positive. The 2026 holdout is break-even to slightly negative: book rank correlation averaged +0.014 (vs +0.057 in sample; 5 of 7 months positive, worst −0.046 in the half-month of September), edge per unit traded fell to 1.4 bps against a simulated cost of 1.5 bps, and the fill rate slipped to 91%. The signal did not invert (a daily-horizon variant did, and was rejected) but has lost roughly three quarters of its strength.</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Symbol-identity ablation: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model's most important input is the name itself (a categorical feature learned from the trailing 12 months). Removing it cuts the rank correlation from +0.052 to +0.033, raises turnover from 1.9 to 2.3 per period, and cuts the passive-execution result from +3.58 to +1.78 (Sharpe 0.76); the no-identity model has a losing year (2023) and a 2026 holdout correlation of ~0. The identity component is legitimate (learned only from past data, on a cross-sectionally demeaned target) and it still added value in the holdout, but it is a slow carry-and-drift ranking and is the part of the edge most likely to decay. We retain it; its contribution should be monitored monthly.</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Walk-forward and robustness testing: </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Rolling 12-month train / 1-month test with label purging; </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lookahead self-test that recomputes features from truncated data; funding visible only after its settlement timestamp; </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random-book baselines (200 seeds) with identical costs;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tl w:val="0"/>
        </w:rPr>
        <w:t xml:space="preserve">Maderandome trades, 5-long, 5-short, with identical costs. The resulting average is deeply negative. The real book sits 8.8 standard deviations above the random guesses. </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rtl w:val="0"/>
        </w:rPr>
        <w:t xml:space="preserve">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op-N-removal fragility (on a taker basis the result is fragile — negative after removing the 10 best periods — because taker cost consumes 87% of gross; on a passive basis the cushion is ~3.5x larger); per-leg attribution (both legs positive, long +2.3 / short +2.6 gross); 6- vs 12-month training window; </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4h vs 8h horizon (8h has lower turnover and higher net per period, comparable holdout); </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turnover-reduction mechanisms (hysteresis, smoothing, caps — none help at 4h); </w:t>
      </w:r>
    </w:p>
    <w:p w:rsidR="00000000" w:rsidDel="00000000" w:rsidP="00000000" w:rsidRDefault="00000000" w:rsidRPr="00000000" w14:paraId="00000083">
      <w:pPr>
        <w:spacing w:after="70" w:line="276" w:lineRule="auto"/>
        <w:rPr/>
      </w:pPr>
      <w:r w:rsidDel="00000000" w:rsidR="00000000" w:rsidRPr="00000000">
        <w:rPr>
          <w:rtl w:val="0"/>
        </w:rPr>
      </w:r>
    </w:p>
    <w:p w:rsidR="00000000" w:rsidDel="00000000" w:rsidP="00000000" w:rsidRDefault="00000000" w:rsidRPr="00000000" w14:paraId="00000084">
      <w:pPr>
        <w:pStyle w:val="Heading1"/>
        <w:spacing w:after="120" w:before="300" w:lineRule="auto"/>
        <w:rPr/>
      </w:pPr>
      <w:r w:rsidDel="00000000" w:rsidR="00000000" w:rsidRPr="00000000">
        <w:rPr>
          <w:rtl w:val="0"/>
        </w:rPr>
        <w:t xml:space="preserve">5. Expected returns and risk</w:t>
      </w:r>
    </w:p>
    <w:p w:rsidR="00000000" w:rsidDel="00000000" w:rsidP="00000000" w:rsidRDefault="00000000" w:rsidRPr="00000000" w14:paraId="00000085">
      <w:pPr>
        <w:spacing w:after="120" w:line="276" w:lineRule="auto"/>
        <w:rPr/>
      </w:pPr>
      <w:r w:rsidDel="00000000" w:rsidR="00000000" w:rsidRPr="00000000">
        <w:rPr>
          <w:rtl w:val="0"/>
        </w:rPr>
        <w:t xml:space="preserve">Two figures are given: the historical figure, and the figure at the signal strength observed in the 2026 holdout. The second is the one to plan on. Units: fractions of allocated equity per year, additive, at 2x gross.</w:t>
      </w:r>
    </w:p>
    <w:p w:rsidR="00000000" w:rsidDel="00000000" w:rsidP="00000000" w:rsidRDefault="00000000" w:rsidRPr="00000000" w14:paraId="00000086">
      <w:pPr>
        <w:spacing w:after="120" w:line="276" w:lineRule="auto"/>
        <w:rPr/>
      </w:pPr>
      <w:r w:rsidDel="00000000" w:rsidR="00000000" w:rsidRPr="00000000">
        <w:rPr>
          <w:rFonts w:ascii="Arial" w:cs="Arial" w:eastAsia="Arial" w:hAnsi="Arial"/>
          <w:b w:val="1"/>
          <w:bCs w:val="1"/>
          <w:sz w:val="21"/>
          <w:szCs w:val="21"/>
          <w:rtl w:val="0"/>
        </w:rPr>
        <w:t xml:space="preserve">Whole-period track record (out of sample, walk-forward; all rows from the same prediction file):</w:t>
      </w:r>
      <w:r w:rsidDel="00000000" w:rsidR="00000000" w:rsidRPr="00000000">
        <w:rPr>
          <w:rtl w:val="0"/>
        </w:rPr>
      </w:r>
    </w:p>
    <w:tbl>
      <w:tblPr>
        <w:tblStyle w:val="Table4"/>
        <w:tblW w:w="9639.0" w:type="dxa"/>
        <w:jc w:val="left"/>
        <w:tblLayout w:type="fixed"/>
        <w:tblLook w:val="0400"/>
      </w:tblPr>
      <w:tblGrid>
        <w:gridCol w:w="1377"/>
        <w:gridCol w:w="1377"/>
        <w:gridCol w:w="1377"/>
        <w:gridCol w:w="1377"/>
        <w:gridCol w:w="1377"/>
        <w:gridCol w:w="1377"/>
        <w:gridCol w:w="1377"/>
        <w:tblGridChange w:id="0">
          <w:tblGrid>
            <w:gridCol w:w="1377"/>
            <w:gridCol w:w="1377"/>
            <w:gridCol w:w="1377"/>
            <w:gridCol w:w="1377"/>
            <w:gridCol w:w="1377"/>
            <w:gridCol w:w="1377"/>
            <w:gridCol w:w="1377"/>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87">
            <w:pPr>
              <w:rPr/>
            </w:pPr>
            <w:r w:rsidDel="00000000" w:rsidR="00000000" w:rsidRPr="00000000">
              <w:rPr>
                <w:rFonts w:ascii="Arial" w:cs="Arial" w:eastAsia="Arial" w:hAnsi="Arial"/>
                <w:b w:val="1"/>
                <w:bCs w:val="1"/>
                <w:sz w:val="18"/>
                <w:szCs w:val="18"/>
                <w:rtl w:val="0"/>
              </w:rPr>
              <w:t xml:space="preserve">Execution (N=5, 2x gross)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88">
            <w:pPr>
              <w:rPr/>
            </w:pPr>
            <w:r w:rsidDel="00000000" w:rsidR="00000000" w:rsidRPr="00000000">
              <w:rPr>
                <w:rFonts w:ascii="Arial" w:cs="Arial" w:eastAsia="Arial" w:hAnsi="Arial"/>
                <w:b w:val="1"/>
                <w:bCs w:val="1"/>
                <w:sz w:val="18"/>
                <w:szCs w:val="18"/>
                <w:rtl w:val="0"/>
              </w:rPr>
              <w:t xml:space="preserve">Period (years)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89">
            <w:pPr>
              <w:rPr/>
            </w:pPr>
            <w:r w:rsidDel="00000000" w:rsidR="00000000" w:rsidRPr="00000000">
              <w:rPr>
                <w:rFonts w:ascii="Arial" w:cs="Arial" w:eastAsia="Arial" w:hAnsi="Arial"/>
                <w:b w:val="1"/>
                <w:bCs w:val="1"/>
                <w:sz w:val="18"/>
                <w:szCs w:val="18"/>
                <w:rtl w:val="0"/>
              </w:rPr>
              <w:t xml:space="preserve">Total, additive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8A">
            <w:pPr>
              <w:rPr/>
            </w:pPr>
            <w:r w:rsidDel="00000000" w:rsidR="00000000" w:rsidRPr="00000000">
              <w:rPr>
                <w:rFonts w:ascii="Arial" w:cs="Arial" w:eastAsia="Arial" w:hAnsi="Arial"/>
                <w:b w:val="1"/>
                <w:bCs w:val="1"/>
                <w:sz w:val="18"/>
                <w:szCs w:val="18"/>
                <w:rtl w:val="0"/>
              </w:rPr>
              <w:t xml:space="preserve">Annualised, arithmetic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8B">
            <w:pPr>
              <w:rPr/>
            </w:pPr>
            <w:r w:rsidDel="00000000" w:rsidR="00000000" w:rsidRPr="00000000">
              <w:rPr>
                <w:rFonts w:ascii="Arial" w:cs="Arial" w:eastAsia="Arial" w:hAnsi="Arial"/>
                <w:b w:val="1"/>
                <w:bCs w:val="1"/>
                <w:sz w:val="18"/>
                <w:szCs w:val="18"/>
                <w:rtl w:val="0"/>
              </w:rPr>
              <w:t xml:space="preserve">Sharpe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8C">
            <w:pPr>
              <w:rPr/>
            </w:pPr>
            <w:r w:rsidDel="00000000" w:rsidR="00000000" w:rsidRPr="00000000">
              <w:rPr>
                <w:rFonts w:ascii="Arial" w:cs="Arial" w:eastAsia="Arial" w:hAnsi="Arial"/>
                <w:b w:val="1"/>
                <w:bCs w:val="1"/>
                <w:sz w:val="18"/>
                <w:szCs w:val="18"/>
                <w:rtl w:val="0"/>
              </w:rPr>
              <w:t xml:space="preserve">Max DD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8D">
            <w:pPr>
              <w:rPr/>
            </w:pPr>
            <w:r w:rsidDel="00000000" w:rsidR="00000000" w:rsidRPr="00000000">
              <w:rPr>
                <w:rFonts w:ascii="Arial" w:cs="Arial" w:eastAsia="Arial" w:hAnsi="Arial"/>
                <w:b w:val="1"/>
                <w:bCs w:val="1"/>
                <w:sz w:val="18"/>
                <w:szCs w:val="18"/>
                <w:rtl w:val="0"/>
              </w:rPr>
              <w:t xml:space="preserve">CAGR if compounded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E">
            <w:pPr>
              <w:rPr>
                <w:highlight w:val="yellow"/>
              </w:rPr>
            </w:pPr>
            <w:r w:rsidDel="00000000" w:rsidR="00000000" w:rsidRPr="00000000">
              <w:rPr>
                <w:rFonts w:ascii="Arial" w:cs="Arial" w:eastAsia="Arial" w:hAnsi="Arial"/>
                <w:sz w:val="18"/>
                <w:szCs w:val="18"/>
                <w:highlight w:val="yellow"/>
                <w:rtl w:val="0"/>
              </w:rPr>
              <w:t xml:space="preserve">Passive, 1 bp through (base)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F">
            <w:pPr>
              <w:rPr>
                <w:highlight w:val="yellow"/>
              </w:rPr>
            </w:pPr>
            <w:r w:rsidDel="00000000" w:rsidR="00000000" w:rsidRPr="00000000">
              <w:rPr>
                <w:rFonts w:ascii="Arial" w:cs="Arial" w:eastAsia="Arial" w:hAnsi="Arial"/>
                <w:sz w:val="18"/>
                <w:szCs w:val="18"/>
                <w:highlight w:val="yellow"/>
                <w:rtl w:val="0"/>
              </w:rPr>
              <w:t xml:space="preserve">Jul-21 – Sep-26 incl. holdout (5.2)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0">
            <w:pPr>
              <w:rPr>
                <w:highlight w:val="yellow"/>
              </w:rPr>
            </w:pPr>
            <w:r w:rsidDel="00000000" w:rsidR="00000000" w:rsidRPr="00000000">
              <w:rPr>
                <w:rFonts w:ascii="Arial" w:cs="Arial" w:eastAsia="Arial" w:hAnsi="Arial"/>
                <w:sz w:val="18"/>
                <w:szCs w:val="18"/>
                <w:highlight w:val="yellow"/>
                <w:rtl w:val="0"/>
              </w:rPr>
              <w:t xml:space="preserve">+3.58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1">
            <w:pPr>
              <w:rPr>
                <w:highlight w:val="yellow"/>
              </w:rPr>
            </w:pPr>
            <w:r w:rsidDel="00000000" w:rsidR="00000000" w:rsidRPr="00000000">
              <w:rPr>
                <w:rFonts w:ascii="Arial" w:cs="Arial" w:eastAsia="Arial" w:hAnsi="Arial"/>
                <w:sz w:val="18"/>
                <w:szCs w:val="18"/>
                <w:highlight w:val="yellow"/>
                <w:rtl w:val="0"/>
              </w:rPr>
              <w:t xml:space="preserve">+0.69 /yr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2">
            <w:pPr>
              <w:rPr>
                <w:highlight w:val="yellow"/>
              </w:rPr>
            </w:pPr>
            <w:r w:rsidDel="00000000" w:rsidR="00000000" w:rsidRPr="00000000">
              <w:rPr>
                <w:rFonts w:ascii="Arial" w:cs="Arial" w:eastAsia="Arial" w:hAnsi="Arial"/>
                <w:sz w:val="18"/>
                <w:szCs w:val="18"/>
                <w:highlight w:val="yellow"/>
                <w:rtl w:val="0"/>
              </w:rPr>
              <w:t xml:space="preserve">1.58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3">
            <w:pPr>
              <w:rPr>
                <w:highlight w:val="yellow"/>
              </w:rPr>
            </w:pPr>
            <w:r w:rsidDel="00000000" w:rsidR="00000000" w:rsidRPr="00000000">
              <w:rPr>
                <w:rFonts w:ascii="Arial Unicode MS" w:cs="Arial Unicode MS" w:eastAsia="Arial Unicode MS" w:hAnsi="Arial Unicode MS"/>
                <w:sz w:val="18"/>
                <w:szCs w:val="18"/>
                <w:highlight w:val="yellow"/>
                <w:rtl w:val="0"/>
              </w:rPr>
              <w:t xml:space="preserve">−0.58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4">
            <w:pPr>
              <w:rPr>
                <w:highlight w:val="yellow"/>
              </w:rPr>
            </w:pPr>
            <w:r w:rsidDel="00000000" w:rsidR="00000000" w:rsidRPr="00000000">
              <w:rPr>
                <w:rFonts w:ascii="Arial Unicode MS" w:cs="Arial Unicode MS" w:eastAsia="Arial Unicode MS" w:hAnsi="Arial Unicode MS"/>
                <w:sz w:val="18"/>
                <w:szCs w:val="18"/>
                <w:highlight w:val="yellow"/>
                <w:rtl w:val="0"/>
              </w:rPr>
              <w:t xml:space="preserve">≈ +81% /yr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5">
            <w:pPr>
              <w:rPr/>
            </w:pPr>
            <w:r w:rsidDel="00000000" w:rsidR="00000000" w:rsidRPr="00000000">
              <w:rPr>
                <w:rFonts w:ascii="Arial" w:cs="Arial" w:eastAsia="Arial" w:hAnsi="Arial"/>
                <w:sz w:val="18"/>
                <w:szCs w:val="18"/>
                <w:rtl w:val="0"/>
              </w:rPr>
              <w:t xml:space="preserve">Passive, 1 bp through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6">
            <w:pPr>
              <w:rPr/>
            </w:pPr>
            <w:r w:rsidDel="00000000" w:rsidR="00000000" w:rsidRPr="00000000">
              <w:rPr>
                <w:rFonts w:ascii="Arial" w:cs="Arial" w:eastAsia="Arial" w:hAnsi="Arial"/>
                <w:sz w:val="18"/>
                <w:szCs w:val="18"/>
                <w:rtl w:val="0"/>
              </w:rPr>
              <w:t xml:space="preserve">Jul-21 – Dec-25, pre-holdout (4.5)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7">
            <w:pPr>
              <w:rPr/>
            </w:pPr>
            <w:r w:rsidDel="00000000" w:rsidR="00000000" w:rsidRPr="00000000">
              <w:rPr>
                <w:rFonts w:ascii="Arial" w:cs="Arial" w:eastAsia="Arial" w:hAnsi="Arial"/>
                <w:sz w:val="18"/>
                <w:szCs w:val="18"/>
                <w:rtl w:val="0"/>
              </w:rPr>
              <w:t xml:space="preserve">+3.66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8">
            <w:pPr>
              <w:rPr/>
            </w:pPr>
            <w:r w:rsidDel="00000000" w:rsidR="00000000" w:rsidRPr="00000000">
              <w:rPr>
                <w:rFonts w:ascii="Arial" w:cs="Arial" w:eastAsia="Arial" w:hAnsi="Arial"/>
                <w:sz w:val="18"/>
                <w:szCs w:val="18"/>
                <w:rtl w:val="0"/>
              </w:rPr>
              <w:t xml:space="preserve">+0.81 /yr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sz w:val="18"/>
                <w:szCs w:val="18"/>
                <w:rtl w:val="0"/>
              </w:rPr>
              <w:t xml:space="preserve">≈ 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sz w:val="18"/>
                <w:szCs w:val="18"/>
                <w:rtl w:val="0"/>
              </w:rPr>
              <w:t xml:space="preserve">−0.58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sz w:val="18"/>
                <w:szCs w:val="18"/>
                <w:rtl w:val="0"/>
              </w:rPr>
              <w:t xml:space="preserve">≈ +106% /yr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C">
            <w:pPr>
              <w:rPr>
                <w:highlight w:val="yellow"/>
              </w:rPr>
            </w:pPr>
            <w:r w:rsidDel="00000000" w:rsidR="00000000" w:rsidRPr="00000000">
              <w:rPr>
                <w:rFonts w:ascii="Arial" w:cs="Arial" w:eastAsia="Arial" w:hAnsi="Arial"/>
                <w:sz w:val="18"/>
                <w:szCs w:val="18"/>
                <w:highlight w:val="yellow"/>
                <w:rtl w:val="0"/>
              </w:rPr>
              <w:t xml:space="preserve">Passive, 2 bp through (conservative)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D">
            <w:pPr>
              <w:rPr>
                <w:highlight w:val="yellow"/>
              </w:rPr>
            </w:pPr>
            <w:r w:rsidDel="00000000" w:rsidR="00000000" w:rsidRPr="00000000">
              <w:rPr>
                <w:rFonts w:ascii="Arial" w:cs="Arial" w:eastAsia="Arial" w:hAnsi="Arial"/>
                <w:sz w:val="18"/>
                <w:szCs w:val="18"/>
                <w:highlight w:val="yellow"/>
                <w:rtl w:val="0"/>
              </w:rPr>
              <w:t xml:space="preserve">Jul-21 – Sep-26 (5.2)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E">
            <w:pPr>
              <w:rPr>
                <w:highlight w:val="yellow"/>
              </w:rPr>
            </w:pPr>
            <w:r w:rsidDel="00000000" w:rsidR="00000000" w:rsidRPr="00000000">
              <w:rPr>
                <w:rFonts w:ascii="Arial" w:cs="Arial" w:eastAsia="Arial" w:hAnsi="Arial"/>
                <w:sz w:val="18"/>
                <w:szCs w:val="18"/>
                <w:highlight w:val="yellow"/>
                <w:rtl w:val="0"/>
              </w:rPr>
              <w:t xml:space="preserve">+2.56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F">
            <w:pPr>
              <w:rPr>
                <w:highlight w:val="yellow"/>
              </w:rPr>
            </w:pPr>
            <w:r w:rsidDel="00000000" w:rsidR="00000000" w:rsidRPr="00000000">
              <w:rPr>
                <w:rFonts w:ascii="Arial" w:cs="Arial" w:eastAsia="Arial" w:hAnsi="Arial"/>
                <w:sz w:val="18"/>
                <w:szCs w:val="18"/>
                <w:highlight w:val="yellow"/>
                <w:rtl w:val="0"/>
              </w:rPr>
              <w:t xml:space="preserve">+0.49 /yr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0">
            <w:pPr>
              <w:rPr>
                <w:highlight w:val="yellow"/>
              </w:rPr>
            </w:pPr>
            <w:r w:rsidDel="00000000" w:rsidR="00000000" w:rsidRPr="00000000">
              <w:rPr>
                <w:rFonts w:ascii="Arial" w:cs="Arial" w:eastAsia="Arial" w:hAnsi="Arial"/>
                <w:sz w:val="18"/>
                <w:szCs w:val="18"/>
                <w:highlight w:val="yellow"/>
                <w:rtl w:val="0"/>
              </w:rPr>
              <w:t xml:space="preserve">1.13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1">
            <w:pPr>
              <w:rPr>
                <w:highlight w:val="yellow"/>
              </w:rPr>
            </w:pPr>
            <w:r w:rsidDel="00000000" w:rsidR="00000000" w:rsidRPr="00000000">
              <w:rPr>
                <w:rFonts w:ascii="Arial Unicode MS" w:cs="Arial Unicode MS" w:eastAsia="Arial Unicode MS" w:hAnsi="Arial Unicode MS"/>
                <w:sz w:val="18"/>
                <w:szCs w:val="18"/>
                <w:highlight w:val="yellow"/>
                <w:rtl w:val="0"/>
              </w:rPr>
              <w:t xml:space="preserve">−0.64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2">
            <w:pPr>
              <w:rPr>
                <w:highlight w:val="yellow"/>
              </w:rPr>
            </w:pPr>
            <w:r w:rsidDel="00000000" w:rsidR="00000000" w:rsidRPr="00000000">
              <w:rPr>
                <w:rFonts w:ascii="Arial Unicode MS" w:cs="Arial Unicode MS" w:eastAsia="Arial Unicode MS" w:hAnsi="Arial Unicode MS"/>
                <w:sz w:val="18"/>
                <w:szCs w:val="18"/>
                <w:highlight w:val="yellow"/>
                <w:rtl w:val="0"/>
              </w:rPr>
              <w:t xml:space="preserve">≈ +49% /yr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3">
            <w:pPr>
              <w:rPr/>
            </w:pPr>
            <w:r w:rsidDel="00000000" w:rsidR="00000000" w:rsidRPr="00000000">
              <w:rPr>
                <w:rFonts w:ascii="Arial" w:cs="Arial" w:eastAsia="Arial" w:hAnsi="Arial"/>
                <w:sz w:val="18"/>
                <w:szCs w:val="18"/>
                <w:rtl w:val="0"/>
              </w:rPr>
              <w:t xml:space="preserve">Flat 1.5 bps/side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4">
            <w:pPr>
              <w:rPr/>
            </w:pPr>
            <w:r w:rsidDel="00000000" w:rsidR="00000000" w:rsidRPr="00000000">
              <w:rPr>
                <w:rFonts w:ascii="Arial" w:cs="Arial" w:eastAsia="Arial" w:hAnsi="Arial"/>
                <w:sz w:val="18"/>
                <w:szCs w:val="18"/>
                <w:rtl w:val="0"/>
              </w:rPr>
              <w:t xml:space="preserve">Jul-21 – Sep-26 (5.2)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5">
            <w:pPr>
              <w:rPr/>
            </w:pPr>
            <w:r w:rsidDel="00000000" w:rsidR="00000000" w:rsidRPr="00000000">
              <w:rPr>
                <w:rFonts w:ascii="Arial" w:cs="Arial" w:eastAsia="Arial" w:hAnsi="Arial"/>
                <w:sz w:val="18"/>
                <w:szCs w:val="18"/>
                <w:rtl w:val="0"/>
              </w:rPr>
              <w:t xml:space="preserve">+3.14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6">
            <w:pPr>
              <w:rPr/>
            </w:pPr>
            <w:r w:rsidDel="00000000" w:rsidR="00000000" w:rsidRPr="00000000">
              <w:rPr>
                <w:rFonts w:ascii="Arial" w:cs="Arial" w:eastAsia="Arial" w:hAnsi="Arial"/>
                <w:sz w:val="18"/>
                <w:szCs w:val="18"/>
                <w:rtl w:val="0"/>
              </w:rPr>
              <w:t xml:space="preserve">+0.60 /yr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7">
            <w:pPr>
              <w:rPr/>
            </w:pPr>
            <w:r w:rsidDel="00000000" w:rsidR="00000000" w:rsidRPr="00000000">
              <w:rPr>
                <w:rFonts w:ascii="Arial" w:cs="Arial" w:eastAsia="Arial" w:hAnsi="Arial"/>
                <w:sz w:val="18"/>
                <w:szCs w:val="18"/>
                <w:rtl w:val="0"/>
              </w:rPr>
              <w:t xml:space="preserve">1.39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sz w:val="18"/>
                <w:szCs w:val="18"/>
                <w:rtl w:val="0"/>
              </w:rPr>
              <w:t xml:space="preserve">−0.53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sz w:val="18"/>
                <w:szCs w:val="18"/>
                <w:rtl w:val="0"/>
              </w:rPr>
              <w:t xml:space="preserve">≈ +66% /yr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A">
            <w:pPr>
              <w:rPr/>
            </w:pPr>
            <w:r w:rsidDel="00000000" w:rsidR="00000000" w:rsidRPr="00000000">
              <w:rPr>
                <w:rFonts w:ascii="Arial" w:cs="Arial" w:eastAsia="Arial" w:hAnsi="Arial"/>
                <w:sz w:val="18"/>
                <w:szCs w:val="18"/>
                <w:rtl w:val="0"/>
              </w:rPr>
              <w:t xml:space="preserve">Flat taker 4 bps/side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B">
            <w:pPr>
              <w:rPr/>
            </w:pPr>
            <w:r w:rsidDel="00000000" w:rsidR="00000000" w:rsidRPr="00000000">
              <w:rPr>
                <w:rFonts w:ascii="Arial" w:cs="Arial" w:eastAsia="Arial" w:hAnsi="Arial"/>
                <w:sz w:val="18"/>
                <w:szCs w:val="18"/>
                <w:rtl w:val="0"/>
              </w:rPr>
              <w:t xml:space="preserve">Jul-21 – Sep-26 (5.2)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C">
            <w:pPr>
              <w:rPr/>
            </w:pPr>
            <w:r w:rsidDel="00000000" w:rsidR="00000000" w:rsidRPr="00000000">
              <w:rPr>
                <w:rFonts w:ascii="Arial" w:cs="Arial" w:eastAsia="Arial" w:hAnsi="Arial"/>
                <w:sz w:val="18"/>
                <w:szCs w:val="18"/>
                <w:rtl w:val="0"/>
              </w:rPr>
              <w:t xml:space="preserve">+0.46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D">
            <w:pPr>
              <w:rPr/>
            </w:pPr>
            <w:r w:rsidDel="00000000" w:rsidR="00000000" w:rsidRPr="00000000">
              <w:rPr>
                <w:rFonts w:ascii="Arial" w:cs="Arial" w:eastAsia="Arial" w:hAnsi="Arial"/>
                <w:sz w:val="18"/>
                <w:szCs w:val="18"/>
                <w:rtl w:val="0"/>
              </w:rPr>
              <w:t xml:space="preserve">+0.09 /yr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E">
            <w:pPr>
              <w:rPr/>
            </w:pPr>
            <w:r w:rsidDel="00000000" w:rsidR="00000000" w:rsidRPr="00000000">
              <w:rPr>
                <w:rFonts w:ascii="Arial" w:cs="Arial" w:eastAsia="Arial" w:hAnsi="Arial"/>
                <w:sz w:val="18"/>
                <w:szCs w:val="18"/>
                <w:rtl w:val="0"/>
              </w:rPr>
              <w:t xml:space="preserve">0.21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sz w:val="18"/>
                <w:szCs w:val="18"/>
                <w:rtl w:val="0"/>
              </w:rPr>
              <w:t xml:space="preserve">−0.74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sz w:val="18"/>
                <w:szCs w:val="18"/>
                <w:rtl w:val="0"/>
              </w:rPr>
              <w:t xml:space="preserve">≈ 0% /yr</w:t>
            </w:r>
            <w:r w:rsidDel="00000000" w:rsidR="00000000" w:rsidRPr="00000000">
              <w:rPr>
                <w:rtl w:val="0"/>
              </w:rPr>
            </w:r>
          </w:p>
        </w:tc>
      </w:tr>
    </w:tbl>
    <w:p w:rsidR="00000000" w:rsidDel="00000000" w:rsidP="00000000" w:rsidRDefault="00000000" w:rsidRPr="00000000" w14:paraId="000000B1">
      <w:pPr>
        <w:spacing w:after="120" w:line="276" w:lineRule="auto"/>
        <w:rPr/>
      </w:pPr>
      <w:r w:rsidDel="00000000" w:rsidR="00000000" w:rsidRPr="00000000">
        <w:rPr>
          <w:rtl w:val="0"/>
        </w:rPr>
      </w:r>
    </w:p>
    <w:p w:rsidR="00000000" w:rsidDel="00000000" w:rsidP="00000000" w:rsidRDefault="00000000" w:rsidRPr="00000000" w14:paraId="000000B2">
      <w:pPr>
        <w:spacing w:after="120" w:line="276" w:lineRule="auto"/>
        <w:rPr/>
      </w:pPr>
      <w:r w:rsidDel="00000000" w:rsidR="00000000" w:rsidRPr="00000000">
        <w:rPr>
          <w:rFonts w:ascii="Arial Unicode MS" w:cs="Arial Unicode MS" w:eastAsia="Arial Unicode MS" w:hAnsi="Arial Unicode MS"/>
          <w:sz w:val="21"/>
          <w:szCs w:val="21"/>
          <w:rtl w:val="0"/>
        </w:rPr>
        <w:t xml:space="preserve">Reading the table: "Total" and "Annualised" are the additive convention used throughout this report (allocation held fixed, P&amp;L not reinvested; +3.58 means the book earned 3.58 times its allocation over the period, +0.69 per year on average). Annualised volatility of the book is ~43% at 2x gross. "CAGR if compounded" is what the same daily returns would have produced had the allocation been reset to the running balance every day; it is estimated from the annualised return and volatility (compounded growth ≈ arithmetic return − ½ variance) rather than recomputed from the daily series, so treat it as ±5 points. The Sharpe ratio is the same under either convention. These are historical figures; they do not yet reflect the 2026 signal decay, which the next table does.</w:t>
      </w:r>
      <w:r w:rsidDel="00000000" w:rsidR="00000000" w:rsidRPr="00000000">
        <w:rPr>
          <w:rtl w:val="0"/>
        </w:rPr>
      </w:r>
    </w:p>
    <w:p w:rsidR="00000000" w:rsidDel="00000000" w:rsidP="00000000" w:rsidRDefault="00000000" w:rsidRPr="00000000" w14:paraId="000000B3">
      <w:pPr>
        <w:spacing w:after="100" w:lineRule="auto"/>
        <w:rPr/>
      </w:pPr>
      <w:r w:rsidDel="00000000" w:rsidR="00000000" w:rsidRPr="00000000">
        <w:rPr>
          <w:rtl w:val="0"/>
        </w:rPr>
      </w:r>
    </w:p>
    <w:tbl>
      <w:tblPr>
        <w:tblStyle w:val="Table5"/>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00"/>
        <w:gridCol w:w="2700"/>
        <w:gridCol w:w="2700"/>
        <w:tblGridChange w:id="0">
          <w:tblGrid>
            <w:gridCol w:w="4200"/>
            <w:gridCol w:w="2700"/>
            <w:gridCol w:w="27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fefef" w:val="clear"/>
            <w:tcMar>
              <w:top w:w="60.0" w:type="dxa"/>
              <w:left w:w="100.0" w:type="dxa"/>
              <w:bottom w:w="60.0" w:type="dxa"/>
              <w:right w:w="100.0" w:type="dxa"/>
            </w:tcMar>
          </w:tcPr>
          <w:p w:rsidR="00000000" w:rsidDel="00000000" w:rsidP="00000000" w:rsidRDefault="00000000" w:rsidRPr="00000000" w14:paraId="000000B4">
            <w:pPr>
              <w:rPr/>
            </w:pPr>
            <w:r w:rsidDel="00000000" w:rsidR="00000000" w:rsidRPr="00000000">
              <w:rPr>
                <w:b w:val="1"/>
                <w:bCs w:val="1"/>
                <w:sz w:val="19"/>
                <w:szCs w:val="19"/>
                <w:rtl w:val="0"/>
              </w:rPr>
              <w:t xml:space="preserve">Metric (2x gross, per unit of allocated equity)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Mar>
              <w:top w:w="60.0" w:type="dxa"/>
              <w:left w:w="100.0" w:type="dxa"/>
              <w:bottom w:w="60.0" w:type="dxa"/>
              <w:right w:w="100.0" w:type="dxa"/>
            </w:tcMar>
          </w:tcPr>
          <w:p w:rsidR="00000000" w:rsidDel="00000000" w:rsidP="00000000" w:rsidRDefault="00000000" w:rsidRPr="00000000" w14:paraId="000000B5">
            <w:pPr>
              <w:rPr/>
            </w:pPr>
            <w:r w:rsidDel="00000000" w:rsidR="00000000" w:rsidRPr="00000000">
              <w:rPr>
                <w:b w:val="1"/>
                <w:bCs w:val="1"/>
                <w:sz w:val="19"/>
                <w:szCs w:val="19"/>
                <w:rtl w:val="0"/>
              </w:rPr>
              <w:t xml:space="preserve">Historical (2021–25)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Mar>
              <w:top w:w="60.0" w:type="dxa"/>
              <w:left w:w="100.0" w:type="dxa"/>
              <w:bottom w:w="60.0" w:type="dxa"/>
              <w:right w:w="100.0" w:type="dxa"/>
            </w:tcMar>
          </w:tcPr>
          <w:p w:rsidR="00000000" w:rsidDel="00000000" w:rsidP="00000000" w:rsidRDefault="00000000" w:rsidRPr="00000000" w14:paraId="000000B6">
            <w:pPr>
              <w:rPr/>
            </w:pPr>
            <w:r w:rsidDel="00000000" w:rsidR="00000000" w:rsidRPr="00000000">
              <w:rPr>
                <w:b w:val="1"/>
                <w:bCs w:val="1"/>
                <w:sz w:val="19"/>
                <w:szCs w:val="19"/>
                <w:rtl w:val="0"/>
              </w:rPr>
              <w:t xml:space="preserve">At 2026 signal strength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7">
            <w:pPr>
              <w:rPr/>
            </w:pPr>
            <w:r w:rsidDel="00000000" w:rsidR="00000000" w:rsidRPr="00000000">
              <w:rPr>
                <w:sz w:val="19"/>
                <w:szCs w:val="19"/>
                <w:rtl w:val="0"/>
              </w:rPr>
              <w:t xml:space="preserve">Annualized net return, passive execution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8">
            <w:pPr>
              <w:rPr/>
            </w:pPr>
            <w:r w:rsidDel="00000000" w:rsidR="00000000" w:rsidRPr="00000000">
              <w:rPr>
                <w:sz w:val="19"/>
                <w:szCs w:val="19"/>
                <w:rtl w:val="0"/>
              </w:rPr>
              <w:t xml:space="preserve">+0.6 to +1.1 (mean ~+0.8)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sz w:val="19"/>
                <w:szCs w:val="19"/>
                <w:rtl w:val="0"/>
              </w:rPr>
              <w:t xml:space="preserve">−0.1 to +0.1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A">
            <w:pPr>
              <w:rPr/>
            </w:pPr>
            <w:r w:rsidDel="00000000" w:rsidR="00000000" w:rsidRPr="00000000">
              <w:rPr>
                <w:sz w:val="19"/>
                <w:szCs w:val="19"/>
                <w:rtl w:val="0"/>
              </w:rPr>
              <w:t xml:space="preserve">Sharpe (daily P&amp;L, annualized)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B">
            <w:pPr>
              <w:rPr/>
            </w:pPr>
            <w:r w:rsidDel="00000000" w:rsidR="00000000" w:rsidRPr="00000000">
              <w:rPr>
                <w:sz w:val="19"/>
                <w:szCs w:val="19"/>
                <w:rtl w:val="0"/>
              </w:rPr>
              <w:t xml:space="preserve">1.6 to 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C">
            <w:pPr>
              <w:rPr/>
            </w:pPr>
            <w:r w:rsidDel="00000000" w:rsidR="00000000" w:rsidRPr="00000000">
              <w:rPr>
                <w:sz w:val="19"/>
                <w:szCs w:val="19"/>
                <w:rtl w:val="0"/>
              </w:rPr>
              <w:t xml:space="preserve">~0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D">
            <w:pPr>
              <w:rPr/>
            </w:pPr>
            <w:r w:rsidDel="00000000" w:rsidR="00000000" w:rsidRPr="00000000">
              <w:rPr>
                <w:sz w:val="19"/>
                <w:szCs w:val="19"/>
                <w:rtl w:val="0"/>
              </w:rPr>
              <w:t xml:space="preserve">Max drawdown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sz w:val="19"/>
                <w:szCs w:val="19"/>
                <w:rtl w:val="0"/>
              </w:rPr>
              <w:t xml:space="preserve">−0.6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F">
            <w:pPr>
              <w:rPr/>
            </w:pPr>
            <w:r w:rsidDel="00000000" w:rsidR="00000000" w:rsidRPr="00000000">
              <w:rPr>
                <w:sz w:val="19"/>
                <w:szCs w:val="19"/>
                <w:rtl w:val="0"/>
              </w:rPr>
              <w:t xml:space="preserve">similar magnitude, no expected recovery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0">
            <w:pPr>
              <w:rPr/>
            </w:pPr>
            <w:r w:rsidDel="00000000" w:rsidR="00000000" w:rsidRPr="00000000">
              <w:rPr>
                <w:sz w:val="19"/>
                <w:szCs w:val="19"/>
                <w:rtl w:val="0"/>
              </w:rPr>
              <w:t xml:space="preserve">Break-even all-in cost per side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1">
            <w:pPr>
              <w:rPr/>
            </w:pPr>
            <w:r w:rsidDel="00000000" w:rsidR="00000000" w:rsidRPr="00000000">
              <w:rPr>
                <w:sz w:val="19"/>
                <w:szCs w:val="19"/>
                <w:rtl w:val="0"/>
              </w:rPr>
              <w:t xml:space="preserve">4.6 bps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2">
            <w:pPr>
              <w:rPr/>
            </w:pPr>
            <w:r w:rsidDel="00000000" w:rsidR="00000000" w:rsidRPr="00000000">
              <w:rPr>
                <w:sz w:val="19"/>
                <w:szCs w:val="19"/>
                <w:rtl w:val="0"/>
              </w:rPr>
              <w:t xml:space="preserve">1.4 bps</w:t>
            </w:r>
            <w:r w:rsidDel="00000000" w:rsidR="00000000" w:rsidRPr="00000000">
              <w:rPr>
                <w:rtl w:val="0"/>
              </w:rPr>
            </w:r>
          </w:p>
        </w:tc>
      </w:tr>
    </w:tbl>
    <w:p w:rsidR="00000000" w:rsidDel="00000000" w:rsidP="00000000" w:rsidRDefault="00000000" w:rsidRPr="00000000" w14:paraId="000000C3">
      <w:pPr>
        <w:spacing w:after="100" w:lineRule="auto"/>
        <w:rPr/>
      </w:pPr>
      <w:r w:rsidDel="00000000" w:rsidR="00000000" w:rsidRPr="00000000">
        <w:rPr>
          <w:rtl w:val="0"/>
        </w:rPr>
      </w:r>
    </w:p>
    <w:p w:rsidR="00000000" w:rsidDel="00000000" w:rsidP="00000000" w:rsidRDefault="00000000" w:rsidRPr="00000000" w14:paraId="000000C4">
      <w:pPr>
        <w:spacing w:after="120" w:line="276" w:lineRule="auto"/>
        <w:rPr/>
      </w:pPr>
      <w:r w:rsidDel="00000000" w:rsidR="00000000" w:rsidRPr="00000000">
        <w:rPr>
          <w:rtl w:val="0"/>
        </w:rPr>
        <w:t xml:space="preserve">Plainly: at the 2026 signal level the strategy is a coin-flip after costs unless realised execution comes in at or below ~1 bp per side. If the signal recovers to its 2024–25 level (4–6 bps edge), the historical column applies. The measurement phase is designed to find out which.</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Max capital requested: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Measurement allocation only: the smallest size at which fills are representative of live conditions on the chosen venue (to be set with Tyler). No scale-up until the 4–8 week measurement passes the decision rule below.</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Max risk per trade: </w:t>
      </w: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Each name is at most 20% of one leg (10% of gross) by construction; a single-name 20% adverse move costs ≤ 2% of equity before the next rebalance.</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Max loss limits: </w:t>
      </w: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Daily −3% of allocated equity (2 sigma at the 1.5% vol target): halt for the day. Weekly −6%: halt and review. Period (measurement window) −10%: stop the test.</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SL conditions: </w:t>
      </w: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Book-level only, as above. Additionally halt if data for ≥ 5 book names is stale at a grid time, or if any funding settlement exceeds ±1% (regime break).</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Exposure limits: </w:t>
      </w: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Gross ≤ 2x equity; net dollar exposure within ±10% of equity at each rebalance; ≤ 20 names (platform limit); no name above 10% of gross.</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Leverage limits: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2x gross, 1x per side. No pyramiding; positions are set to target, not added to.</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Liquidity constraints: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Names must clear 5M USDT median daily volume; order size capped at a fraction of trailing 1-minute traded volume (proposed 5%) so passive fills remain representative. The backtest assumes small size; this is the first thing to verify live.</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Correlation risk: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Dollar-neutral and, historically, near zero beta to BTC. The legs carry residual exposure to an alt-vs-majors / momentum factor (seen in year-by-year leg attribution: long leg negative in 2022 and 2026, short leg negative in 2021 and 2023); this is bounded by the 8h hold but not eliminated.</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Tail risk: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name delisted or halted mid-hold (LUNA-type) hits the long leg for at most its 10% of gross; venue outage at a grid time leaves the prior book in place for 8 hours; a funding spike is a cost, not a loss of principal. The largest single-day loss in the simulation was under 5% of equity.</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What could cause the strategy to fail: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 Continued signal decay — edge per unit traded has fallen from 6–7 bps (2021–22) to 1.4 bps (2026), and the daily variant already inverted; (2) real fills worse than the 1–2 bps modelled (queue position, size, latency) — the 2026 fill rate already dropped to 91% in simulation; (3) decay of the per-name identity component, which carries ~40% of the ranking accuracy; (4) venue liquidity thinner than Binance for the same names; (5) a structural change in funding conventions on the venue.</w:t>
      </w:r>
    </w:p>
    <w:p w:rsidR="00000000" w:rsidDel="00000000" w:rsidP="00000000" w:rsidRDefault="00000000" w:rsidRPr="00000000" w14:paraId="000000CF">
      <w:pPr>
        <w:pStyle w:val="Heading1"/>
        <w:spacing w:after="120" w:before="300" w:lineRule="auto"/>
        <w:rPr/>
      </w:pPr>
      <w:r w:rsidDel="00000000" w:rsidR="00000000" w:rsidRPr="00000000">
        <w:rPr>
          <w:rtl w:val="0"/>
        </w:rPr>
        <w:t xml:space="preserve">6. Execution plan</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Venue: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Venue to be selected on three criteria: maker rebate or lowest post-only fee, depth in the top-20 alts at the grid times, and API latency. Note the backtest is on Binance data; the venue's fee schedule and funding interval must be substituted into the cost model before go-live.</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Order type: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Post-only limit at the 1-minute open price of the grid time, for the weight change in each name; working window 15 minutes; unfilled remainder crossed with an IOC at the window end (or left undone if the venue's taker fee makes that cheaper — a config switch).</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Execution timing: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Features computed on the 15-minute bar ending at the grid time (00/08/16 UTC); orders must be on the book within 60 seconds of it. Later submission degrades the modelled fill assumption.</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Liquidity checks: </w:t>
      </w: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Before submitting: order notional ≤ 5% of the name's trailing 1-minute volume, and the name is still in the month's universe; otherwise the change is skipped for that period.</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Slippage control: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Every fill logged against the 1-minute reference; blended all-in cost per side computed daily. Alert if the rolling 5-day figure exceeds 1.5 bps; halt if it exceeds 2.5 bps for a week (the strategy cannot pay that at current signal strength).</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Monitoring: </w:t>
      </w: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Daily: P&amp;L vs the 1.5% vol target, gross/net exposure, fill rate, blended cost. Monthly: retrain the model and record the book rank correlation, with and without the identity feature. Decision rule to continue past the measurement phase: realised all-in cost ≤ ~1.0 bp per side and live book rank correlation ≥ ~0.03 over the window. If cost ≥ 1.5 bps or correlation ≤ 0.015, stop.</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Manual override: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Kill switch that flattens the book with IOC orders; automatic halt on the loss limits, stale data, or funding anomalies above. No discretionary changes to the ranking or weights.</w:t>
      </w:r>
    </w:p>
    <w:p w:rsidR="00000000" w:rsidDel="00000000" w:rsidP="00000000" w:rsidRDefault="00000000" w:rsidRPr="00000000" w14:paraId="000000D7">
      <w:pPr>
        <w:pStyle w:val="Heading1"/>
        <w:spacing w:after="120" w:before="300" w:lineRule="auto"/>
        <w:rPr/>
      </w:pPr>
      <w:r w:rsidDel="00000000" w:rsidR="00000000" w:rsidRPr="00000000">
        <w:rPr>
          <w:rtl w:val="0"/>
        </w:rPr>
        <w:t xml:space="preserve">6. Portfolio fit</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Correlation to existing strategies: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Expected low: the book is dollar-neutral, rebalanced intraday, and its returns come from relative moves among alts rather than direction. To be measured against the desk's live P&amp;L series once the measurement period produces data.</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Diversification benefit: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Adds a market-neutral return stream that is not exposed to the direction of BTC. Its drawdowns historically occurred at different times from directional crypto exposure.</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Capital efficiency: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2x gross on 1x equity; capital is fully deployed at all times but the neutral structure keeps margin usage modest relative to gross.</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Expected contribution to portfolio returns: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At measurement size, negligible by design. At scale, and only if the measurement passes, roughly break-even to +10% per year on allocated equity at current signal strength, and +60–100% per year if the signal returns to its 2024–25 level. The measurement phase is what distinguishes these cases.</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Conflicts or overlaps: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Any other desk strategy trading the same top-20 perps on the same venue will share position limits and may cross this book's orders; netting at the account level should be agreed before go-live. No overlap with spot or options activity.</w:t>
      </w:r>
    </w:p>
    <w:p w:rsidR="00000000" w:rsidDel="00000000" w:rsidP="00000000" w:rsidRDefault="00000000" w:rsidRPr="00000000" w14:paraId="000000DD">
      <w:pPr>
        <w:spacing w:after="100" w:lineRule="auto"/>
        <w:rPr/>
      </w:pPr>
      <w:r w:rsidDel="00000000" w:rsidR="00000000" w:rsidRPr="00000000">
        <w:rPr>
          <w:rtl w:val="0"/>
        </w:rPr>
      </w:r>
    </w:p>
    <w:p w:rsidR="00000000" w:rsidDel="00000000" w:rsidP="00000000" w:rsidRDefault="00000000" w:rsidRPr="00000000" w14:paraId="000000DE">
      <w:pPr>
        <w:spacing w:after="120" w:line="276" w:lineRule="auto"/>
        <w:rPr>
          <w:b w:val="1"/>
          <w:bCs w:val="1"/>
        </w:rPr>
      </w:pPr>
      <w:r w:rsidDel="00000000" w:rsidR="00000000" w:rsidRPr="00000000">
        <w:rPr>
          <w:b w:val="1"/>
          <w:bCs w:val="1"/>
          <w:rtl w:val="0"/>
        </w:rPr>
        <w:t xml:space="preserve">Recommendation: approve a 4–8 week measurement phase at minimal size with the monitoring and halt rules above; allocate only on measured fills and live signal strength, not on the historical backtest. On the evidence to date the historical return is not the number to expect.</w:t>
      </w:r>
    </w:p>
    <w:sectPr>
      <w:pgSz w:h="15840" w:w="12240" w:orient="portrait"/>
      <w:pgMar w:bottom="1300" w:top="1300" w:left="1300" w:right="13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0"/>
      <w:numFmt w:val="bullet"/>
      <w:lvlText w:val="○"/>
      <w:lvlJc w:val="left"/>
      <w:pPr>
        <w:ind w:left="0" w:firstLine="0"/>
      </w:pPr>
      <w:rPr/>
    </w:lvl>
    <w:lvl w:ilvl="2">
      <w:start w:val="0"/>
      <w:numFmt w:val="bullet"/>
      <w:lvlText w:val="■"/>
      <w:lvlJc w:val="left"/>
      <w:pPr>
        <w:ind w:left="0" w:firstLine="0"/>
      </w:pPr>
      <w:rPr/>
    </w:lvl>
    <w:lvl w:ilvl="3">
      <w:start w:val="0"/>
      <w:numFmt w:val="bullet"/>
      <w:lvlText w:val="●"/>
      <w:lvlJc w:val="left"/>
      <w:pPr>
        <w:ind w:left="0" w:firstLine="0"/>
      </w:pPr>
      <w:rPr/>
    </w:lvl>
    <w:lvl w:ilvl="4">
      <w:start w:val="0"/>
      <w:numFmt w:val="bullet"/>
      <w:lvlText w:val="○"/>
      <w:lvlJc w:val="left"/>
      <w:pPr>
        <w:ind w:left="0" w:firstLine="0"/>
      </w:pPr>
      <w:rPr/>
    </w:lvl>
    <w:lvl w:ilvl="5">
      <w:start w:val="0"/>
      <w:numFmt w:val="bullet"/>
      <w:lvlText w:val="■"/>
      <w:lvlJc w:val="left"/>
      <w:pPr>
        <w:ind w:left="0" w:firstLine="0"/>
      </w:pPr>
      <w:rPr/>
    </w:lvl>
    <w:lvl w:ilvl="6">
      <w:start w:val="0"/>
      <w:numFmt w:val="bullet"/>
      <w:lvlText w:val="●"/>
      <w:lvlJc w:val="left"/>
      <w:pPr>
        <w:ind w:left="0" w:firstLine="0"/>
      </w:pPr>
      <w:rPr/>
    </w:lvl>
    <w:lvl w:ilvl="7">
      <w:start w:val="0"/>
      <w:numFmt w:val="bullet"/>
      <w:lvlText w:val="○"/>
      <w:lvlJc w:val="left"/>
      <w:pPr>
        <w:ind w:left="0" w:firstLine="0"/>
      </w:pPr>
      <w:rPr/>
    </w:lvl>
    <w:lvl w:ilvl="8">
      <w:start w:val="0"/>
      <w:numFmt w:val="bullet"/>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PH"/>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434343"/>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66666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