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Đặc tả yêu cầu phần mềm PBL6</w:t>
      </w:r>
    </w:p>
    <w:p>
      <w:pPr>
        <w:spacing w:after="240"/>
      </w:pPr>
      <w:r>
        <w:rPr>
          <w:rFonts w:ascii="Arial" w:hAnsi="Arial" w:eastAsia="Arial" w:cs="Arial"/>
          <w:color w:val="4B5560"/>
          <w:sz w:val="20"/>
        </w:rPr>
        <w:t>Phiên bản 2.1 Draft</w:t>
      </w:r>
    </w:p>
    <w:p>
      <w:r>
        <w:rPr>
          <w:b/>
        </w:rPr>
        <w:t>Hệ thống:</w:t>
      </w:r>
      <w:r>
        <w:t xml:space="preserve"> marketplace nhiều Store có chatbot tư vấn và gợi ý sản phẩm. </w:t>
      </w:r>
      <w:r>
        <w:rPr>
          <w:b/>
        </w:rPr>
        <w:t>Trạng thái:</w:t>
      </w:r>
      <w:r>
        <w:t xml:space="preserve"> thiết kế để nhóm rà soát, chưa nghiệm thu. Bản nguồn ở </w:t>
      </w:r>
      <w:hyperlink r:id="rId9">
        <w:r>
          <w:rPr>
            <w:color w:val="1F4E79"/>
          </w:rPr>
          <w:t>legacy</w:t>
        </w:r>
      </w:hyperlink>
      <w:r>
        <w:t xml:space="preserve">; quyết định hiện hành ở </w:t>
      </w:r>
      <w:hyperlink r:id="rId10">
        <w:r>
          <w:rPr>
            <w:color w:val="1F4E79"/>
          </w:rPr>
          <w:t>scope</w:t>
        </w:r>
      </w:hyperlink>
      <w:r>
        <w:t xml:space="preserve"> và </w:t>
      </w:r>
      <w:hyperlink r:id="rId11">
        <w:r>
          <w:rPr>
            <w:color w:val="1F4E79"/>
          </w:rPr>
          <w:t>decision log</w:t>
        </w:r>
      </w:hyperlink>
      <w:r>
        <w:t xml:space="preserve">. Mã chi tiết của 98 FR và 28 NFR được quản lý trong </w:t>
      </w:r>
      <w:hyperlink r:id="rId12">
        <w:r>
          <w:rPr>
            <w:color w:val="1F4E79"/>
          </w:rPr>
          <w:t>danh mục yêu cầu</w:t>
        </w:r>
      </w:hyperlink>
      <w:r>
        <w:t>, không lặp toàn văn ở đây.</w:t>
      </w:r>
    </w:p>
    <w:p>
      <w:pPr>
        <w:pStyle w:val="Heading1"/>
      </w:pPr>
      <w:r>
        <w:t>1. Mục đích và bối cảnh</w:t>
      </w:r>
    </w:p>
    <w:p>
      <w:r>
        <w:t xml:space="preserve">SRS mô tả hệ thống phải làm gì, ai sử dụng và cách đánh giá kết quả. Người đọc bắt đầu tại đây, sau đó xem </w:t>
      </w:r>
      <w:hyperlink r:id="rId13">
        <w:r>
          <w:rPr>
            <w:color w:val="1F4E79"/>
          </w:rPr>
          <w:t>Use Case</w:t>
        </w:r>
      </w:hyperlink>
      <w:r>
        <w:t xml:space="preserve"> để biết luồng tương tác, </w:t>
      </w:r>
      <w:hyperlink r:id="rId14">
        <w:r>
          <w:rPr>
            <w:color w:val="1F4E79"/>
          </w:rPr>
          <w:t>Business Rules</w:t>
        </w:r>
      </w:hyperlink>
      <w:r>
        <w:t xml:space="preserve"> để biết điều kiện, </w:t>
      </w:r>
      <w:hyperlink r:id="rId15">
        <w:r>
          <w:rPr>
            <w:color w:val="1F4E79"/>
          </w:rPr>
          <w:t>ERD</w:t>
        </w:r>
      </w:hyperlink>
      <w:r>
        <w:t xml:space="preserve"> cho dữ liệu và </w:t>
      </w:r>
      <w:hyperlink r:id="rId16">
        <w:r>
          <w:rPr>
            <w:color w:val="1F4E79"/>
          </w:rPr>
          <w:t>API</w:t>
        </w:r>
      </w:hyperlink>
      <w:r>
        <w:t xml:space="preserve"> cho contract. Thuật ngữ và ngoài phạm vi ở </w:t>
      </w:r>
      <w:hyperlink r:id="rId10">
        <w:r>
          <w:rPr>
            <w:color w:val="1F4E79"/>
          </w:rPr>
          <w:t>scope</w:t>
        </w:r>
      </w:hyperlink>
      <w:r>
        <w:t>.</w:t>
      </w:r>
    </w:p>
    <w:p>
      <w:r>
        <w:t xml:space="preserve">Một Customer có thể mua hàng của nhiều Store trong cùng giỏ. Khi xác nhận, hệ thống tạo </w:t>
      </w:r>
      <w:r>
        <w:rPr>
          <w:b/>
        </w:rPr>
        <w:t>một Order cho mỗi Store</w:t>
      </w:r>
      <w:r>
        <w:t xml:space="preserve">. Mỗi Order có phương thức SANDBOX hoặc COD, Payment và trạng thái riêng; Customer trả các Order sandbox ở thời điểm tùy chọn trong hạn. Các Order cùng lần mua chỉ chia sẻ </w:t>
      </w:r>
      <w:r>
        <w:rPr>
          <w:rFonts w:ascii="Consolas" w:hAnsi="Consolas" w:eastAsia="Consolas" w:cs="Consolas"/>
          <w:sz w:val="18"/>
        </w:rPr>
        <w:t>purchase_group_id</w:t>
      </w:r>
      <w:r>
        <w:t xml:space="preserve"> để nhóm trên giao diện. Checkout là </w:t>
      </w:r>
      <w:r>
        <w:rPr>
          <w:b/>
        </w:rPr>
        <w:t>quy trình</w:t>
      </w:r>
      <w:r>
        <w:t>, không có bảng Purchase/CheckoutSession lưu lịch sử; lịch sử nằm ở Order và OrderItem.</w:t>
      </w:r>
    </w:p>
    <w:p>
      <w:pPr>
        <w:pStyle w:val="Heading1"/>
      </w:pPr>
      <w:r>
        <w:t>2. Người dùng và ranh giới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3307"/>
        <w:gridCol w:w="3307"/>
        <w:gridCol w:w="3307"/>
      </w:tblGrid>
      <w:tr>
        <w:trPr>
          <w:tblHeader w:val="true"/>
          <w:cantSplit/>
        </w:trPr>
        <w:tc>
          <w:tcPr>
            <w:tcW w:type="dxa" w:w="1301"/>
            <w:vAlign w:val="center"/>
            <w:shd w:fill="24466B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85" w:type="dxa"/>
              <w:left w:w="100" w:type="dxa"/>
              <w:bottom w:w="85" w:type="dxa"/>
              <w:right w:w="100" w:type="dxa"/>
            </w:tcMar>
          </w:tcPr>
          <w:p>
            <w:pPr>
              <w:spacing w:after="0"/>
            </w:pPr>
            <w:r>
              <w:rPr>
                <w:rFonts w:ascii="Arial" w:hAnsi="Arial" w:eastAsia="Arial" w:cs="Arial"/>
                <w:b/>
                <w:color w:val="FFFFFF"/>
                <w:sz w:val="18"/>
              </w:rPr>
              <w:t>Actor</w:t>
            </w:r>
          </w:p>
        </w:tc>
        <w:tc>
          <w:tcPr>
            <w:tcW w:type="dxa" w:w="7157"/>
            <w:vAlign w:val="center"/>
            <w:shd w:fill="24466B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85" w:type="dxa"/>
              <w:left w:w="100" w:type="dxa"/>
              <w:bottom w:w="85" w:type="dxa"/>
              <w:right w:w="100" w:type="dxa"/>
            </w:tcMar>
          </w:tcPr>
          <w:p>
            <w:pPr>
              <w:spacing w:after="0"/>
            </w:pPr>
            <w:r>
              <w:rPr>
                <w:rFonts w:ascii="Arial" w:hAnsi="Arial" w:eastAsia="Arial" w:cs="Arial"/>
                <w:b/>
                <w:color w:val="FFFFFF"/>
                <w:sz w:val="18"/>
              </w:rPr>
              <w:t>Mục tiêu</w:t>
            </w:r>
          </w:p>
        </w:tc>
        <w:tc>
          <w:tcPr>
            <w:tcW w:type="dxa" w:w="1464"/>
            <w:vAlign w:val="center"/>
            <w:shd w:fill="24466B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85" w:type="dxa"/>
              <w:left w:w="100" w:type="dxa"/>
              <w:bottom w:w="85" w:type="dxa"/>
              <w:right w:w="100" w:type="dxa"/>
            </w:tcMar>
          </w:tcPr>
          <w:p>
            <w:pPr>
              <w:spacing w:after="0"/>
            </w:pPr>
            <w:r>
              <w:rPr>
                <w:rFonts w:ascii="Arial" w:hAnsi="Arial" w:eastAsia="Arial" w:cs="Arial"/>
                <w:b/>
                <w:color w:val="FFFFFF"/>
                <w:sz w:val="18"/>
              </w:rPr>
              <w:t>Giao diện</w:t>
            </w:r>
          </w:p>
        </w:tc>
      </w:tr>
      <w:tr>
        <w:trPr>
          <w:cantSplit/>
        </w:trPr>
        <w:tc>
          <w:tcPr>
            <w:tcW w:type="dxa" w:w="1301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85" w:type="dxa"/>
              <w:left w:w="100" w:type="dxa"/>
              <w:bottom w:w="85" w:type="dxa"/>
              <w:right w:w="100" w:type="dxa"/>
            </w:tcMar>
          </w:tcPr>
          <w:p>
            <w:pPr>
              <w:spacing w:after="0"/>
              <w:jc w:val="center"/>
            </w:pPr>
            <w:r>
              <w:rPr>
                <w:rFonts w:ascii="Arial" w:hAnsi="Arial" w:eastAsia="Arial" w:cs="Arial"/>
                <w:sz w:val="17"/>
              </w:rPr>
              <w:t>Guest</w:t>
            </w:r>
          </w:p>
        </w:tc>
        <w:tc>
          <w:tcPr>
            <w:tcW w:type="dxa" w:w="7157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85" w:type="dxa"/>
              <w:left w:w="100" w:type="dxa"/>
              <w:bottom w:w="85" w:type="dxa"/>
              <w:right w:w="100" w:type="dxa"/>
            </w:tcMar>
          </w:tcPr>
          <w:p>
            <w:pPr>
              <w:spacing w:after="0"/>
            </w:pPr>
            <w:r>
              <w:rPr>
                <w:rFonts w:ascii="Arial" w:hAnsi="Arial" w:eastAsia="Arial" w:cs="Arial"/>
                <w:sz w:val="17"/>
              </w:rPr>
              <w:t>Xem hàng, chat cơ bản, đăng ký/đăng nhập</w:t>
            </w:r>
          </w:p>
        </w:tc>
        <w:tc>
          <w:tcPr>
            <w:tcW w:type="dxa" w:w="146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85" w:type="dxa"/>
              <w:left w:w="100" w:type="dxa"/>
              <w:bottom w:w="85" w:type="dxa"/>
              <w:right w:w="100" w:type="dxa"/>
            </w:tcMar>
          </w:tcPr>
          <w:p>
            <w:pPr>
              <w:spacing w:after="0"/>
            </w:pPr>
            <w:r>
              <w:rPr>
                <w:rFonts w:ascii="Arial" w:hAnsi="Arial" w:eastAsia="Arial" w:cs="Arial"/>
                <w:sz w:val="17"/>
              </w:rPr>
              <w:t>Web/Mobile</w:t>
            </w:r>
          </w:p>
        </w:tc>
      </w:tr>
      <w:tr>
        <w:trPr>
          <w:cantSplit/>
        </w:trPr>
        <w:tc>
          <w:tcPr>
            <w:tcW w:type="dxa" w:w="1301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85" w:type="dxa"/>
              <w:left w:w="100" w:type="dxa"/>
              <w:bottom w:w="85" w:type="dxa"/>
              <w:right w:w="100" w:type="dxa"/>
            </w:tcMar>
            <w:shd w:fill="F3F7FB"/>
          </w:tcPr>
          <w:p>
            <w:pPr>
              <w:spacing w:after="0"/>
              <w:jc w:val="center"/>
            </w:pPr>
            <w:r>
              <w:rPr>
                <w:rFonts w:ascii="Arial" w:hAnsi="Arial" w:eastAsia="Arial" w:cs="Arial"/>
                <w:sz w:val="17"/>
              </w:rPr>
              <w:t>Customer</w:t>
            </w:r>
          </w:p>
        </w:tc>
        <w:tc>
          <w:tcPr>
            <w:tcW w:type="dxa" w:w="7157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85" w:type="dxa"/>
              <w:left w:w="100" w:type="dxa"/>
              <w:bottom w:w="85" w:type="dxa"/>
              <w:right w:w="100" w:type="dxa"/>
            </w:tcMar>
            <w:shd w:fill="F3F7FB"/>
          </w:tcPr>
          <w:p>
            <w:pPr>
              <w:spacing w:after="0"/>
            </w:pPr>
            <w:r>
              <w:rPr>
                <w:rFonts w:ascii="Arial" w:hAnsi="Arial" w:eastAsia="Arial" w:cs="Arial"/>
                <w:sz w:val="17"/>
              </w:rPr>
              <w:t>Giỏ, đặt hàng, trả từng Order, theo dõi/hủy, đánh giá, đăng ký Store</w:t>
            </w:r>
          </w:p>
        </w:tc>
        <w:tc>
          <w:tcPr>
            <w:tcW w:type="dxa" w:w="146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85" w:type="dxa"/>
              <w:left w:w="100" w:type="dxa"/>
              <w:bottom w:w="85" w:type="dxa"/>
              <w:right w:w="100" w:type="dxa"/>
            </w:tcMar>
            <w:shd w:fill="F3F7FB"/>
          </w:tcPr>
          <w:p>
            <w:pPr>
              <w:spacing w:after="0"/>
            </w:pPr>
            <w:r>
              <w:rPr>
                <w:rFonts w:ascii="Arial" w:hAnsi="Arial" w:eastAsia="Arial" w:cs="Arial"/>
                <w:sz w:val="17"/>
              </w:rPr>
              <w:t>Web/Mobile; mở Store trên Web</w:t>
            </w:r>
          </w:p>
        </w:tc>
      </w:tr>
      <w:tr>
        <w:trPr>
          <w:cantSplit/>
        </w:trPr>
        <w:tc>
          <w:tcPr>
            <w:tcW w:type="dxa" w:w="1301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85" w:type="dxa"/>
              <w:left w:w="100" w:type="dxa"/>
              <w:bottom w:w="85" w:type="dxa"/>
              <w:right w:w="100" w:type="dxa"/>
            </w:tcMar>
          </w:tcPr>
          <w:p>
            <w:pPr>
              <w:spacing w:after="0"/>
              <w:jc w:val="center"/>
            </w:pPr>
            <w:r>
              <w:rPr>
                <w:rFonts w:ascii="Arial" w:hAnsi="Arial" w:eastAsia="Arial" w:cs="Arial"/>
                <w:sz w:val="17"/>
              </w:rPr>
              <w:t>Seller</w:t>
            </w:r>
          </w:p>
        </w:tc>
        <w:tc>
          <w:tcPr>
            <w:tcW w:type="dxa" w:w="7157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85" w:type="dxa"/>
              <w:left w:w="100" w:type="dxa"/>
              <w:bottom w:w="85" w:type="dxa"/>
              <w:right w:w="100" w:type="dxa"/>
            </w:tcMar>
          </w:tcPr>
          <w:p>
            <w:pPr>
              <w:spacing w:after="0"/>
            </w:pPr>
            <w:r>
              <w:rPr>
                <w:rFonts w:ascii="Arial" w:hAnsi="Arial" w:eastAsia="Arial" w:cs="Arial"/>
                <w:sz w:val="17"/>
              </w:rPr>
              <w:t>Quản lý sản phẩm, kho và xử lý đơn theo quyền Store</w:t>
            </w:r>
          </w:p>
        </w:tc>
        <w:tc>
          <w:tcPr>
            <w:tcW w:type="dxa" w:w="146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85" w:type="dxa"/>
              <w:left w:w="100" w:type="dxa"/>
              <w:bottom w:w="85" w:type="dxa"/>
              <w:right w:w="100" w:type="dxa"/>
            </w:tcMar>
          </w:tcPr>
          <w:p>
            <w:pPr>
              <w:spacing w:after="0"/>
            </w:pPr>
            <w:r>
              <w:rPr>
                <w:rFonts w:ascii="Arial" w:hAnsi="Arial" w:eastAsia="Arial" w:cs="Arial"/>
                <w:sz w:val="17"/>
              </w:rPr>
              <w:t>Portal</w:t>
            </w:r>
          </w:p>
        </w:tc>
      </w:tr>
      <w:tr>
        <w:trPr>
          <w:cantSplit/>
        </w:trPr>
        <w:tc>
          <w:tcPr>
            <w:tcW w:type="dxa" w:w="1301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85" w:type="dxa"/>
              <w:left w:w="100" w:type="dxa"/>
              <w:bottom w:w="85" w:type="dxa"/>
              <w:right w:w="100" w:type="dxa"/>
            </w:tcMar>
            <w:shd w:fill="F3F7FB"/>
          </w:tcPr>
          <w:p>
            <w:pPr>
              <w:spacing w:after="0"/>
              <w:jc w:val="center"/>
            </w:pPr>
            <w:r>
              <w:rPr>
                <w:rFonts w:ascii="Arial" w:hAnsi="Arial" w:eastAsia="Arial" w:cs="Arial"/>
                <w:sz w:val="17"/>
              </w:rPr>
              <w:t>Store Owner</w:t>
            </w:r>
          </w:p>
        </w:tc>
        <w:tc>
          <w:tcPr>
            <w:tcW w:type="dxa" w:w="7157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85" w:type="dxa"/>
              <w:left w:w="100" w:type="dxa"/>
              <w:bottom w:w="85" w:type="dxa"/>
              <w:right w:w="100" w:type="dxa"/>
            </w:tcMar>
            <w:shd w:fill="F3F7FB"/>
          </w:tcPr>
          <w:p>
            <w:pPr>
              <w:spacing w:after="0"/>
            </w:pPr>
            <w:r>
              <w:rPr>
                <w:rFonts w:ascii="Arial" w:hAnsi="Arial" w:eastAsia="Arial" w:cs="Arial"/>
                <w:sz w:val="17"/>
              </w:rPr>
              <w:t>Quyền Seller, thêm quản lý Store, nhân viên, voucher, báo cáo</w:t>
            </w:r>
          </w:p>
        </w:tc>
        <w:tc>
          <w:tcPr>
            <w:tcW w:type="dxa" w:w="146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85" w:type="dxa"/>
              <w:left w:w="100" w:type="dxa"/>
              <w:bottom w:w="85" w:type="dxa"/>
              <w:right w:w="100" w:type="dxa"/>
            </w:tcMar>
            <w:shd w:fill="F3F7FB"/>
          </w:tcPr>
          <w:p>
            <w:pPr>
              <w:spacing w:after="0"/>
            </w:pPr>
            <w:r>
              <w:rPr>
                <w:rFonts w:ascii="Arial" w:hAnsi="Arial" w:eastAsia="Arial" w:cs="Arial"/>
                <w:sz w:val="17"/>
              </w:rPr>
              <w:t>Portal</w:t>
            </w:r>
          </w:p>
        </w:tc>
      </w:tr>
      <w:tr>
        <w:trPr>
          <w:cantSplit/>
        </w:trPr>
        <w:tc>
          <w:tcPr>
            <w:tcW w:type="dxa" w:w="1301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85" w:type="dxa"/>
              <w:left w:w="100" w:type="dxa"/>
              <w:bottom w:w="85" w:type="dxa"/>
              <w:right w:w="100" w:type="dxa"/>
            </w:tcMar>
          </w:tcPr>
          <w:p>
            <w:pPr>
              <w:spacing w:after="0"/>
              <w:jc w:val="center"/>
            </w:pPr>
            <w:r>
              <w:rPr>
                <w:rFonts w:ascii="Arial" w:hAnsi="Arial" w:eastAsia="Arial" w:cs="Arial"/>
                <w:sz w:val="17"/>
              </w:rPr>
              <w:t>Administrator</w:t>
            </w:r>
          </w:p>
        </w:tc>
        <w:tc>
          <w:tcPr>
            <w:tcW w:type="dxa" w:w="7157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85" w:type="dxa"/>
              <w:left w:w="100" w:type="dxa"/>
              <w:bottom w:w="85" w:type="dxa"/>
              <w:right w:w="100" w:type="dxa"/>
            </w:tcMar>
          </w:tcPr>
          <w:p>
            <w:pPr>
              <w:spacing w:after="0"/>
            </w:pPr>
            <w:r>
              <w:rPr>
                <w:rFonts w:ascii="Arial" w:hAnsi="Arial" w:eastAsia="Arial" w:cs="Arial"/>
                <w:sz w:val="17"/>
              </w:rPr>
              <w:t>Duyệt Store, quản trị và kiểm duyệt toàn sàn</w:t>
            </w:r>
          </w:p>
        </w:tc>
        <w:tc>
          <w:tcPr>
            <w:tcW w:type="dxa" w:w="146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85" w:type="dxa"/>
              <w:left w:w="100" w:type="dxa"/>
              <w:bottom w:w="85" w:type="dxa"/>
              <w:right w:w="100" w:type="dxa"/>
            </w:tcMar>
          </w:tcPr>
          <w:p>
            <w:pPr>
              <w:spacing w:after="0"/>
            </w:pPr>
            <w:r>
              <w:rPr>
                <w:rFonts w:ascii="Arial" w:hAnsi="Arial" w:eastAsia="Arial" w:cs="Arial"/>
                <w:sz w:val="17"/>
              </w:rPr>
              <w:t>Portal</w:t>
            </w:r>
          </w:p>
        </w:tc>
      </w:tr>
    </w:tbl>
    <w:p>
      <w:pPr>
        <w:spacing w:after="40"/>
      </w:pPr>
    </w:p>
    <w:p>
      <w:r>
        <w:t xml:space="preserve">Một User có thể vừa mua hàng vừa là Seller/Owner của tối đa một Store đang hoạt động. Actor trên hình Use Case là ngữ cảnh tương tác, không phải một </w:t>
      </w:r>
      <w:r>
        <w:rPr>
          <w:rFonts w:ascii="Consolas" w:hAnsi="Consolas" w:eastAsia="Consolas" w:cs="Consolas"/>
          <w:sz w:val="18"/>
        </w:rPr>
        <w:t>role</w:t>
      </w:r>
      <w:r>
        <w:t xml:space="preserve"> cố định trong JWT. Backend xác minh User, membership và quyền hiện hành ở mỗi request; xem </w:t>
      </w:r>
      <w:hyperlink r:id="rId17">
        <w:r>
          <w:rPr>
            <w:color w:val="1F4E79"/>
          </w:rPr>
          <w:t>RBAC</w:t>
        </w:r>
      </w:hyperlink>
      <w:r>
        <w:t>. Gateway sandbox và LLM là hệ thống ngoài; giao hàng/COD là mô phỏng trong MVP.</w:t>
      </w:r>
    </w:p>
    <w:p>
      <w:pPr>
        <w:pStyle w:val="Heading1"/>
      </w:pPr>
      <w:r>
        <w:t>3. Phạm vi chức năng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3307"/>
        <w:gridCol w:w="3307"/>
        <w:gridCol w:w="3307"/>
      </w:tblGrid>
      <w:tr>
        <w:trPr>
          <w:tblHeader w:val="true"/>
          <w:cantSplit/>
        </w:trPr>
        <w:tc>
          <w:tcPr>
            <w:tcW w:type="dxa" w:w="1191"/>
            <w:vAlign w:val="center"/>
            <w:shd w:fill="24466B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85" w:type="dxa"/>
              <w:left w:w="100" w:type="dxa"/>
              <w:bottom w:w="85" w:type="dxa"/>
              <w:right w:w="100" w:type="dxa"/>
            </w:tcMar>
          </w:tcPr>
          <w:p>
            <w:pPr>
              <w:spacing w:after="0"/>
            </w:pPr>
            <w:r>
              <w:rPr>
                <w:rFonts w:ascii="Arial" w:hAnsi="Arial" w:eastAsia="Arial" w:cs="Arial"/>
                <w:b/>
                <w:color w:val="FFFFFF"/>
                <w:sz w:val="18"/>
              </w:rPr>
              <w:t>Nhóm</w:t>
            </w:r>
          </w:p>
        </w:tc>
        <w:tc>
          <w:tcPr>
            <w:tcW w:type="dxa" w:w="4366"/>
            <w:vAlign w:val="center"/>
            <w:shd w:fill="24466B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85" w:type="dxa"/>
              <w:left w:w="100" w:type="dxa"/>
              <w:bottom w:w="85" w:type="dxa"/>
              <w:right w:w="100" w:type="dxa"/>
            </w:tcMar>
          </w:tcPr>
          <w:p>
            <w:pPr>
              <w:spacing w:after="0"/>
            </w:pPr>
            <w:r>
              <w:rPr>
                <w:rFonts w:ascii="Arial" w:hAnsi="Arial" w:eastAsia="Arial" w:cs="Arial"/>
                <w:b/>
                <w:color w:val="FFFFFF"/>
                <w:sz w:val="18"/>
              </w:rPr>
              <w:t>Kết quả hệ thống phải cung cấp</w:t>
            </w:r>
          </w:p>
        </w:tc>
        <w:tc>
          <w:tcPr>
            <w:tcW w:type="dxa" w:w="4366"/>
            <w:vAlign w:val="center"/>
            <w:shd w:fill="24466B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85" w:type="dxa"/>
              <w:left w:w="100" w:type="dxa"/>
              <w:bottom w:w="85" w:type="dxa"/>
              <w:right w:w="100" w:type="dxa"/>
            </w:tcMar>
          </w:tcPr>
          <w:p>
            <w:pPr>
              <w:spacing w:after="0"/>
            </w:pPr>
            <w:r>
              <w:rPr>
                <w:rFonts w:ascii="Arial" w:hAnsi="Arial" w:eastAsia="Arial" w:cs="Arial"/>
                <w:b/>
                <w:color w:val="FFFFFF"/>
                <w:sz w:val="18"/>
              </w:rPr>
              <w:t>Tham chiếu</w:t>
            </w:r>
          </w:p>
        </w:tc>
      </w:tr>
      <w:tr>
        <w:trPr>
          <w:cantSplit/>
        </w:trPr>
        <w:tc>
          <w:tcPr>
            <w:tcW w:type="dxa" w:w="1191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85" w:type="dxa"/>
              <w:left w:w="100" w:type="dxa"/>
              <w:bottom w:w="85" w:type="dxa"/>
              <w:right w:w="100" w:type="dxa"/>
            </w:tcMar>
          </w:tcPr>
          <w:p>
            <w:pPr>
              <w:spacing w:after="0"/>
              <w:jc w:val="center"/>
            </w:pPr>
            <w:r>
              <w:rPr>
                <w:rFonts w:ascii="Arial" w:hAnsi="Arial" w:eastAsia="Arial" w:cs="Arial"/>
                <w:sz w:val="17"/>
              </w:rPr>
              <w:t>Tài khoản</w:t>
            </w:r>
          </w:p>
        </w:tc>
        <w:tc>
          <w:tcPr>
            <w:tcW w:type="dxa" w:w="4366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85" w:type="dxa"/>
              <w:left w:w="100" w:type="dxa"/>
              <w:bottom w:w="85" w:type="dxa"/>
              <w:right w:w="100" w:type="dxa"/>
            </w:tcMar>
          </w:tcPr>
          <w:p>
            <w:pPr>
              <w:spacing w:after="0"/>
            </w:pPr>
            <w:r>
              <w:rPr>
                <w:rFonts w:ascii="Arial" w:hAnsi="Arial" w:eastAsia="Arial" w:cs="Arial"/>
                <w:sz w:val="17"/>
              </w:rPr>
              <w:t>Đăng ký/xác minh email, đăng nhập/đăng xuất, đặt lại/đổi mật khẩu, hồ sơ/địa chỉ; khóa User chặn request mới.</w:t>
            </w:r>
          </w:p>
        </w:tc>
        <w:tc>
          <w:tcPr>
            <w:tcW w:type="dxa" w:w="4366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85" w:type="dxa"/>
              <w:left w:w="100" w:type="dxa"/>
              <w:bottom w:w="85" w:type="dxa"/>
              <w:right w:w="100" w:type="dxa"/>
            </w:tcMar>
          </w:tcPr>
          <w:p>
            <w:pPr>
              <w:spacing w:after="0"/>
            </w:pPr>
            <w:r>
              <w:rPr>
                <w:rFonts w:ascii="Arial" w:hAnsi="Arial" w:eastAsia="Arial" w:cs="Arial"/>
                <w:sz w:val="17"/>
              </w:rPr>
              <w:t>FR-AUTH-*, FR-PROFILE-*, FR-ADDR-*; UC-AUTH-*</w:t>
            </w:r>
          </w:p>
        </w:tc>
      </w:tr>
      <w:tr>
        <w:trPr>
          <w:cantSplit/>
        </w:trPr>
        <w:tc>
          <w:tcPr>
            <w:tcW w:type="dxa" w:w="1191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85" w:type="dxa"/>
              <w:left w:w="100" w:type="dxa"/>
              <w:bottom w:w="85" w:type="dxa"/>
              <w:right w:w="100" w:type="dxa"/>
            </w:tcMar>
            <w:shd w:fill="F3F7FB"/>
          </w:tcPr>
          <w:p>
            <w:pPr>
              <w:spacing w:after="0"/>
              <w:jc w:val="center"/>
            </w:pPr>
            <w:r>
              <w:rPr>
                <w:rFonts w:ascii="Arial" w:hAnsi="Arial" w:eastAsia="Arial" w:cs="Arial"/>
                <w:sz w:val="17"/>
              </w:rPr>
              <w:t>Khám phá</w:t>
            </w:r>
          </w:p>
        </w:tc>
        <w:tc>
          <w:tcPr>
            <w:tcW w:type="dxa" w:w="4366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85" w:type="dxa"/>
              <w:left w:w="100" w:type="dxa"/>
              <w:bottom w:w="85" w:type="dxa"/>
              <w:right w:w="100" w:type="dxa"/>
            </w:tcMar>
            <w:shd w:fill="F3F7FB"/>
          </w:tcPr>
          <w:p>
            <w:pPr>
              <w:spacing w:after="0"/>
            </w:pPr>
            <w:r>
              <w:rPr>
                <w:rFonts w:ascii="Arial" w:hAnsi="Arial" w:eastAsia="Arial" w:cs="Arial"/>
                <w:sz w:val="17"/>
              </w:rPr>
              <w:t>Duyệt Category/Store, tìm/lọc theo thuộc tính động, xem Product/Variant và giá hiện hành.</w:t>
            </w:r>
          </w:p>
        </w:tc>
        <w:tc>
          <w:tcPr>
            <w:tcW w:type="dxa" w:w="4366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85" w:type="dxa"/>
              <w:left w:w="100" w:type="dxa"/>
              <w:bottom w:w="85" w:type="dxa"/>
              <w:right w:w="100" w:type="dxa"/>
            </w:tcMar>
            <w:shd w:fill="F3F7FB"/>
          </w:tcPr>
          <w:p>
            <w:pPr>
              <w:spacing w:after="0"/>
            </w:pPr>
            <w:r>
              <w:rPr>
                <w:rFonts w:ascii="Arial" w:hAnsi="Arial" w:eastAsia="Arial" w:cs="Arial"/>
                <w:sz w:val="17"/>
              </w:rPr>
              <w:t>FR-CAT-*, FR-SEARCH-*, FR-PROD-*; UC Discovery</w:t>
            </w:r>
          </w:p>
        </w:tc>
      </w:tr>
      <w:tr>
        <w:trPr>
          <w:cantSplit/>
        </w:trPr>
        <w:tc>
          <w:tcPr>
            <w:tcW w:type="dxa" w:w="1191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85" w:type="dxa"/>
              <w:left w:w="100" w:type="dxa"/>
              <w:bottom w:w="85" w:type="dxa"/>
              <w:right w:w="100" w:type="dxa"/>
            </w:tcMar>
          </w:tcPr>
          <w:p>
            <w:pPr>
              <w:spacing w:after="0"/>
              <w:jc w:val="center"/>
            </w:pPr>
            <w:r>
              <w:rPr>
                <w:rFonts w:ascii="Arial" w:hAnsi="Arial" w:eastAsia="Arial" w:cs="Arial"/>
                <w:sz w:val="17"/>
              </w:rPr>
              <w:t>Giỏ/đặt hàng</w:t>
            </w:r>
          </w:p>
        </w:tc>
        <w:tc>
          <w:tcPr>
            <w:tcW w:type="dxa" w:w="4366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85" w:type="dxa"/>
              <w:left w:w="100" w:type="dxa"/>
              <w:bottom w:w="85" w:type="dxa"/>
              <w:right w:w="100" w:type="dxa"/>
            </w:tcMar>
          </w:tcPr>
          <w:p>
            <w:pPr>
              <w:spacing w:after="0"/>
            </w:pPr>
            <w:r>
              <w:rPr>
                <w:rFonts w:ascii="Arial" w:hAnsi="Arial" w:eastAsia="Arial" w:cs="Arial"/>
                <w:sz w:val="17"/>
              </w:rPr>
              <w:t>Chọn CartItem nhiều Store, một địa chỉ, phương thức theo Store, voucher Store/toàn sàn; xem quote rồi tạo nguyên tập Order.</w:t>
            </w:r>
          </w:p>
        </w:tc>
        <w:tc>
          <w:tcPr>
            <w:tcW w:type="dxa" w:w="4366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85" w:type="dxa"/>
              <w:left w:w="100" w:type="dxa"/>
              <w:bottom w:w="85" w:type="dxa"/>
              <w:right w:w="100" w:type="dxa"/>
            </w:tcMar>
          </w:tcPr>
          <w:p>
            <w:pPr>
              <w:spacing w:after="0"/>
            </w:pPr>
            <w:r>
              <w:rPr>
                <w:rFonts w:ascii="Arial" w:hAnsi="Arial" w:eastAsia="Arial" w:cs="Arial"/>
                <w:sz w:val="17"/>
              </w:rPr>
              <w:t>FR-CART-*, FR-CHECKOUT-*; UC-CHECKOUT-*</w:t>
            </w:r>
          </w:p>
        </w:tc>
      </w:tr>
      <w:tr>
        <w:trPr>
          <w:cantSplit/>
        </w:trPr>
        <w:tc>
          <w:tcPr>
            <w:tcW w:type="dxa" w:w="1191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85" w:type="dxa"/>
              <w:left w:w="100" w:type="dxa"/>
              <w:bottom w:w="85" w:type="dxa"/>
              <w:right w:w="100" w:type="dxa"/>
            </w:tcMar>
            <w:shd w:fill="F3F7FB"/>
          </w:tcPr>
          <w:p>
            <w:pPr>
              <w:spacing w:after="0"/>
              <w:jc w:val="center"/>
            </w:pPr>
            <w:r>
              <w:rPr>
                <w:rFonts w:ascii="Arial" w:hAnsi="Arial" w:eastAsia="Arial" w:cs="Arial"/>
                <w:sz w:val="17"/>
              </w:rPr>
              <w:t>Thanh toán/sau mua</w:t>
            </w:r>
          </w:p>
        </w:tc>
        <w:tc>
          <w:tcPr>
            <w:tcW w:type="dxa" w:w="4366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85" w:type="dxa"/>
              <w:left w:w="100" w:type="dxa"/>
              <w:bottom w:w="85" w:type="dxa"/>
              <w:right w:w="100" w:type="dxa"/>
            </w:tcMar>
            <w:shd w:fill="F3F7FB"/>
          </w:tcPr>
          <w:p>
            <w:pPr>
              <w:spacing w:after="0"/>
            </w:pPr>
            <w:r>
              <w:rPr>
                <w:rFonts w:ascii="Arial" w:hAnsi="Arial" w:eastAsia="Arial" w:cs="Arial"/>
                <w:sz w:val="17"/>
              </w:rPr>
              <w:t>Trả sandbox theo Order hoặc COD; xem Order/Payment/Refund tách biệt; hủy từng Order khi còn cho phép.</w:t>
            </w:r>
          </w:p>
        </w:tc>
        <w:tc>
          <w:tcPr>
            <w:tcW w:type="dxa" w:w="4366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85" w:type="dxa"/>
              <w:left w:w="100" w:type="dxa"/>
              <w:bottom w:w="85" w:type="dxa"/>
              <w:right w:w="100" w:type="dxa"/>
            </w:tcMar>
            <w:shd w:fill="F3F7FB"/>
          </w:tcPr>
          <w:p>
            <w:pPr>
              <w:spacing w:after="0"/>
            </w:pPr>
            <w:r>
              <w:rPr>
                <w:rFonts w:ascii="Arial" w:hAnsi="Arial" w:eastAsia="Arial" w:cs="Arial"/>
                <w:sz w:val="17"/>
              </w:rPr>
              <w:t>FR-PAY-*, FR-ORDER-*; UC-PAY-*, UC-ORDER-*</w:t>
            </w:r>
          </w:p>
        </w:tc>
      </w:tr>
      <w:tr>
        <w:trPr>
          <w:cantSplit/>
        </w:trPr>
        <w:tc>
          <w:tcPr>
            <w:tcW w:type="dxa" w:w="1191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85" w:type="dxa"/>
              <w:left w:w="100" w:type="dxa"/>
              <w:bottom w:w="85" w:type="dxa"/>
              <w:right w:w="100" w:type="dxa"/>
            </w:tcMar>
          </w:tcPr>
          <w:p>
            <w:pPr>
              <w:spacing w:after="0"/>
              <w:jc w:val="center"/>
            </w:pPr>
            <w:r>
              <w:rPr>
                <w:rFonts w:ascii="Arial" w:hAnsi="Arial" w:eastAsia="Arial" w:cs="Arial"/>
                <w:sz w:val="17"/>
              </w:rPr>
              <w:t>Store/vận hành</w:t>
            </w:r>
          </w:p>
        </w:tc>
        <w:tc>
          <w:tcPr>
            <w:tcW w:type="dxa" w:w="4366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85" w:type="dxa"/>
              <w:left w:w="100" w:type="dxa"/>
              <w:bottom w:w="85" w:type="dxa"/>
              <w:right w:w="100" w:type="dxa"/>
            </w:tcMar>
          </w:tcPr>
          <w:p>
            <w:pPr>
              <w:spacing w:after="0"/>
            </w:pPr>
            <w:r>
              <w:rPr>
                <w:rFonts w:ascii="Arial" w:hAnsi="Arial" w:eastAsia="Arial" w:cs="Arial"/>
                <w:sz w:val="17"/>
              </w:rPr>
              <w:t>Customer nộp đơn Store, Admin duyệt/từ chối; Owner mời Seller, cấp quyền, voucher, báo cáo; Seller xử lý hàng/kho/đơn.</w:t>
            </w:r>
          </w:p>
        </w:tc>
        <w:tc>
          <w:tcPr>
            <w:tcW w:type="dxa" w:w="4366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85" w:type="dxa"/>
              <w:left w:w="100" w:type="dxa"/>
              <w:bottom w:w="85" w:type="dxa"/>
              <w:right w:w="100" w:type="dxa"/>
            </w:tcMar>
          </w:tcPr>
          <w:p>
            <w:pPr>
              <w:spacing w:after="0"/>
            </w:pPr>
            <w:r>
              <w:rPr>
                <w:rFonts w:ascii="Arial" w:hAnsi="Arial" w:eastAsia="Arial" w:cs="Arial"/>
                <w:sz w:val="17"/>
              </w:rPr>
              <w:t>FR-STORE-*, FR-MPROD-*, FR-INV-*, FR-SORDER-*</w:t>
            </w:r>
          </w:p>
        </w:tc>
      </w:tr>
      <w:tr>
        <w:trPr>
          <w:cantSplit/>
        </w:trPr>
        <w:tc>
          <w:tcPr>
            <w:tcW w:type="dxa" w:w="1191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85" w:type="dxa"/>
              <w:left w:w="100" w:type="dxa"/>
              <w:bottom w:w="85" w:type="dxa"/>
              <w:right w:w="100" w:type="dxa"/>
            </w:tcMar>
            <w:shd w:fill="F3F7FB"/>
          </w:tcPr>
          <w:p>
            <w:pPr>
              <w:spacing w:after="0"/>
              <w:jc w:val="center"/>
            </w:pPr>
            <w:r>
              <w:rPr>
                <w:rFonts w:ascii="Arial" w:hAnsi="Arial" w:eastAsia="Arial" w:cs="Arial"/>
                <w:sz w:val="17"/>
              </w:rPr>
              <w:t>Đánh giá</w:t>
            </w:r>
          </w:p>
        </w:tc>
        <w:tc>
          <w:tcPr>
            <w:tcW w:type="dxa" w:w="4366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85" w:type="dxa"/>
              <w:left w:w="100" w:type="dxa"/>
              <w:bottom w:w="85" w:type="dxa"/>
              <w:right w:w="100" w:type="dxa"/>
            </w:tcMar>
            <w:shd w:fill="F3F7FB"/>
          </w:tcPr>
          <w:p>
            <w:pPr>
              <w:spacing w:after="0"/>
            </w:pPr>
            <w:r>
              <w:rPr>
                <w:rFonts w:ascii="Arial" w:hAnsi="Arial" w:eastAsia="Arial" w:cs="Arial"/>
                <w:sz w:val="17"/>
              </w:rPr>
              <w:t>Customer đánh giá OrderItem của Order Completed; một Review/item; Admin ẩn/hiện lại có lý do.</w:t>
            </w:r>
          </w:p>
        </w:tc>
        <w:tc>
          <w:tcPr>
            <w:tcW w:type="dxa" w:w="4366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85" w:type="dxa"/>
              <w:left w:w="100" w:type="dxa"/>
              <w:bottom w:w="85" w:type="dxa"/>
              <w:right w:w="100" w:type="dxa"/>
            </w:tcMar>
            <w:shd w:fill="F3F7FB"/>
          </w:tcPr>
          <w:p>
            <w:pPr>
              <w:spacing w:after="0"/>
            </w:pPr>
            <w:r>
              <w:rPr>
                <w:rFonts w:ascii="Arial" w:hAnsi="Arial" w:eastAsia="Arial" w:cs="Arial"/>
                <w:sz w:val="17"/>
              </w:rPr>
              <w:t>FR-REV-*; UC-REV-*</w:t>
            </w:r>
          </w:p>
        </w:tc>
      </w:tr>
      <w:tr>
        <w:trPr>
          <w:cantSplit/>
        </w:trPr>
        <w:tc>
          <w:tcPr>
            <w:tcW w:type="dxa" w:w="1191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85" w:type="dxa"/>
              <w:left w:w="100" w:type="dxa"/>
              <w:bottom w:w="85" w:type="dxa"/>
              <w:right w:w="100" w:type="dxa"/>
            </w:tcMar>
          </w:tcPr>
          <w:p>
            <w:pPr>
              <w:spacing w:after="0"/>
              <w:jc w:val="center"/>
            </w:pPr>
            <w:r>
              <w:rPr>
                <w:rFonts w:ascii="Arial" w:hAnsi="Arial" w:eastAsia="Arial" w:cs="Arial"/>
                <w:sz w:val="17"/>
              </w:rPr>
              <w:t>AI</w:t>
            </w:r>
          </w:p>
        </w:tc>
        <w:tc>
          <w:tcPr>
            <w:tcW w:type="dxa" w:w="4366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85" w:type="dxa"/>
              <w:left w:w="100" w:type="dxa"/>
              <w:bottom w:w="85" w:type="dxa"/>
              <w:right w:w="100" w:type="dxa"/>
            </w:tcMar>
          </w:tcPr>
          <w:p>
            <w:pPr>
              <w:spacing w:after="0"/>
            </w:pPr>
            <w:r>
              <w:rPr>
                <w:rFonts w:ascii="Arial" w:hAnsi="Arial" w:eastAsia="Arial" w:cs="Arial"/>
                <w:sz w:val="17"/>
              </w:rPr>
              <w:t>Chat RAG dựa Product còn hiệu lực; cá nhân hóa khi có consent; recommendation có baseline, model offline và fallback.</w:t>
            </w:r>
          </w:p>
        </w:tc>
        <w:tc>
          <w:tcPr>
            <w:tcW w:type="dxa" w:w="4366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85" w:type="dxa"/>
              <w:left w:w="100" w:type="dxa"/>
              <w:bottom w:w="85" w:type="dxa"/>
              <w:right w:w="100" w:type="dxa"/>
            </w:tcMar>
          </w:tcPr>
          <w:p>
            <w:pPr>
              <w:spacing w:after="0"/>
            </w:pPr>
            <w:r>
              <w:rPr>
                <w:rFonts w:ascii="Arial" w:hAnsi="Arial" w:eastAsia="Arial" w:cs="Arial"/>
                <w:sz w:val="17"/>
              </w:rPr>
              <w:t>FR-AI-*, FR-REC-*; UC-CHAT-*, UC-REC-*</w:t>
            </w:r>
          </w:p>
        </w:tc>
      </w:tr>
    </w:tbl>
    <w:p>
      <w:pPr>
        <w:spacing w:after="40"/>
      </w:pPr>
    </w:p>
    <w:p>
      <w:r>
        <w:t xml:space="preserve">Các màn cụ thể nằm ở </w:t>
      </w:r>
      <w:hyperlink r:id="rId18">
        <w:r>
          <w:rPr>
            <w:color w:val="1F4E79"/>
          </w:rPr>
          <w:t>UI flow</w:t>
        </w:r>
      </w:hyperlink>
      <w:r>
        <w:t xml:space="preserve">; luồng chính, ngoại lệ và hậu điều kiện nằm trong </w:t>
      </w:r>
      <w:hyperlink r:id="rId13">
        <w:r>
          <w:rPr>
            <w:color w:val="1F4E79"/>
          </w:rPr>
          <w:t>đặc tả Use Case</w:t>
        </w:r>
      </w:hyperlink>
      <w:r>
        <w:t>.</w:t>
      </w:r>
    </w:p>
    <w:p>
      <w:pPr>
        <w:pStyle w:val="Heading1"/>
      </w:pPr>
      <w:r>
        <w:t>4. Quy tắc quyết định hành vi</w:t>
      </w:r>
    </w:p>
    <w:p>
      <w:pPr>
        <w:ind w:left="272" w:hanging="227"/>
      </w:pPr>
      <w:r>
        <w:rPr>
          <w:b/>
        </w:rPr>
        <w:t xml:space="preserve">1. </w:t>
      </w:r>
      <w:r>
        <w:t>Khi xác nhận giỏ, hệ thống tính lại giá Variant, trạng thái Store/Product, tồn, voucher và phí. Có thay đổi thì trả quote mới để Customer xem lại; không tạo Order một phần (BR-01/02/18/21).</w:t>
      </w:r>
    </w:p>
    <w:p>
      <w:pPr>
        <w:ind w:left="272" w:hanging="227"/>
      </w:pPr>
      <w:r>
        <w:rPr>
          <w:b/>
        </w:rPr>
        <w:t xml:space="preserve">2. </w:t>
      </w:r>
      <w:r>
        <w:t>Mỗi Order chụp Product, SKU, thuộc tính, địa chỉ, giá, phí và giảm giá. Voucher Store áp trước voucher sàn; giảm sàn phân bổ cố định xuống Order. Hủy/hết hạn một Order không tính lại Order khác (BR-27–31).</w:t>
      </w:r>
    </w:p>
    <w:p>
      <w:pPr>
        <w:ind w:left="272" w:hanging="227"/>
      </w:pPr>
      <w:r>
        <w:rPr>
          <w:b/>
        </w:rPr>
        <w:t xml:space="preserve">3. </w:t>
      </w:r>
      <w:r>
        <w:t>Tồn khả dụng = tồn vật lý − tồn đã giữ. Reserve/consume/release/hoàn kho có operation ID; retry tạo Order cùng key/payload trả kết quả cũ, khác payload bị từ chối (BR-10/19/41).</w:t>
      </w:r>
    </w:p>
    <w:p>
      <w:pPr>
        <w:ind w:left="272" w:hanging="227"/>
      </w:pPr>
      <w:r>
        <w:rPr>
          <w:b/>
        </w:rPr>
        <w:t xml:space="preserve">4. </w:t>
      </w:r>
      <w:r>
        <w:t>COD tạo Order trước khi thu tiền. Sandbox thanh toán riêng Order; Payment Success nhưng consume lỗi đưa chính Order đó vào RECOVERING, không thu thêm. Callback Success sau EXPIRED/release tạo Refund riêng, không mở lại Order (BR-17/21–23/40).</w:t>
      </w:r>
    </w:p>
    <w:p>
      <w:pPr>
        <w:ind w:left="272" w:hanging="227"/>
      </w:pPr>
      <w:r>
        <w:rPr>
          <w:b/>
        </w:rPr>
        <w:t xml:space="preserve">5. </w:t>
      </w:r>
      <w:r>
        <w:t>Customer hoặc Seller/Owner hủy Order khi trạng thái cho phép; Seller/Owner ghi lý do. Đơn đã trả online tạo Refund bằng số tiền Order thực trả. Trạng thái Order và Refund độc lập (BR-24–26/39).</w:t>
      </w:r>
    </w:p>
    <w:p>
      <w:pPr>
        <w:ind w:left="272" w:hanging="227"/>
      </w:pPr>
      <w:r>
        <w:rPr>
          <w:b/>
        </w:rPr>
        <w:t xml:space="preserve">6. </w:t>
      </w:r>
      <w:r>
        <w:t>Store bị khóa ngăn bán mới/công khai nhưng Order cũ vẫn xử lý theo quyền. AI phải kiểm tra Product/Store và giá hiện hành, không trả thông tin cũ từ embedding (BR-13/34/38).</w:t>
      </w:r>
    </w:p>
    <w:p>
      <w:r>
        <w:t xml:space="preserve">Điều kiện đầy đủ và các chuyển trạng thái ở </w:t>
      </w:r>
      <w:hyperlink r:id="rId14">
        <w:r>
          <w:rPr>
            <w:color w:val="1F4E79"/>
          </w:rPr>
          <w:t>Business Rules</w:t>
        </w:r>
      </w:hyperlink>
      <w:r>
        <w:t xml:space="preserve"> và </w:t>
      </w:r>
      <w:hyperlink r:id="rId19">
        <w:r>
          <w:rPr>
            <w:color w:val="1F4E79"/>
          </w:rPr>
          <w:t>State Transitions</w:t>
        </w:r>
      </w:hyperlink>
      <w:r>
        <w:t>.</w:t>
      </w:r>
    </w:p>
    <w:p>
      <w:pPr>
        <w:pStyle w:val="Heading1"/>
      </w:pPr>
      <w:r>
        <w:t>5. Giao diện ngoài và dữ liệu</w:t>
      </w:r>
    </w:p>
    <w:p>
      <w:pPr>
        <w:pStyle w:val="ListBullet"/>
      </w:pPr>
      <w:r>
        <w:rPr>
          <w:b/>
        </w:rPr>
        <w:t>Client:</w:t>
      </w:r>
      <w:r>
        <w:t xml:space="preserve"> Web/Mobile/Portal dùng cùng quy tắc. Mobile MVP chỉ có luồng Customer. Danh sách có phân trang, trạng thái chờ/rỗng/lỗi; ẩn nút vượt quyền trên UI không thay việc backend kiểm tra.</w:t>
      </w:r>
    </w:p>
    <w:p>
      <w:pPr>
        <w:pStyle w:val="ListBullet"/>
      </w:pPr>
      <w:r>
        <w:rPr>
          <w:b/>
        </w:rPr>
        <w:t>API:</w:t>
      </w:r>
      <w:r>
        <w:t xml:space="preserve"> REST/JSON qua Gateway, JWT, UUID, UTC và tiền nguyên VND. </w:t>
      </w:r>
      <w:hyperlink r:id="rId20">
        <w:r>
          <w:rPr>
            <w:color w:val="1F4E79"/>
          </w:rPr>
          <w:t>OpenAPI</w:t>
        </w:r>
      </w:hyperlink>
      <w:r>
        <w:t xml:space="preserve"> là contract thiết kế; mã lỗi và callback ở </w:t>
      </w:r>
      <w:hyperlink r:id="rId16">
        <w:r>
          <w:rPr>
            <w:color w:val="1F4E79"/>
          </w:rPr>
          <w:t>API spec</w:t>
        </w:r>
      </w:hyperlink>
      <w:r>
        <w:t>.</w:t>
      </w:r>
    </w:p>
    <w:p>
      <w:pPr>
        <w:pStyle w:val="ListBullet"/>
      </w:pPr>
      <w:r>
        <w:rPr>
          <w:b/>
        </w:rPr>
        <w:t>Tích hợp:</w:t>
      </w:r>
      <w:r>
        <w:t xml:space="preserve"> gateway sandbox gửi callback xác thực/chống lặp; LLM chỉ nhận ngữ cảnh Product cần thiết. Demo dùng mock mailbox; không có payment, email hoặc shipping production.</w:t>
      </w:r>
    </w:p>
    <w:p>
      <w:pPr>
        <w:pStyle w:val="ListBullet"/>
      </w:pPr>
      <w:r>
        <w:rPr>
          <w:b/>
        </w:rPr>
        <w:t>Dữ liệu:</w:t>
      </w:r>
      <w:r>
        <w:t xml:space="preserve"> M1 sở hữu catalog/kho/review; M2 giỏ/Order/Payment/voucher; M3 identity/Store/RBAC; M4 chat/hành vi/model. Không có FK vật lý xuyên database. Order giữ snapshot; quote/idempotency là dữ liệu kỹ thuật có TTL. Xem </w:t>
      </w:r>
      <w:hyperlink r:id="rId21">
        <w:r>
          <w:rPr>
            <w:color w:val="1F4E79"/>
          </w:rPr>
          <w:t>kiến trúc</w:t>
        </w:r>
      </w:hyperlink>
      <w:r>
        <w:t xml:space="preserve"> và </w:t>
      </w:r>
      <w:hyperlink r:id="rId15">
        <w:r>
          <w:rPr>
            <w:color w:val="1F4E79"/>
          </w:rPr>
          <w:t>từ điển dữ liệu</w:t>
        </w:r>
      </w:hyperlink>
      <w:r>
        <w:t>.</w:t>
      </w:r>
    </w:p>
    <w:p>
      <w:pPr>
        <w:pStyle w:val="Heading1"/>
      </w:pPr>
      <w:r>
        <w:t>6. Yêu cầu phi chức năng và đánh giá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3307"/>
        <w:gridCol w:w="3307"/>
        <w:gridCol w:w="3307"/>
      </w:tblGrid>
      <w:tr>
        <w:trPr>
          <w:tblHeader w:val="true"/>
          <w:cantSplit/>
        </w:trPr>
        <w:tc>
          <w:tcPr>
            <w:tcW w:type="dxa" w:w="921"/>
            <w:vAlign w:val="center"/>
            <w:shd w:fill="24466B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85" w:type="dxa"/>
              <w:left w:w="100" w:type="dxa"/>
              <w:bottom w:w="85" w:type="dxa"/>
              <w:right w:w="100" w:type="dxa"/>
            </w:tcMar>
          </w:tcPr>
          <w:p>
            <w:pPr>
              <w:spacing w:after="0"/>
            </w:pPr>
            <w:r>
              <w:rPr>
                <w:rFonts w:ascii="Arial" w:hAnsi="Arial" w:eastAsia="Arial" w:cs="Arial"/>
                <w:b/>
                <w:color w:val="FFFFFF"/>
                <w:sz w:val="18"/>
              </w:rPr>
              <w:t>Mục tiêu</w:t>
            </w:r>
          </w:p>
        </w:tc>
        <w:tc>
          <w:tcPr>
            <w:tcW w:type="dxa" w:w="4501"/>
            <w:vAlign w:val="center"/>
            <w:shd w:fill="24466B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85" w:type="dxa"/>
              <w:left w:w="100" w:type="dxa"/>
              <w:bottom w:w="85" w:type="dxa"/>
              <w:right w:w="100" w:type="dxa"/>
            </w:tcMar>
          </w:tcPr>
          <w:p>
            <w:pPr>
              <w:spacing w:after="0"/>
            </w:pPr>
            <w:r>
              <w:rPr>
                <w:rFonts w:ascii="Arial" w:hAnsi="Arial" w:eastAsia="Arial" w:cs="Arial"/>
                <w:b/>
                <w:color w:val="FFFFFF"/>
                <w:sz w:val="18"/>
              </w:rPr>
              <w:t>Điều kiện</w:t>
            </w:r>
          </w:p>
        </w:tc>
        <w:tc>
          <w:tcPr>
            <w:tcW w:type="dxa" w:w="4501"/>
            <w:vAlign w:val="center"/>
            <w:shd w:fill="24466B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85" w:type="dxa"/>
              <w:left w:w="100" w:type="dxa"/>
              <w:bottom w:w="85" w:type="dxa"/>
              <w:right w:w="100" w:type="dxa"/>
            </w:tcMar>
          </w:tcPr>
          <w:p>
            <w:pPr>
              <w:spacing w:after="0"/>
            </w:pPr>
            <w:r>
              <w:rPr>
                <w:rFonts w:ascii="Arial" w:hAnsi="Arial" w:eastAsia="Arial" w:cs="Arial"/>
                <w:b/>
                <w:color w:val="FFFFFF"/>
                <w:sz w:val="18"/>
              </w:rPr>
              <w:t>Bằng chứng cần có</w:t>
            </w:r>
          </w:p>
        </w:tc>
      </w:tr>
      <w:tr>
        <w:trPr>
          <w:cantSplit/>
        </w:trPr>
        <w:tc>
          <w:tcPr>
            <w:tcW w:type="dxa" w:w="921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85" w:type="dxa"/>
              <w:left w:w="100" w:type="dxa"/>
              <w:bottom w:w="85" w:type="dxa"/>
              <w:right w:w="100" w:type="dxa"/>
            </w:tcMar>
          </w:tcPr>
          <w:p>
            <w:pPr>
              <w:spacing w:after="0"/>
              <w:jc w:val="center"/>
            </w:pPr>
            <w:r>
              <w:rPr>
                <w:rFonts w:ascii="Arial" w:hAnsi="Arial" w:eastAsia="Arial" w:cs="Arial"/>
                <w:sz w:val="17"/>
              </w:rPr>
              <w:t>Hiệu năng</w:t>
            </w:r>
          </w:p>
        </w:tc>
        <w:tc>
          <w:tcPr>
            <w:tcW w:type="dxa" w:w="4501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85" w:type="dxa"/>
              <w:left w:w="100" w:type="dxa"/>
              <w:bottom w:w="85" w:type="dxa"/>
              <w:right w:w="100" w:type="dxa"/>
            </w:tcMar>
          </w:tcPr>
          <w:p>
            <w:pPr>
              <w:spacing w:after="0"/>
            </w:pPr>
            <w:r>
              <w:rPr>
                <w:rFonts w:ascii="Arial" w:hAnsi="Arial" w:eastAsia="Arial" w:cs="Arial"/>
                <w:sz w:val="17"/>
              </w:rPr>
              <w:t>API thông thường mục tiêu &lt;2 giây; với ≥100 người dùng đồng thời, ≥95% request &lt;2 giây; chat RAG mục tiêu &lt;4 giây theo điều kiện test MVP.</w:t>
            </w:r>
          </w:p>
        </w:tc>
        <w:tc>
          <w:tcPr>
            <w:tcW w:type="dxa" w:w="4501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85" w:type="dxa"/>
              <w:left w:w="100" w:type="dxa"/>
              <w:bottom w:w="85" w:type="dxa"/>
              <w:right w:w="100" w:type="dxa"/>
            </w:tcMar>
          </w:tcPr>
          <w:p>
            <w:pPr>
              <w:spacing w:after="0"/>
            </w:pPr>
            <w:r>
              <w:rPr>
                <w:rFonts w:ascii="Arial" w:hAnsi="Arial" w:eastAsia="Arial" w:cs="Arial"/>
                <w:sz w:val="17"/>
              </w:rPr>
              <w:t>NFR-PERF-01/02/03; báo cáo tải ghi dữ liệu, môi trường và percentile</w:t>
            </w:r>
          </w:p>
        </w:tc>
      </w:tr>
      <w:tr>
        <w:trPr>
          <w:cantSplit/>
        </w:trPr>
        <w:tc>
          <w:tcPr>
            <w:tcW w:type="dxa" w:w="921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85" w:type="dxa"/>
              <w:left w:w="100" w:type="dxa"/>
              <w:bottom w:w="85" w:type="dxa"/>
              <w:right w:w="100" w:type="dxa"/>
            </w:tcMar>
            <w:shd w:fill="F3F7FB"/>
          </w:tcPr>
          <w:p>
            <w:pPr>
              <w:spacing w:after="0"/>
              <w:jc w:val="center"/>
            </w:pPr>
            <w:r>
              <w:rPr>
                <w:rFonts w:ascii="Arial" w:hAnsi="Arial" w:eastAsia="Arial" w:cs="Arial"/>
                <w:sz w:val="17"/>
              </w:rPr>
              <w:t>Bảo mật/quyền</w:t>
            </w:r>
          </w:p>
        </w:tc>
        <w:tc>
          <w:tcPr>
            <w:tcW w:type="dxa" w:w="4501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85" w:type="dxa"/>
              <w:left w:w="100" w:type="dxa"/>
              <w:bottom w:w="85" w:type="dxa"/>
              <w:right w:w="100" w:type="dxa"/>
            </w:tcMar>
            <w:shd w:fill="F3F7FB"/>
          </w:tcPr>
          <w:p>
            <w:pPr>
              <w:spacing w:after="0"/>
            </w:pPr>
            <w:r>
              <w:rPr>
                <w:rFonts w:ascii="Arial" w:hAnsi="Arial" w:eastAsia="Arial" w:cs="Arial"/>
                <w:sz w:val="17"/>
              </w:rPr>
              <w:t>BCrypt, JWT có hạn/revoke, HTTPS, validate/rate limit; User và Store được kiểm tra hiện hành, không lộ dữ liệu chéo.</w:t>
            </w:r>
          </w:p>
        </w:tc>
        <w:tc>
          <w:tcPr>
            <w:tcW w:type="dxa" w:w="4501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85" w:type="dxa"/>
              <w:left w:w="100" w:type="dxa"/>
              <w:bottom w:w="85" w:type="dxa"/>
              <w:right w:w="100" w:type="dxa"/>
            </w:tcMar>
            <w:shd w:fill="F3F7FB"/>
          </w:tcPr>
          <w:p>
            <w:pPr>
              <w:spacing w:after="0"/>
            </w:pPr>
            <w:r>
              <w:rPr>
                <w:rFonts w:ascii="Arial" w:hAnsi="Arial" w:eastAsia="Arial" w:cs="Arial"/>
                <w:sz w:val="17"/>
              </w:rPr>
              <w:t>NFR-SEC-01–10, NFR-ISO-01; test quyền/khóa/token</w:t>
            </w:r>
          </w:p>
        </w:tc>
      </w:tr>
      <w:tr>
        <w:trPr>
          <w:cantSplit/>
        </w:trPr>
        <w:tc>
          <w:tcPr>
            <w:tcW w:type="dxa" w:w="921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85" w:type="dxa"/>
              <w:left w:w="100" w:type="dxa"/>
              <w:bottom w:w="85" w:type="dxa"/>
              <w:right w:w="100" w:type="dxa"/>
            </w:tcMar>
          </w:tcPr>
          <w:p>
            <w:pPr>
              <w:spacing w:after="0"/>
              <w:jc w:val="center"/>
            </w:pPr>
            <w:r>
              <w:rPr>
                <w:rFonts w:ascii="Arial" w:hAnsi="Arial" w:eastAsia="Arial" w:cs="Arial"/>
                <w:sz w:val="17"/>
              </w:rPr>
              <w:t>Riêng tư</w:t>
            </w:r>
          </w:p>
        </w:tc>
        <w:tc>
          <w:tcPr>
            <w:tcW w:type="dxa" w:w="4501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85" w:type="dxa"/>
              <w:left w:w="100" w:type="dxa"/>
              <w:bottom w:w="85" w:type="dxa"/>
              <w:right w:w="100" w:type="dxa"/>
            </w:tcMar>
          </w:tcPr>
          <w:p>
            <w:pPr>
              <w:spacing w:after="0"/>
            </w:pPr>
            <w:r>
              <w:rPr>
                <w:rFonts w:ascii="Arial" w:hAnsi="Arial" w:eastAsia="Arial" w:cs="Arial"/>
                <w:sz w:val="17"/>
              </w:rPr>
              <w:t>Không ghi secret/PII không cần thiết vào log/prompt; chỉ cá nhân hóa khi có consent.</w:t>
            </w:r>
          </w:p>
        </w:tc>
        <w:tc>
          <w:tcPr>
            <w:tcW w:type="dxa" w:w="4501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85" w:type="dxa"/>
              <w:left w:w="100" w:type="dxa"/>
              <w:bottom w:w="85" w:type="dxa"/>
              <w:right w:w="100" w:type="dxa"/>
            </w:tcMar>
          </w:tcPr>
          <w:p>
            <w:pPr>
              <w:spacing w:after="0"/>
            </w:pPr>
            <w:r>
              <w:rPr>
                <w:rFonts w:ascii="Arial" w:hAnsi="Arial" w:eastAsia="Arial" w:cs="Arial"/>
                <w:sz w:val="17"/>
              </w:rPr>
              <w:t>NFR-PRIV-01/02; test prompt/log/consent</w:t>
            </w:r>
          </w:p>
        </w:tc>
      </w:tr>
      <w:tr>
        <w:trPr>
          <w:cantSplit/>
        </w:trPr>
        <w:tc>
          <w:tcPr>
            <w:tcW w:type="dxa" w:w="921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85" w:type="dxa"/>
              <w:left w:w="100" w:type="dxa"/>
              <w:bottom w:w="85" w:type="dxa"/>
              <w:right w:w="100" w:type="dxa"/>
            </w:tcMar>
            <w:shd w:fill="F3F7FB"/>
          </w:tcPr>
          <w:p>
            <w:pPr>
              <w:spacing w:after="0"/>
              <w:jc w:val="center"/>
            </w:pPr>
            <w:r>
              <w:rPr>
                <w:rFonts w:ascii="Arial" w:hAnsi="Arial" w:eastAsia="Arial" w:cs="Arial"/>
                <w:sz w:val="17"/>
              </w:rPr>
              <w:t>Nhất quán</w:t>
            </w:r>
          </w:p>
        </w:tc>
        <w:tc>
          <w:tcPr>
            <w:tcW w:type="dxa" w:w="4501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85" w:type="dxa"/>
              <w:left w:w="100" w:type="dxa"/>
              <w:bottom w:w="85" w:type="dxa"/>
              <w:right w:w="100" w:type="dxa"/>
            </w:tcMar>
            <w:shd w:fill="F3F7FB"/>
          </w:tcPr>
          <w:p>
            <w:pPr>
              <w:spacing w:after="0"/>
            </w:pPr>
            <w:r>
              <w:rPr>
                <w:rFonts w:ascii="Arial" w:hAnsi="Arial" w:eastAsia="Arial" w:cs="Arial"/>
                <w:sz w:val="17"/>
              </w:rPr>
              <w:t>Không tạo trùng Order/Payment hay bán vượt tồn; command, callback và Refund retry không tác động lặp.</w:t>
            </w:r>
          </w:p>
        </w:tc>
        <w:tc>
          <w:tcPr>
            <w:tcW w:type="dxa" w:w="4501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85" w:type="dxa"/>
              <w:left w:w="100" w:type="dxa"/>
              <w:bottom w:w="85" w:type="dxa"/>
              <w:right w:w="100" w:type="dxa"/>
            </w:tcMar>
            <w:shd w:fill="F3F7FB"/>
          </w:tcPr>
          <w:p>
            <w:pPr>
              <w:spacing w:after="0"/>
            </w:pPr>
            <w:r>
              <w:rPr>
                <w:rFonts w:ascii="Arial" w:hAnsi="Arial" w:eastAsia="Arial" w:cs="Arial"/>
                <w:sz w:val="17"/>
              </w:rPr>
              <w:t>NFR-REL-01/02/04, NFR-MONEY-01; test cạnh tranh/đối soát</w:t>
            </w:r>
          </w:p>
        </w:tc>
      </w:tr>
      <w:tr>
        <w:trPr>
          <w:cantSplit/>
        </w:trPr>
        <w:tc>
          <w:tcPr>
            <w:tcW w:type="dxa" w:w="921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85" w:type="dxa"/>
              <w:left w:w="100" w:type="dxa"/>
              <w:bottom w:w="85" w:type="dxa"/>
              <w:right w:w="100" w:type="dxa"/>
            </w:tcMar>
          </w:tcPr>
          <w:p>
            <w:pPr>
              <w:spacing w:after="0"/>
              <w:jc w:val="center"/>
            </w:pPr>
            <w:r>
              <w:rPr>
                <w:rFonts w:ascii="Arial" w:hAnsi="Arial" w:eastAsia="Arial" w:cs="Arial"/>
                <w:sz w:val="17"/>
              </w:rPr>
              <w:t>Kiến trúc</w:t>
            </w:r>
          </w:p>
        </w:tc>
        <w:tc>
          <w:tcPr>
            <w:tcW w:type="dxa" w:w="4501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85" w:type="dxa"/>
              <w:left w:w="100" w:type="dxa"/>
              <w:bottom w:w="85" w:type="dxa"/>
              <w:right w:w="100" w:type="dxa"/>
            </w:tcMar>
          </w:tcPr>
          <w:p>
            <w:pPr>
              <w:spacing w:after="0"/>
            </w:pPr>
            <w:r>
              <w:rPr>
                <w:rFonts w:ascii="Arial" w:hAnsi="Arial" w:eastAsia="Arial" w:cs="Arial"/>
                <w:sz w:val="17"/>
              </w:rPr>
              <w:t>M1–M4 không đọc DB của nhau; danh sách phân trang, chỉ mục cho truy vấn; API có OpenAPI.</w:t>
            </w:r>
          </w:p>
        </w:tc>
        <w:tc>
          <w:tcPr>
            <w:tcW w:type="dxa" w:w="4501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85" w:type="dxa"/>
              <w:left w:w="100" w:type="dxa"/>
              <w:bottom w:w="85" w:type="dxa"/>
              <w:right w:w="100" w:type="dxa"/>
            </w:tcMar>
          </w:tcPr>
          <w:p>
            <w:pPr>
              <w:spacing w:after="0"/>
            </w:pPr>
            <w:r>
              <w:rPr>
                <w:rFonts w:ascii="Arial" w:hAnsi="Arial" w:eastAsia="Arial" w:cs="Arial"/>
                <w:sz w:val="17"/>
              </w:rPr>
              <w:t>NFR-ARCH-01, NFR-DATA-01, NFR-API-01, NFR-PERF-04/05</w:t>
            </w:r>
          </w:p>
        </w:tc>
      </w:tr>
      <w:tr>
        <w:trPr>
          <w:cantSplit/>
        </w:trPr>
        <w:tc>
          <w:tcPr>
            <w:tcW w:type="dxa" w:w="921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85" w:type="dxa"/>
              <w:left w:w="100" w:type="dxa"/>
              <w:bottom w:w="85" w:type="dxa"/>
              <w:right w:w="100" w:type="dxa"/>
            </w:tcMar>
            <w:shd w:fill="F3F7FB"/>
          </w:tcPr>
          <w:p>
            <w:pPr>
              <w:spacing w:after="0"/>
              <w:jc w:val="center"/>
            </w:pPr>
            <w:r>
              <w:rPr>
                <w:rFonts w:ascii="Arial" w:hAnsi="Arial" w:eastAsia="Arial" w:cs="Arial"/>
                <w:sz w:val="17"/>
              </w:rPr>
              <w:t>AI</w:t>
            </w:r>
          </w:p>
        </w:tc>
        <w:tc>
          <w:tcPr>
            <w:tcW w:type="dxa" w:w="4501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85" w:type="dxa"/>
              <w:left w:w="100" w:type="dxa"/>
              <w:bottom w:w="85" w:type="dxa"/>
              <w:right w:w="100" w:type="dxa"/>
            </w:tcMar>
            <w:shd w:fill="F3F7FB"/>
          </w:tcPr>
          <w:p>
            <w:pPr>
              <w:spacing w:after="0"/>
            </w:pPr>
            <w:r>
              <w:rPr>
                <w:rFonts w:ascii="Arial" w:hAnsi="Arial" w:eastAsia="Arial" w:cs="Arial"/>
                <w:sz w:val="17"/>
              </w:rPr>
              <w:t>RAG grounded; recommendation so model với baseline trên cùng split và metric Top-K; fallback được báo rõ.</w:t>
            </w:r>
          </w:p>
        </w:tc>
        <w:tc>
          <w:tcPr>
            <w:tcW w:type="dxa" w:w="4501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85" w:type="dxa"/>
              <w:left w:w="100" w:type="dxa"/>
              <w:bottom w:w="85" w:type="dxa"/>
              <w:right w:w="100" w:type="dxa"/>
            </w:tcMar>
            <w:shd w:fill="F3F7FB"/>
          </w:tcPr>
          <w:p>
            <w:pPr>
              <w:spacing w:after="0"/>
            </w:pPr>
            <w:r>
              <w:rPr>
                <w:rFonts w:ascii="Arial" w:hAnsi="Arial" w:eastAsia="Arial" w:cs="Arial"/>
                <w:sz w:val="17"/>
              </w:rPr>
              <w:t xml:space="preserve">NFR-AI-01/02; </w:t>
            </w:r>
            <w:hyperlink r:id="rId22">
              <w:r>
                <w:rPr>
                  <w:color w:val="1F4E79"/>
                </w:rPr>
                <w:t>kế hoạch đánh giá</w:t>
              </w:r>
            </w:hyperlink>
          </w:p>
        </w:tc>
      </w:tr>
    </w:tbl>
    <w:p>
      <w:pPr>
        <w:spacing w:after="40"/>
      </w:pPr>
    </w:p>
    <w:p>
      <w:r>
        <w:t xml:space="preserve">Đây là </w:t>
      </w:r>
      <w:r>
        <w:rPr>
          <w:b/>
        </w:rPr>
        <w:t>mục tiêu thiết kế</w:t>
      </w:r>
      <w:r>
        <w:t xml:space="preserve">, chưa phải kết quả đo. Điều kiện test chi tiết ở </w:t>
      </w:r>
      <w:hyperlink r:id="rId23">
        <w:r>
          <w:rPr>
            <w:color w:val="1F4E79"/>
          </w:rPr>
          <w:t>Test Plan</w:t>
        </w:r>
      </w:hyperlink>
      <w:r>
        <w:t xml:space="preserve"> và </w:t>
      </w:r>
      <w:hyperlink r:id="rId24">
        <w:r>
          <w:rPr>
            <w:color w:val="1F4E79"/>
          </w:rPr>
          <w:t>tiêu chí từng FR/NFR</w:t>
        </w:r>
      </w:hyperlink>
      <w:r>
        <w:t>.</w:t>
      </w:r>
    </w:p>
    <w:p>
      <w:pPr>
        <w:pStyle w:val="Heading1"/>
      </w:pPr>
      <w:r>
        <w:t>7. Nghiệm thu MVP và ngoài phạm vi</w:t>
      </w:r>
    </w:p>
    <w:p>
      <w:r>
        <w:t xml:space="preserve">Demo phải chứng minh: mua hai Store tạo đúng hai Order; COD của A xử lý độc lập khi sandbox B còn chờ; callback lặp/muộn và phục hồi lỗi; voucher/tiền từng Order khớp; hủy A không đổi B; quyền Store/Customer không truy cập chéo; AI không hiển thị Product ẩn hoặc giá cũ; recommendation có model, baseline, fallback và báo cáo trung thực. Kịch bản và mã TC ở </w:t>
      </w:r>
      <w:hyperlink r:id="rId23">
        <w:r>
          <w:rPr>
            <w:color w:val="1F4E79"/>
          </w:rPr>
          <w:t>Test Plan</w:t>
        </w:r>
      </w:hyperlink>
      <w:r>
        <w:t xml:space="preserve">, quan hệ FR–UC–API–TC ở </w:t>
      </w:r>
      <w:hyperlink r:id="rId25">
        <w:r>
          <w:rPr>
            <w:color w:val="1F4E79"/>
          </w:rPr>
          <w:t>traceability</w:t>
        </w:r>
      </w:hyperlink>
      <w:r>
        <w:t>.</w:t>
      </w:r>
    </w:p>
    <w:p>
      <w:r>
        <w:t xml:space="preserve">MVP không có settlement, payout, wallet, đổi trả sau Processing, hãng vận chuyển/cổng thanh toán production, huấn luyện LLM, ảnh/video Review hoặc Mobile quản trị. Danh sách đầy đủ ở </w:t>
      </w:r>
      <w:hyperlink r:id="rId10">
        <w:r>
          <w:rPr>
            <w:color w:val="1F4E79"/>
          </w:rPr>
          <w:t>scope</w:t>
        </w:r>
      </w:hyperlink>
      <w:r>
        <w:t>. Mọi thay đổi phạm vi phải ghi ADR và cập nhật FR/BR/UC/ERD/API/TC chịu ảnh hưởng. Tài liệu giữ trạng thái Draft cho đến khi có review và kiểm chứng.</w:t>
      </w:r>
    </w:p>
    <w:sectPr w:rsidR="00FC693F" w:rsidRPr="0006063C" w:rsidSect="00034616">
      <w:pgSz w:w="11906" w:h="16838"/>
      <w:pgMar w:top="879" w:right="992" w:bottom="879" w:left="992" w:header="425" w:footer="425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00" w:line="271" w:lineRule="auto"/>
    </w:pPr>
    <w:rPr>
      <w:rFonts w:ascii="Arial" w:hAnsi="Arial"/>
      <w:color w:val="000000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320" w:after="140"/>
      <w:outlineLvl w:val="0"/>
    </w:pPr>
    <w:rPr>
      <w:rFonts w:asciiTheme="majorHAnsi" w:eastAsiaTheme="majorEastAsia" w:hAnsiTheme="majorHAnsi" w:cstheme="majorBidi" w:ascii="Arial" w:hAnsi="Arial"/>
      <w:b/>
      <w:bCs/>
      <w:color w:val="000000"/>
      <w:sz w:val="30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40" w:after="100"/>
      <w:outlineLvl w:val="1"/>
    </w:pPr>
    <w:rPr>
      <w:rFonts w:asciiTheme="majorHAnsi" w:eastAsiaTheme="majorEastAsia" w:hAnsiTheme="majorHAnsi" w:cstheme="majorBidi" w:ascii="Arial" w:hAnsi="Arial"/>
      <w:b/>
      <w:bCs/>
      <w:color w:val="000000"/>
      <w:sz w:val="25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180" w:after="60"/>
      <w:outlineLvl w:val="2"/>
    </w:pPr>
    <w:rPr>
      <w:rFonts w:asciiTheme="majorHAnsi" w:eastAsiaTheme="majorEastAsia" w:hAnsiTheme="majorHAnsi" w:cstheme="majorBidi" w:ascii="Arial" w:hAnsi="Arial"/>
      <w:b/>
      <w:bCs/>
      <w:color w:val="000000"/>
      <w:sz w:val="2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keepNext/>
      <w:spacing w:after="320" w:line="240" w:lineRule="auto" w:before="0"/>
      <w:contextualSpacing/>
    </w:pPr>
    <w:rPr>
      <w:rFonts w:asciiTheme="majorHAnsi" w:eastAsiaTheme="majorEastAsia" w:hAnsiTheme="majorHAnsi" w:cstheme="majorBidi" w:ascii="Arial" w:hAnsi="Arial"/>
      <w:b/>
      <w:color w:val="000000"/>
      <w:spacing w:val="5"/>
      <w:kern w:val="28"/>
      <w:sz w:val="40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yperlink" Target="C:\PBL6\docs\legacy\srs.md" TargetMode="External"/><Relationship Id="rId10" Type="http://schemas.openxmlformats.org/officeDocument/2006/relationships/hyperlink" Target="scope.docx" TargetMode="External"/><Relationship Id="rId11" Type="http://schemas.openxmlformats.org/officeDocument/2006/relationships/hyperlink" Target="decisions.docx" TargetMode="External"/><Relationship Id="rId12" Type="http://schemas.openxmlformats.org/officeDocument/2006/relationships/hyperlink" Target="functional-requirements.docx" TargetMode="External"/><Relationship Id="rId13" Type="http://schemas.openxmlformats.org/officeDocument/2006/relationships/hyperlink" Target="use-cases.docx" TargetMode="External"/><Relationship Id="rId14" Type="http://schemas.openxmlformats.org/officeDocument/2006/relationships/hyperlink" Target="business-rules.docx" TargetMode="External"/><Relationship Id="rId15" Type="http://schemas.openxmlformats.org/officeDocument/2006/relationships/hyperlink" Target="data-dictionary.docx" TargetMode="External"/><Relationship Id="rId16" Type="http://schemas.openxmlformats.org/officeDocument/2006/relationships/hyperlink" Target="api-spec.docx" TargetMode="External"/><Relationship Id="rId17" Type="http://schemas.openxmlformats.org/officeDocument/2006/relationships/hyperlink" Target="rbac.docx" TargetMode="External"/><Relationship Id="rId18" Type="http://schemas.openxmlformats.org/officeDocument/2006/relationships/hyperlink" Target="ui-flows.docx" TargetMode="External"/><Relationship Id="rId19" Type="http://schemas.openxmlformats.org/officeDocument/2006/relationships/hyperlink" Target="state-transitions.docx" TargetMode="External"/><Relationship Id="rId20" Type="http://schemas.openxmlformats.org/officeDocument/2006/relationships/hyperlink" Target="C:\PBL6\docs\contracts\openapi.json" TargetMode="External"/><Relationship Id="rId21" Type="http://schemas.openxmlformats.org/officeDocument/2006/relationships/hyperlink" Target="architecture.docx" TargetMode="External"/><Relationship Id="rId22" Type="http://schemas.openxmlformats.org/officeDocument/2006/relationships/hyperlink" Target="ai-evaluation.docx" TargetMode="External"/><Relationship Id="rId23" Type="http://schemas.openxmlformats.org/officeDocument/2006/relationships/hyperlink" Target="test-plan.docx" TargetMode="External"/><Relationship Id="rId24" Type="http://schemas.openxmlformats.org/officeDocument/2006/relationships/hyperlink" Target="requirements-acceptance.docx" TargetMode="External"/><Relationship Id="rId25" Type="http://schemas.openxmlformats.org/officeDocument/2006/relationships/hyperlink" Target="traceability.docx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Đặc tả yêu cầu phần mềm PBL6</dc:title>
  <dc:subject>PBL6 Marketplace documentation 2.1 Draft</dc:subject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