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FLUX_PARTNER PROGRAMME PROPOSAL</w:t>
      </w:r>
    </w:p>
    <w:p>
      <w:pPr>
        <w:pStyle w:val="Title"/>
        <w:spacing w:after="80"/>
      </w:pPr>
      <w:r>
        <w:rPr/>
        <w:t>Serve more clients under your own brand</w:t>
      </w:r>
    </w:p>
    <w:p>
      <w:pPr>
        <w:spacing w:after="280"/>
      </w:pPr>
      <w:r>
        <w:rPr>
          <w:color w:val="37474F"/>
          <w:sz w:val="26"/>
        </w:rPr>
        <w:t xml:space="preserve">Partner proposal for </w:t>
      </w:r>
      <w:r>
        <w:rPr>
          <w:b/>
          <w:color w:val="20242B"/>
          <w:sz w:val="26"/>
          <w:shd w:val="clear" w:color="auto" w:fill="FFF1A8"/>
        </w:rPr>
        <w:t>[[AGENCY NAME]]</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b/>
                <w:color w:val="20242B"/>
                <w:sz w:val="20"/>
                <w:shd w:val="clear" w:color="auto" w:fill="FFF1A8"/>
              </w:rPr>
              <w:t>[[AGENCY NAME]]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b/>
                <w:color w:val="20242B"/>
                <w:sz w:val="20"/>
                <w:shd w:val="clear" w:color="auto" w:fill="FFF1A8"/>
              </w:rPr>
              <w:t>[[DD MONTH YYYY]]</w:t>
            </w:r>
          </w:p>
        </w:tc>
      </w:tr>
      <w:tr>
        <w:trPr>
          <w:cantSplit/>
        </w:trPr>
        <w:tc>
          <w:tcPr>
            <w:tcW w:type="dxa" w:w="2835"/>
            <w:shd w:val="clear" w:color="auto" w:fill="F3F4F6"/>
            <w:vAlign w:val="center"/>
          </w:tcPr>
          <w:p>
            <w:pPr>
              <w:spacing w:after="20" w:line="252" w:lineRule="auto"/>
            </w:pPr>
            <w:r>
              <w:rPr>
                <w:b/>
                <w:sz w:val="20"/>
              </w:rPr>
              <w:t>Proposal number</w:t>
            </w:r>
          </w:p>
        </w:tc>
        <w:tc>
          <w:tcPr>
            <w:tcW w:type="dxa" w:w="6803"/>
            <w:vAlign w:val="center"/>
          </w:tcPr>
          <w:p>
            <w:pPr>
              <w:spacing w:after="20" w:line="252" w:lineRule="auto"/>
            </w:pPr>
            <w:r>
              <w:rPr>
                <w:b/>
                <w:color w:val="20242B"/>
                <w:sz w:val="20"/>
                <w:shd w:val="clear" w:color="auto" w:fill="FFF1A8"/>
              </w:rPr>
              <w:t>[[FM-PRO-YYYY-###]]</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[[NAME]]</w:t>
            </w:r>
            <w:r>
              <w:rPr>
                <w:sz w:val="20"/>
              </w:rPr>
              <w:t xml:space="preserve">, </w:t>
            </w:r>
            <w:r>
              <w:rPr>
                <w:b/>
                <w:color w:val="20242B"/>
                <w:sz w:val="20"/>
                <w:shd w:val="clear" w:color="auto" w:fill="FFF1A8"/>
              </w:rPr>
              <w:t>[[TITLE]]</w:t>
            </w:r>
            <w:r>
              <w:rPr>
                <w:sz w:val="20"/>
              </w:rPr>
              <w:t>, Fluxmuse Pty Ltd</w:t>
            </w:r>
          </w:p>
          <w:p>
            <w:pPr>
              <w:spacing w:after="20" w:line="252" w:lineRule="auto"/>
            </w:pPr>
            <w:r>
              <w:rPr>
                <w:b/>
                <w:color w:val="20242B"/>
                <w:sz w:val="20"/>
                <w:shd w:val="clear" w:color="auto" w:fill="FFF1A8"/>
              </w:rPr>
              <w:t>[[EMAIL]]</w:t>
            </w:r>
            <w:r>
              <w:rPr>
                <w:sz w:val="20"/>
              </w:rPr>
              <w:t xml:space="preserve"> · </w:t>
            </w:r>
            <w:r>
              <w:rPr>
                <w:b/>
                <w:color w:val="20242B"/>
                <w:sz w:val="20"/>
                <w:shd w:val="clear" w:color="auto" w:fill="FFF1A8"/>
              </w:rPr>
              <w:t>[[PHONE / WHATSAPP]]</w:t>
            </w:r>
          </w:p>
        </w:tc>
      </w:tr>
      <w:tr>
        <w:trPr>
          <w:cantSplit/>
        </w:trPr>
        <w:tc>
          <w:tcPr>
            <w:tcW w:type="dxa" w:w="2835"/>
            <w:shd w:val="clear" w:color="auto" w:fill="F3F4F6"/>
            <w:vAlign w:val="center"/>
          </w:tcPr>
          <w:p>
            <w:pPr>
              <w:spacing w:after="20" w:line="252" w:lineRule="auto"/>
            </w:pPr>
            <w:r>
              <w:rPr>
                <w:b/>
                <w:sz w:val="20"/>
              </w:rPr>
              <w:t>Valid until</w:t>
            </w:r>
          </w:p>
        </w:tc>
        <w:tc>
          <w:tcPr>
            <w:tcW w:type="dxa" w:w="6803"/>
            <w:vAlign w:val="center"/>
          </w:tcPr>
          <w:p>
            <w:pPr>
              <w:spacing w:after="20" w:line="252" w:lineRule="auto"/>
            </w:pPr>
            <w:r>
              <w:rPr>
                <w:b/>
                <w:color w:val="20242B"/>
                <w:sz w:val="20"/>
                <w:shd w:val="clear" w:color="auto" w:fill="FFF1A8"/>
              </w:rPr>
              <w:t>[[DATE + 30 days]]</w:t>
            </w:r>
          </w:p>
        </w:tc>
      </w:tr>
    </w:tbl>
    <w:p>
      <w:pPr>
        <w:spacing w:after="0" w:line="120" w:lineRule="exact"/>
      </w:pPr>
    </w:p>
    <w:p>
      <w:pPr>
        <w:spacing w:before="200"/>
      </w:pPr>
      <w:r>
        <w:rPr>
          <w:color w:val="5B6570"/>
          <w:sz w:val="17"/>
        </w:rPr>
        <w:t xml:space="preserve">Confidential. Prepared for </w:t>
      </w:r>
      <w:r>
        <w:rPr>
          <w:b/>
          <w:color w:val="20242B"/>
          <w:sz w:val="17"/>
          <w:shd w:val="clear" w:color="auto" w:fill="FFF1A8"/>
        </w:rPr>
        <w:t>[[AGENCY NAME]]</w:t>
      </w:r>
      <w:r>
        <w:rPr>
          <w:color w:val="5B6570"/>
          <w:sz w:val="17"/>
        </w:rPr>
        <w:t xml:space="preserve"> only. Prices in South African rand (ZAR) and exclusive of VAT unless stated </w:t>
      </w:r>
      <w:r>
        <w:rPr>
          <w:b/>
          <w:color w:val="20242B"/>
          <w:sz w:val="17"/>
          <w:shd w:val="clear" w:color="auto" w:fill="FFF1A8"/>
        </w:rPr>
        <w:t>[[CONFIRM VAT TREATMENT]]</w:t>
      </w:r>
      <w:r>
        <w:rPr>
          <w:color w:val="5B6570"/>
          <w:sz w:val="17"/>
        </w:rPr>
        <w:t>.</w:t>
      </w:r>
    </w:p>
    <w:p>
      <w:pPr>
        <w:spacing w:after="0"/>
      </w:pPr>
      <w:r>
        <w:br w:type="page"/>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template instructions"/>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BEA"/>
            <w:tcMar>
              <w:top w:w="140" w:type="dxa"/>
              <w:left w:w="220" w:type="dxa"/>
              <w:bottom w:w="120" w:type="dxa"/>
              <w:right w:w="200" w:type="dxa"/>
            </w:tcMar>
          </w:tcPr>
          <w:p>
            <w:pPr>
              <w:spacing w:after="80"/>
            </w:pPr>
            <w:r>
              <w:rPr>
                <w:rFonts w:ascii="Poppins" w:hAnsi="Poppins" w:cs="Poppins" w:eastAsia="Poppins"/>
                <w:b/>
                <w:color w:val="20242B"/>
                <w:sz w:val="23"/>
              </w:rPr>
              <w:t>How to use this template (delete this box before sending)</w:t>
            </w:r>
          </w:p>
          <w:p>
            <w:pPr>
              <w:spacing w:after="80"/>
            </w:pPr>
            <w:r>
              <w:rPr>
                <w:sz w:val="19"/>
              </w:rPr>
              <w:t xml:space="preserve">This is the </w:t>
            </w:r>
            <w:r>
              <w:rPr>
                <w:b/>
                <w:sz w:val="19"/>
              </w:rPr>
              <w:t>Agency partner (Flux_Partner) proposal template</w:t>
            </w:r>
            <w:r>
              <w:rPr>
                <w:sz w:val="19"/>
              </w:rPr>
              <w:t>. Fill it in, check it against the rules below, then save a PDF for the client.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Replace every </w:t>
            </w:r>
            <w:r>
              <w:rPr>
                <w:b/>
                <w:color w:val="20242B"/>
                <w:sz w:val="19"/>
                <w:shd w:val="clear" w:color="auto" w:fill="FFF1A8"/>
              </w:rPr>
              <w:t>[[PLACEHOLDER]]</w:t>
            </w:r>
            <w:r>
              <w:rPr>
                <w:sz w:val="19"/>
              </w:rPr>
              <w:t>: use Find for “[[”. Filled fields keep the yellow shading so a reviewer can check them; clear the shading (Home › Shading › No Colour) before sending, then search for “[[” once more.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from the facts file (00_FACTS_AND_ASSUMPTIONS.md). Founding Member prices (Starter R349, Growth R1,399, Scale R3,499 for the first 2 monthly bills) apply to South African sign-ups from 1 December 2026 to 31 January 2027; in Nigeria, Kenya and Ghana the same 30% applies in the first 60 days after each country's launch. Never on the Agency tier. Say “Founding Member badge and priority support” with no duration.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KPI numbers are always “Target (goal)”, never results. No customer counts, ratings, testimonials or pilot results until consented pilot data exists (from December 2026).</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Instagram publishing, comments and DMs are pending Meta approval (in App Review). Never promise them as live.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to businesses in the 23 rail-covered countries. Everyone else, including Botswana and Namibia (coming soon), joins the waitlist: no prices, no checkout.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Terms marked </w:t>
            </w:r>
            <w:r>
              <w:rPr>
                <w:b/>
                <w:color w:val="20242B"/>
                <w:sz w:val="19"/>
                <w:shd w:val="clear" w:color="auto" w:fill="FFF1A8"/>
              </w:rPr>
              <w:t>[[LEGAL REVIEW REQUIRED]]</w:t>
            </w:r>
            <w:r>
              <w:rPr>
                <w:sz w:val="19"/>
              </w:rPr>
              <w:t xml:space="preserve"> are completed by legal counsel. Don't write your own.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Agencies get the permanent partner wholesale price (R5,599/mo). Never present R5,599 as a 2-month launch discount, and never add Founding Member on top.</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Partner economics are illustrative. Don't quote a fixed margin percentage: margin depends on the partner's retail price and costs.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Referral commission and partner obligations stay as founder placeholders until decided.</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Delete this box, update fields (right-click the contents list › Update Field) and check the page count.</w:t>
            </w:r>
          </w:p>
        </w:tc>
      </w:tr>
    </w:tbl>
    <w:p>
      <w:pPr>
        <w:spacing w:after="0" w:line="160" w:lineRule="exact"/>
      </w:pPr>
    </w:p>
    <w:p>
      <w:pPr>
        <w:keepNext/>
        <w:spacing w:after="120"/>
      </w:pPr>
      <w:r>
        <w:rPr>
          <w:rFonts w:ascii="Poppins" w:hAnsi="Poppins" w:cs="Poppins" w:eastAsia="Poppins"/>
          <w:b/>
          <w:sz w:val="32"/>
        </w:rPr>
        <w:t>Contents</w:t>
      </w:r>
    </w:p>
    <w:p>
      <w:pPr>
        <w:pBdr>
          <w:bottom w:val="single" w:sz="12" w:space="1" w:color="FF6A00"/>
        </w:pBdr>
        <w:spacing w:after="80"/>
      </w:pPr>
    </w:p>
    <w:p>
      <w:pPr>
        <w:tabs>
          <w:tab w:pos="9638" w:val="right"/>
        </w:tabs>
        <w:spacing w:after="40"/>
      </w:pPr>
      <w:r>
        <w:fldChar w:fldCharType="begin"/>
      </w:r>
      <w:r>
        <w:instrText xml:space="preserve"> TOC \o "1-1" \h \z \u </w:instrText>
      </w:r>
      <w:r>
        <w:fldChar w:fldCharType="separate"/>
      </w:r>
      <w:r>
        <w:rPr>
          <w:sz w:val="21"/>
        </w:rPr>
        <w:t>1. Why partner with FluxMuse</w:t>
      </w:r>
    </w:p>
    <w:p>
      <w:pPr>
        <w:tabs>
          <w:tab w:pos="9638" w:val="right"/>
        </w:tabs>
        <w:spacing w:after="40"/>
      </w:pPr>
      <w:r>
        <w:rPr>
          <w:sz w:val="21"/>
        </w:rPr>
        <w:t>2. What partners get</w:t>
      </w:r>
    </w:p>
    <w:p>
      <w:pPr>
        <w:tabs>
          <w:tab w:pos="9638" w:val="right"/>
        </w:tabs>
        <w:spacing w:after="40"/>
      </w:pPr>
      <w:r>
        <w:rPr>
          <w:sz w:val="21"/>
        </w:rPr>
        <w:t>3. Partner wholesale pricing</w:t>
      </w:r>
    </w:p>
    <w:p>
      <w:pPr>
        <w:tabs>
          <w:tab w:pos="9638" w:val="right"/>
        </w:tabs>
        <w:spacing w:after="40"/>
      </w:pPr>
      <w:r>
        <w:rPr>
          <w:sz w:val="21"/>
        </w:rPr>
        <w:t>4. Partner economics</w:t>
      </w:r>
    </w:p>
    <w:p>
      <w:pPr>
        <w:tabs>
          <w:tab w:pos="9638" w:val="right"/>
        </w:tabs>
        <w:spacing w:after="40"/>
      </w:pPr>
      <w:r>
        <w:rPr>
          <w:sz w:val="21"/>
        </w:rPr>
        <w:t>5. Onboarding plan (first 30 days)</w:t>
      </w:r>
    </w:p>
    <w:p>
      <w:pPr>
        <w:tabs>
          <w:tab w:pos="9638" w:val="right"/>
        </w:tabs>
        <w:spacing w:after="40"/>
      </w:pPr>
      <w:r>
        <w:rPr>
          <w:sz w:val="21"/>
        </w:rPr>
        <w:t>6. Co-marketing</w:t>
      </w:r>
    </w:p>
    <w:p>
      <w:pPr>
        <w:tabs>
          <w:tab w:pos="9638" w:val="right"/>
        </w:tabs>
        <w:spacing w:after="40"/>
      </w:pPr>
      <w:r>
        <w:rPr>
          <w:sz w:val="21"/>
        </w:rPr>
        <w:t>7. Referral commission</w:t>
      </w:r>
    </w:p>
    <w:p>
      <w:pPr>
        <w:tabs>
          <w:tab w:pos="9638" w:val="right"/>
        </w:tabs>
        <w:spacing w:after="40"/>
      </w:pPr>
      <w:r>
        <w:rPr>
          <w:sz w:val="21"/>
        </w:rPr>
        <w:t>8. Partner obligations TBC</w:t>
      </w:r>
    </w:p>
    <w:p>
      <w:pPr>
        <w:tabs>
          <w:tab w:pos="9638" w:val="right"/>
        </w:tabs>
        <w:spacing w:after="40"/>
      </w:pPr>
      <w:r>
        <w:rPr>
          <w:sz w:val="21"/>
        </w:rPr>
        <w:t>9. Brand usage rules</w:t>
      </w:r>
    </w:p>
    <w:p>
      <w:pPr>
        <w:tabs>
          <w:tab w:pos="9638" w:val="right"/>
        </w:tabs>
        <w:spacing w:after="40"/>
      </w:pPr>
      <w:r>
        <w:rPr>
          <w:sz w:val="21"/>
        </w:rPr>
        <w:t>10. Trust and data protection</w:t>
      </w:r>
    </w:p>
    <w:p>
      <w:pPr>
        <w:tabs>
          <w:tab w:pos="9638" w:val="right"/>
        </w:tabs>
        <w:spacing w:after="40"/>
      </w:pPr>
      <w:r>
        <w:rPr>
          <w:sz w:val="21"/>
        </w:rPr>
        <w:t>11. Terms</w:t>
      </w:r>
    </w:p>
    <w:p>
      <w:pPr>
        <w:tabs>
          <w:tab w:pos="9638" w:val="right"/>
        </w:tabs>
        <w:spacing w:after="40"/>
      </w:pPr>
      <w:r>
        <w:rPr>
          <w:sz w:val="21"/>
        </w:rPr>
        <w:t>12. Acceptance</w:t>
      </w:r>
      <w:r>
        <w:fldChar w:fldCharType="end"/>
      </w:r>
    </w:p>
    <w:p>
      <w:pPr>
        <w:spacing w:after="200"/>
      </w:pPr>
      <w:r>
        <w:rPr>
          <w:i/>
          <w:color w:val="5B6570"/>
          <w:sz w:val="17"/>
        </w:rPr>
        <w:t>Word builds page numbers when you open the file (choose Yes to update fields), or right-click the list and choose Update Field.</w:t>
      </w:r>
    </w:p>
    <w:p>
      <w:pPr>
        <w:spacing w:after="0"/>
      </w:pPr>
      <w:r>
        <w:br w:type="page"/>
      </w:r>
    </w:p>
    <w:p>
      <w:pPr>
        <w:pStyle w:val="Heading1"/>
      </w:pPr>
      <w:r>
        <w:rPr/>
        <w:t>1. Why partner with FluxMuse</w:t>
      </w:r>
    </w:p>
    <w:p>
      <w:r>
        <w:rPr>
          <w:b/>
          <w:color w:val="20242B"/>
          <w:shd w:val="clear" w:color="auto" w:fill="FFF1A8"/>
        </w:rPr>
        <w:t>[[AGENCY NAME]]</w:t>
      </w:r>
      <w:r>
        <w:rPr/>
        <w:t xml:space="preserve"> manages </w:t>
      </w:r>
      <w:r>
        <w:rPr>
          <w:b/>
          <w:color w:val="20242B"/>
          <w:shd w:val="clear" w:color="auto" w:fill="FFF1A8"/>
        </w:rPr>
        <w:t>[[N]]</w:t>
      </w:r>
      <w:r>
        <w:rPr/>
        <w:t xml:space="preserve"> SMB clients who want more from social and WhatsApp than posts and a monthly report. FluxMuse lets your team run marketing, WhatsApp commerce and reporting for all of them from one platform, under your brand, at a wholesale price you mark up yourself.</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gency pains and FluxMuse answers"/>
      </w:tblPr>
      <w:tblGrid>
        <w:gridCol w:w="3968"/>
        <w:gridCol w:w="5669"/>
      </w:tblGrid>
      <w:tr>
        <w:trPr>
          <w:cantSplit/>
          <w:tblHeader/>
        </w:trPr>
        <w:tc>
          <w:tcPr>
            <w:tcW w:type="dxa" w:w="3969"/>
            <w:shd w:val="clear" w:color="auto" w:fill="FF6A00"/>
            <w:vAlign w:val="center"/>
          </w:tcPr>
          <w:p>
            <w:pPr>
              <w:keepNext/>
              <w:spacing w:after="20" w:line="252" w:lineRule="auto"/>
            </w:pPr>
            <w:r>
              <w:rPr>
                <w:rFonts w:ascii="Poppins" w:hAnsi="Poppins" w:cs="Poppins" w:eastAsia="Poppins"/>
                <w:b/>
                <w:color w:val="20242B"/>
                <w:sz w:val="19"/>
              </w:rPr>
              <w:t>What agencies tell us</w:t>
            </w:r>
          </w:p>
        </w:tc>
        <w:tc>
          <w:tcPr>
            <w:tcW w:type="dxa" w:w="5669"/>
            <w:shd w:val="clear" w:color="auto" w:fill="FF6A00"/>
            <w:vAlign w:val="center"/>
          </w:tcPr>
          <w:p>
            <w:pPr>
              <w:keepNext/>
              <w:spacing w:after="20" w:line="252" w:lineRule="auto"/>
            </w:pPr>
            <w:r>
              <w:rPr>
                <w:rFonts w:ascii="Poppins" w:hAnsi="Poppins" w:cs="Poppins" w:eastAsia="Poppins"/>
                <w:b/>
                <w:color w:val="20242B"/>
                <w:sz w:val="19"/>
              </w:rPr>
              <w:t>What FluxMuse changes</w:t>
            </w:r>
          </w:p>
        </w:tc>
      </w:tr>
      <w:tr>
        <w:trPr>
          <w:cantSplit/>
        </w:trPr>
        <w:tc>
          <w:tcPr>
            <w:tcW w:type="dxa" w:w="3969"/>
            <w:vAlign w:val="center"/>
          </w:tcPr>
          <w:p>
            <w:pPr>
              <w:spacing w:after="20" w:line="252" w:lineRule="auto"/>
            </w:pPr>
            <w:r>
              <w:rPr>
                <w:b/>
                <w:sz w:val="19"/>
              </w:rPr>
              <w:t>Margin squeeze on every client retainer</w:t>
            </w:r>
          </w:p>
        </w:tc>
        <w:tc>
          <w:tcPr>
            <w:tcW w:type="dxa" w:w="5669"/>
            <w:vAlign w:val="center"/>
          </w:tcPr>
          <w:p>
            <w:pPr>
              <w:spacing w:after="20" w:line="252" w:lineRule="auto"/>
            </w:pPr>
            <w:r>
              <w:rPr>
                <w:sz w:val="19"/>
              </w:rPr>
              <w:t>Wholesale Agency plan, your own retail price: you keep the spread</w:t>
            </w:r>
          </w:p>
        </w:tc>
      </w:tr>
      <w:tr>
        <w:trPr>
          <w:cantSplit/>
        </w:trPr>
        <w:tc>
          <w:tcPr>
            <w:tcW w:type="dxa" w:w="3969"/>
            <w:shd w:val="clear" w:color="auto" w:fill="FAFAFB"/>
            <w:vAlign w:val="center"/>
          </w:tcPr>
          <w:p>
            <w:pPr>
              <w:spacing w:after="20" w:line="252" w:lineRule="auto"/>
            </w:pPr>
            <w:r>
              <w:rPr>
                <w:b/>
                <w:sz w:val="19"/>
              </w:rPr>
              <w:t>Manual reporting and too many tools per client</w:t>
            </w:r>
          </w:p>
        </w:tc>
        <w:tc>
          <w:tcPr>
            <w:tcW w:type="dxa" w:w="5669"/>
            <w:shd w:val="clear" w:color="auto" w:fill="FAFAFB"/>
            <w:vAlign w:val="center"/>
          </w:tcPr>
          <w:p>
            <w:pPr>
              <w:spacing w:after="20" w:line="252" w:lineRule="auto"/>
            </w:pPr>
            <w:r>
              <w:rPr>
                <w:sz w:val="19"/>
              </w:rPr>
              <w:t>Full white-label, 50 client sub-accounts and reseller billing on one platform, with custom and white-label reports</w:t>
            </w:r>
          </w:p>
        </w:tc>
      </w:tr>
      <w:tr>
        <w:trPr>
          <w:cantSplit/>
        </w:trPr>
        <w:tc>
          <w:tcPr>
            <w:tcW w:type="dxa" w:w="3969"/>
            <w:vAlign w:val="center"/>
          </w:tcPr>
          <w:p>
            <w:pPr>
              <w:spacing w:after="20" w:line="252" w:lineRule="auto"/>
            </w:pPr>
            <w:r>
              <w:rPr>
                <w:b/>
                <w:sz w:val="19"/>
              </w:rPr>
              <w:t>Clients asking for WhatsApp commerce and AI</w:t>
            </w:r>
          </w:p>
        </w:tc>
        <w:tc>
          <w:tcPr>
            <w:tcW w:type="dxa" w:w="5669"/>
            <w:vAlign w:val="center"/>
          </w:tcPr>
          <w:p>
            <w:pPr>
              <w:spacing w:after="20" w:line="252" w:lineRule="auto"/>
            </w:pPr>
            <w:r>
              <w:rPr>
                <w:sz w:val="19"/>
              </w:rPr>
              <w:t>Resell the AI marketing team and checkout inside WhatsApp under your own brand</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6120000" cy="3442500"/>
            <wp:docPr id="2" name="Picture 2" descr="Segment card for agencies: margin squeeze, manual reporting and client demand for WhatsApp commerce, matched to wholesale pricing, white-label sub-accounts and reseller billing."/>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3442500"/>
                    </a:xfrm>
                    <a:prstGeom prst="rect"/>
                  </pic:spPr>
                </pic:pic>
              </a:graphicData>
            </a:graphic>
          </wp:inline>
        </w:drawing>
      </w:r>
    </w:p>
    <w:p>
      <w:pPr>
        <w:pStyle w:val="Caption"/>
        <w:jc w:val="center"/>
      </w:pPr>
      <w:r>
        <w:rPr>
          <w:b/>
        </w:rPr>
        <w:t>Figure 1.</w:t>
      </w:r>
      <w:r>
        <w:rPr/>
        <w:t xml:space="preserve"> Agencies: today vs with FluxMuse.</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Programme status</w:t>
            </w:r>
          </w:p>
          <w:p>
            <w:pPr>
              <w:spacing w:after="80"/>
            </w:pPr>
            <w:r>
              <w:rPr>
                <w:sz w:val="19"/>
              </w:rPr>
              <w:t>Live today on the Agency tier: full white-label, client sub-accounts, reseller billing and the partner directory.</w:t>
            </w:r>
          </w:p>
          <w:p>
            <w:pPr>
              <w:spacing w:after="80"/>
            </w:pPr>
            <w:r>
              <w:rPr>
                <w:sz w:val="19"/>
              </w:rPr>
              <w:t>On the roadmap (indicative, not dated): the wider Flux_Partner programme, including referral tracking and partner-managed workspaces. We'll confirm dates before they're offered.</w:t>
            </w:r>
          </w:p>
        </w:tc>
      </w:tr>
    </w:tbl>
    <w:p>
      <w:pPr>
        <w:spacing w:after="0" w:line="160" w:lineRule="exact"/>
      </w:pPr>
    </w:p>
    <w:p>
      <w:pPr>
        <w:pStyle w:val="Heading1"/>
      </w:pPr>
      <w:r>
        <w:rPr/>
        <w:t>2. What partners get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rtner inclusion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Inclusion</w:t>
            </w:r>
          </w:p>
        </w:tc>
        <w:tc>
          <w:tcPr>
            <w:tcW w:type="dxa" w:w="7030"/>
            <w:shd w:val="clear" w:color="auto" w:fill="FF6A00"/>
            <w:vAlign w:val="center"/>
          </w:tcPr>
          <w:p>
            <w:pPr>
              <w:keepNext/>
              <w:spacing w:after="20" w:line="252" w:lineRule="auto"/>
            </w:pPr>
            <w:r>
              <w:rPr>
                <w:rFonts w:ascii="Poppins" w:hAnsi="Poppins" w:cs="Poppins" w:eastAsia="Poppins"/>
                <w:b/>
                <w:color w:val="20242B"/>
                <w:sz w:val="19"/>
              </w:rPr>
              <w:t>Detail</w:t>
            </w:r>
          </w:p>
        </w:tc>
      </w:tr>
      <w:tr>
        <w:trPr>
          <w:cantSplit/>
        </w:trPr>
        <w:tc>
          <w:tcPr>
            <w:tcW w:type="dxa" w:w="2608"/>
            <w:vAlign w:val="center"/>
          </w:tcPr>
          <w:p>
            <w:pPr>
              <w:spacing w:after="20" w:line="252" w:lineRule="auto"/>
            </w:pPr>
            <w:r>
              <w:rPr>
                <w:b/>
                <w:sz w:val="19"/>
              </w:rPr>
              <w:t>Full white-label</w:t>
            </w:r>
          </w:p>
        </w:tc>
        <w:tc>
          <w:tcPr>
            <w:tcW w:type="dxa" w:w="7030"/>
            <w:vAlign w:val="center"/>
          </w:tcPr>
          <w:p>
            <w:pPr>
              <w:spacing w:after="20" w:line="252" w:lineRule="auto"/>
            </w:pPr>
            <w:r>
              <w:rPr>
                <w:sz w:val="19"/>
              </w:rPr>
              <w:t xml:space="preserve">Your brand on the client experience </w:t>
            </w:r>
            <w:r>
              <w:rPr>
                <w:b/>
                <w:color w:val="20242B"/>
                <w:sz w:val="19"/>
                <w:shd w:val="clear" w:color="auto" w:fill="FFF1A8"/>
              </w:rPr>
              <w:t>[[CONFIRM: app, reports, custom domain]]</w:t>
            </w:r>
          </w:p>
        </w:tc>
      </w:tr>
      <w:tr>
        <w:trPr>
          <w:cantSplit/>
        </w:trPr>
        <w:tc>
          <w:tcPr>
            <w:tcW w:type="dxa" w:w="2608"/>
            <w:shd w:val="clear" w:color="auto" w:fill="FAFAFB"/>
            <w:vAlign w:val="center"/>
          </w:tcPr>
          <w:p>
            <w:pPr>
              <w:spacing w:after="20" w:line="252" w:lineRule="auto"/>
            </w:pPr>
            <w:r>
              <w:rPr>
                <w:b/>
                <w:sz w:val="19"/>
              </w:rPr>
              <w:t>50 client sub-accounts</w:t>
            </w:r>
          </w:p>
        </w:tc>
        <w:tc>
          <w:tcPr>
            <w:tcW w:type="dxa" w:w="7030"/>
            <w:shd w:val="clear" w:color="auto" w:fill="FAFAFB"/>
            <w:vAlign w:val="center"/>
          </w:tcPr>
          <w:p>
            <w:pPr>
              <w:spacing w:after="20" w:line="252" w:lineRule="auto"/>
            </w:pPr>
            <w:r>
              <w:rPr>
                <w:sz w:val="19"/>
              </w:rPr>
              <w:t>One workspace per client, managed by your team</w:t>
            </w:r>
          </w:p>
        </w:tc>
      </w:tr>
      <w:tr>
        <w:trPr>
          <w:cantSplit/>
        </w:trPr>
        <w:tc>
          <w:tcPr>
            <w:tcW w:type="dxa" w:w="2608"/>
            <w:vAlign w:val="center"/>
          </w:tcPr>
          <w:p>
            <w:pPr>
              <w:spacing w:after="20" w:line="252" w:lineRule="auto"/>
            </w:pPr>
            <w:r>
              <w:rPr>
                <w:b/>
                <w:sz w:val="19"/>
              </w:rPr>
              <w:t>Reseller billing</w:t>
            </w:r>
          </w:p>
        </w:tc>
        <w:tc>
          <w:tcPr>
            <w:tcW w:type="dxa" w:w="7030"/>
            <w:vAlign w:val="center"/>
          </w:tcPr>
          <w:p>
            <w:pPr>
              <w:spacing w:after="20" w:line="252" w:lineRule="auto"/>
            </w:pPr>
            <w:r>
              <w:rPr>
                <w:sz w:val="19"/>
              </w:rPr>
              <w:t>Bill clients at the retail price you set</w:t>
            </w:r>
          </w:p>
        </w:tc>
      </w:tr>
      <w:tr>
        <w:trPr>
          <w:cantSplit/>
        </w:trPr>
        <w:tc>
          <w:tcPr>
            <w:tcW w:type="dxa" w:w="2608"/>
            <w:shd w:val="clear" w:color="auto" w:fill="FAFAFB"/>
            <w:vAlign w:val="center"/>
          </w:tcPr>
          <w:p>
            <w:pPr>
              <w:spacing w:after="20" w:line="252" w:lineRule="auto"/>
            </w:pPr>
            <w:r>
              <w:rPr>
                <w:b/>
                <w:sz w:val="19"/>
              </w:rPr>
              <w:t>80 channels</w:t>
            </w:r>
          </w:p>
        </w:tc>
        <w:tc>
          <w:tcPr>
            <w:tcW w:type="dxa" w:w="7030"/>
            <w:shd w:val="clear" w:color="auto" w:fill="FAFAFB"/>
            <w:vAlign w:val="center"/>
          </w:tcPr>
          <w:p>
            <w:pPr>
              <w:spacing w:after="20" w:line="252" w:lineRule="auto"/>
            </w:pPr>
            <w:r>
              <w:rPr>
                <w:sz w:val="19"/>
              </w:rPr>
              <w:t>WhatsApp, Facebook Pages, Messenger, email, SMS, USSD and more across your clients (Instagram once Meta approves it)</w:t>
            </w:r>
          </w:p>
        </w:tc>
      </w:tr>
      <w:tr>
        <w:trPr>
          <w:cantSplit/>
        </w:trPr>
        <w:tc>
          <w:tcPr>
            <w:tcW w:type="dxa" w:w="2608"/>
            <w:vAlign w:val="center"/>
          </w:tcPr>
          <w:p>
            <w:pPr>
              <w:spacing w:after="20" w:line="252" w:lineRule="auto"/>
            </w:pPr>
            <w:r>
              <w:rPr>
                <w:b/>
                <w:sz w:val="19"/>
              </w:rPr>
              <w:t>500,000 AI credits a month</w:t>
            </w:r>
          </w:p>
        </w:tc>
        <w:tc>
          <w:tcPr>
            <w:tcW w:type="dxa" w:w="7030"/>
            <w:vAlign w:val="center"/>
          </w:tcPr>
          <w:p>
            <w:pPr>
              <w:spacing w:after="20" w:line="252" w:lineRule="auto"/>
            </w:pPr>
            <w:r>
              <w:rPr>
                <w:sz w:val="19"/>
              </w:rPr>
              <w:t xml:space="preserve">For Strategist, Creator, Publisher, Analyst and specialist Flux agents </w:t>
            </w:r>
            <w:r>
              <w:rPr>
                <w:b/>
                <w:color w:val="20242B"/>
                <w:sz w:val="19"/>
                <w:shd w:val="clear" w:color="auto" w:fill="FFF1A8"/>
              </w:rPr>
              <w:t>[[CONFIRM HOW CREDITS ARE SHARED ACROSS SUB-ACCOUNTS]]</w:t>
            </w:r>
          </w:p>
        </w:tc>
      </w:tr>
      <w:tr>
        <w:trPr>
          <w:cantSplit/>
        </w:trPr>
        <w:tc>
          <w:tcPr>
            <w:tcW w:type="dxa" w:w="2608"/>
            <w:shd w:val="clear" w:color="auto" w:fill="FAFAFB"/>
            <w:vAlign w:val="center"/>
          </w:tcPr>
          <w:p>
            <w:pPr>
              <w:spacing w:after="20" w:line="252" w:lineRule="auto"/>
            </w:pPr>
            <w:r>
              <w:rPr>
                <w:b/>
                <w:sz w:val="19"/>
              </w:rPr>
              <w:t>Unlimited brands</w:t>
            </w:r>
          </w:p>
        </w:tc>
        <w:tc>
          <w:tcPr>
            <w:tcW w:type="dxa" w:w="7030"/>
            <w:shd w:val="clear" w:color="auto" w:fill="FAFAFB"/>
            <w:vAlign w:val="center"/>
          </w:tcPr>
          <w:p>
            <w:pPr>
              <w:spacing w:after="20" w:line="252" w:lineRule="auto"/>
            </w:pPr>
            <w:r>
              <w:rPr>
                <w:sz w:val="19"/>
              </w:rPr>
              <w:t>No per-brand limit on the Agency plan</w:t>
            </w:r>
          </w:p>
        </w:tc>
      </w:tr>
      <w:tr>
        <w:trPr>
          <w:cantSplit/>
        </w:trPr>
        <w:tc>
          <w:tcPr>
            <w:tcW w:type="dxa" w:w="2608"/>
            <w:vAlign w:val="center"/>
          </w:tcPr>
          <w:p>
            <w:pPr>
              <w:spacing w:after="20" w:line="252" w:lineRule="auto"/>
            </w:pPr>
            <w:r>
              <w:rPr>
                <w:b/>
                <w:sz w:val="19"/>
              </w:rPr>
              <w:t>Dedicated support</w:t>
            </w:r>
          </w:p>
        </w:tc>
        <w:tc>
          <w:tcPr>
            <w:tcW w:type="dxa" w:w="7030"/>
            <w:vAlign w:val="center"/>
          </w:tcPr>
          <w:p>
            <w:pPr>
              <w:spacing w:after="20" w:line="252" w:lineRule="auto"/>
            </w:pPr>
            <w:r>
              <w:rPr>
                <w:sz w:val="19"/>
              </w:rPr>
              <w:t xml:space="preserve">A named contact at FluxMuse: </w:t>
            </w:r>
            <w:r>
              <w:rPr>
                <w:b/>
                <w:color w:val="20242B"/>
                <w:sz w:val="19"/>
                <w:shd w:val="clear" w:color="auto" w:fill="FFF1A8"/>
              </w:rPr>
              <w:t>[[NAME]]</w:t>
            </w:r>
          </w:p>
        </w:tc>
      </w:tr>
      <w:tr>
        <w:trPr>
          <w:cantSplit/>
        </w:trPr>
        <w:tc>
          <w:tcPr>
            <w:tcW w:type="dxa" w:w="2608"/>
            <w:shd w:val="clear" w:color="auto" w:fill="FAFAFB"/>
            <w:vAlign w:val="center"/>
          </w:tcPr>
          <w:p>
            <w:pPr>
              <w:spacing w:after="20" w:line="252" w:lineRule="auto"/>
            </w:pPr>
            <w:r>
              <w:rPr>
                <w:b/>
                <w:sz w:val="19"/>
              </w:rPr>
              <w:t>WhatsApp commerce for clients</w:t>
            </w:r>
          </w:p>
        </w:tc>
        <w:tc>
          <w:tcPr>
            <w:tcW w:type="dxa" w:w="7030"/>
            <w:shd w:val="clear" w:color="auto" w:fill="FAFAFB"/>
            <w:vAlign w:val="center"/>
          </w:tcPr>
          <w:p>
            <w:pPr>
              <w:spacing w:after="20" w:line="252" w:lineRule="auto"/>
            </w:pPr>
            <w:r>
              <w:rPr>
                <w:sz w:val="19"/>
              </w:rPr>
              <w:t>Catalog, checkout in chat, order updates and abandoned-cart recovery</w:t>
            </w:r>
          </w:p>
        </w:tc>
      </w:tr>
      <w:tr>
        <w:trPr>
          <w:cantSplit/>
        </w:trPr>
        <w:tc>
          <w:tcPr>
            <w:tcW w:type="dxa" w:w="2608"/>
            <w:vAlign w:val="center"/>
          </w:tcPr>
          <w:p>
            <w:pPr>
              <w:spacing w:after="20" w:line="252" w:lineRule="auto"/>
            </w:pPr>
            <w:r>
              <w:rPr>
                <w:b/>
                <w:sz w:val="19"/>
              </w:rPr>
              <w:t>Local payments</w:t>
            </w:r>
          </w:p>
        </w:tc>
        <w:tc>
          <w:tcPr>
            <w:tcW w:type="dxa" w:w="7030"/>
            <w:vAlign w:val="center"/>
          </w:tcPr>
          <w:p>
            <w:pPr>
              <w:spacing w:after="20" w:line="252" w:lineRule="auto"/>
            </w:pPr>
            <w:r>
              <w:rPr>
                <w:sz w:val="19"/>
              </w:rPr>
              <w:t>5 payment rails across 23 African countries</w:t>
            </w:r>
          </w:p>
        </w:tc>
      </w:tr>
      <w:tr>
        <w:trPr>
          <w:cantSplit/>
        </w:trPr>
        <w:tc>
          <w:tcPr>
            <w:tcW w:type="dxa" w:w="2608"/>
            <w:shd w:val="clear" w:color="auto" w:fill="FAFAFB"/>
            <w:vAlign w:val="center"/>
          </w:tcPr>
          <w:p>
            <w:pPr>
              <w:spacing w:after="20" w:line="252" w:lineRule="auto"/>
            </w:pPr>
            <w:r>
              <w:rPr>
                <w:b/>
                <w:sz w:val="19"/>
              </w:rPr>
              <w:t>Partner directory</w:t>
            </w:r>
          </w:p>
        </w:tc>
        <w:tc>
          <w:tcPr>
            <w:tcW w:type="dxa" w:w="7030"/>
            <w:shd w:val="clear" w:color="auto" w:fill="FAFAFB"/>
            <w:vAlign w:val="center"/>
          </w:tcPr>
          <w:p>
            <w:pPr>
              <w:spacing w:after="20" w:line="252" w:lineRule="auto"/>
            </w:pPr>
            <w:r>
              <w:rPr>
                <w:sz w:val="19"/>
              </w:rPr>
              <w:t xml:space="preserve">Listing so businesses can find you </w:t>
            </w:r>
            <w:r>
              <w:rPr>
                <w:b/>
                <w:color w:val="20242B"/>
                <w:sz w:val="19"/>
                <w:shd w:val="clear" w:color="auto" w:fill="FFF1A8"/>
              </w:rPr>
              <w:t>[[CONFIRM LISTING CRITERIA]]</w:t>
            </w:r>
          </w:p>
        </w:tc>
      </w:tr>
    </w:tbl>
    <w:p>
      <w:pPr>
        <w:spacing w:after="0" w:line="120" w:lineRule="exact"/>
      </w:pPr>
    </w:p>
    <w:p>
      <w:pPr>
        <w:pStyle w:val="Heading1"/>
      </w:pPr>
      <w:r>
        <w:rPr/>
        <w:t>3. Partner wholesale pricing</w:t>
      </w:r>
    </w:p>
    <w:p>
      <w:r>
        <w:rPr/>
        <w:t xml:space="preserve">Partners buy the Agency tier at </w:t>
      </w:r>
      <w:r>
        <w:rPr>
          <w:b/>
        </w:rPr>
        <w:t>30% off list</w:t>
      </w:r>
      <w:r>
        <w:rPr/>
        <w:t>, permanently, then set their own retail price for clients. Same inclusions as the Agency plan.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rtner wholesale pricing by currency"/>
      </w:tblPr>
      <w:tblGrid>
        <w:gridCol w:w="1247"/>
        <w:gridCol w:w="2607"/>
        <w:gridCol w:w="1814"/>
        <w:gridCol w:w="2040"/>
        <w:gridCol w:w="1927"/>
      </w:tblGrid>
      <w:tr>
        <w:trPr>
          <w:cantSplit/>
          <w:tblHeader/>
        </w:trPr>
        <w:tc>
          <w:tcPr>
            <w:tcW w:type="dxa" w:w="1247"/>
            <w:shd w:val="clear" w:color="auto" w:fill="FF6A00"/>
            <w:vAlign w:val="center"/>
          </w:tcPr>
          <w:p>
            <w:pPr>
              <w:keepNext/>
              <w:spacing w:after="20" w:line="252" w:lineRule="auto"/>
            </w:pPr>
            <w:r>
              <w:rPr>
                <w:rFonts w:ascii="Poppins" w:hAnsi="Poppins" w:cs="Poppins" w:eastAsia="Poppins"/>
                <w:b/>
                <w:color w:val="20242B"/>
                <w:sz w:val="19"/>
              </w:rPr>
              <w:t>Currency</w:t>
            </w:r>
          </w:p>
        </w:tc>
        <w:tc>
          <w:tcPr>
            <w:tcW w:type="dxa" w:w="2608"/>
            <w:shd w:val="clear" w:color="auto" w:fill="FF6A00"/>
            <w:vAlign w:val="center"/>
          </w:tcPr>
          <w:p>
            <w:pPr>
              <w:keepNext/>
              <w:spacing w:after="20" w:line="252" w:lineRule="auto"/>
            </w:pPr>
            <w:r>
              <w:rPr>
                <w:rFonts w:ascii="Poppins" w:hAnsi="Poppins" w:cs="Poppins" w:eastAsia="Poppins"/>
                <w:b/>
                <w:color w:val="20242B"/>
                <w:sz w:val="19"/>
              </w:rPr>
              <w:t>Where</w:t>
            </w:r>
          </w:p>
        </w:tc>
        <w:tc>
          <w:tcPr>
            <w:tcW w:type="dxa" w:w="1814"/>
            <w:shd w:val="clear" w:color="auto" w:fill="FF6A00"/>
            <w:vAlign w:val="center"/>
          </w:tcPr>
          <w:p>
            <w:pPr>
              <w:keepNext/>
              <w:spacing w:after="20" w:line="252" w:lineRule="auto"/>
              <w:jc w:val="right"/>
            </w:pPr>
            <w:r>
              <w:rPr>
                <w:rFonts w:ascii="Poppins" w:hAnsi="Poppins" w:cs="Poppins" w:eastAsia="Poppins"/>
                <w:b/>
                <w:color w:val="20242B"/>
                <w:sz w:val="19"/>
              </w:rPr>
              <w:t>Agency list /mo</w:t>
            </w:r>
          </w:p>
        </w:tc>
        <w:tc>
          <w:tcPr>
            <w:tcW w:type="dxa" w:w="2041"/>
            <w:shd w:val="clear" w:color="auto" w:fill="FF6A00"/>
            <w:vAlign w:val="center"/>
          </w:tcPr>
          <w:p>
            <w:pPr>
              <w:keepNext/>
              <w:spacing w:after="20" w:line="252" w:lineRule="auto"/>
              <w:jc w:val="right"/>
            </w:pPr>
            <w:r>
              <w:rPr>
                <w:rFonts w:ascii="Poppins" w:hAnsi="Poppins" w:cs="Poppins" w:eastAsia="Poppins"/>
                <w:b/>
                <w:color w:val="20242B"/>
                <w:sz w:val="19"/>
              </w:rPr>
              <w:t>Partner wholesale /mo</w:t>
            </w:r>
          </w:p>
        </w:tc>
        <w:tc>
          <w:tcPr>
            <w:tcW w:type="dxa" w:w="1928"/>
            <w:shd w:val="clear" w:color="auto" w:fill="FF6A00"/>
            <w:vAlign w:val="center"/>
          </w:tcPr>
          <w:p>
            <w:pPr>
              <w:keepNext/>
              <w:spacing w:after="20" w:line="252" w:lineRule="auto"/>
              <w:jc w:val="right"/>
            </w:pPr>
            <w:r>
              <w:rPr>
                <w:rFonts w:ascii="Poppins" w:hAnsi="Poppins" w:cs="Poppins" w:eastAsia="Poppins"/>
                <w:b/>
                <w:color w:val="20242B"/>
                <w:sz w:val="19"/>
              </w:rPr>
              <w:t>Partner wholesale /yr</w:t>
            </w:r>
          </w:p>
        </w:tc>
      </w:tr>
      <w:tr>
        <w:trPr>
          <w:cantSplit/>
        </w:trPr>
        <w:tc>
          <w:tcPr>
            <w:tcW w:type="dxa" w:w="1247"/>
            <w:shd w:val="clear" w:color="auto" w:fill="FFF4EB"/>
            <w:vAlign w:val="center"/>
          </w:tcPr>
          <w:p>
            <w:pPr>
              <w:spacing w:after="20" w:line="252" w:lineRule="auto"/>
            </w:pPr>
            <w:r>
              <w:rPr>
                <w:b/>
                <w:sz w:val="19"/>
              </w:rPr>
              <w:t>ZAR</w:t>
            </w:r>
          </w:p>
        </w:tc>
        <w:tc>
          <w:tcPr>
            <w:tcW w:type="dxa" w:w="2608"/>
            <w:shd w:val="clear" w:color="auto" w:fill="FFF4EB"/>
            <w:vAlign w:val="center"/>
          </w:tcPr>
          <w:p>
            <w:pPr>
              <w:spacing w:after="20" w:line="252" w:lineRule="auto"/>
            </w:pPr>
            <w:r>
              <w:rPr>
                <w:sz w:val="19"/>
              </w:rPr>
              <w:t>South Africa</w:t>
            </w:r>
          </w:p>
        </w:tc>
        <w:tc>
          <w:tcPr>
            <w:tcW w:type="dxa" w:w="1814"/>
            <w:shd w:val="clear" w:color="auto" w:fill="FFF4EB"/>
            <w:vAlign w:val="center"/>
          </w:tcPr>
          <w:p>
            <w:pPr>
              <w:spacing w:after="20" w:line="252" w:lineRule="auto"/>
              <w:jc w:val="right"/>
            </w:pPr>
            <w:r>
              <w:rPr>
                <w:sz w:val="19"/>
              </w:rPr>
              <w:t>R7,999</w:t>
            </w:r>
          </w:p>
        </w:tc>
        <w:tc>
          <w:tcPr>
            <w:tcW w:type="dxa" w:w="2041"/>
            <w:shd w:val="clear" w:color="auto" w:fill="FFF4EB"/>
            <w:vAlign w:val="center"/>
          </w:tcPr>
          <w:p>
            <w:pPr>
              <w:spacing w:after="20" w:line="252" w:lineRule="auto"/>
              <w:jc w:val="right"/>
            </w:pPr>
            <w:r>
              <w:rPr>
                <w:sz w:val="19"/>
              </w:rPr>
              <w:t>R5,599</w:t>
            </w:r>
          </w:p>
        </w:tc>
        <w:tc>
          <w:tcPr>
            <w:tcW w:type="dxa" w:w="1928"/>
            <w:shd w:val="clear" w:color="auto" w:fill="FFF4EB"/>
            <w:vAlign w:val="center"/>
          </w:tcPr>
          <w:p>
            <w:pPr>
              <w:spacing w:after="20" w:line="252" w:lineRule="auto"/>
              <w:jc w:val="right"/>
            </w:pPr>
            <w:r>
              <w:rPr>
                <w:sz w:val="19"/>
              </w:rPr>
              <w:t>R55,990</w:t>
            </w:r>
          </w:p>
        </w:tc>
      </w:tr>
      <w:tr>
        <w:trPr>
          <w:cantSplit/>
        </w:trPr>
        <w:tc>
          <w:tcPr>
            <w:tcW w:type="dxa" w:w="1247"/>
            <w:shd w:val="clear" w:color="auto" w:fill="FAFAFB"/>
            <w:vAlign w:val="center"/>
          </w:tcPr>
          <w:p>
            <w:pPr>
              <w:spacing w:after="20" w:line="252" w:lineRule="auto"/>
            </w:pPr>
            <w:r>
              <w:rPr>
                <w:b/>
                <w:sz w:val="19"/>
              </w:rPr>
              <w:t>NGN</w:t>
            </w:r>
          </w:p>
        </w:tc>
        <w:tc>
          <w:tcPr>
            <w:tcW w:type="dxa" w:w="2608"/>
            <w:shd w:val="clear" w:color="auto" w:fill="FAFAFB"/>
            <w:vAlign w:val="center"/>
          </w:tcPr>
          <w:p>
            <w:pPr>
              <w:spacing w:after="20" w:line="252" w:lineRule="auto"/>
            </w:pPr>
            <w:r>
              <w:rPr>
                <w:sz w:val="19"/>
              </w:rPr>
              <w:t>Nigeria</w:t>
            </w:r>
          </w:p>
        </w:tc>
        <w:tc>
          <w:tcPr>
            <w:tcW w:type="dxa" w:w="1814"/>
            <w:shd w:val="clear" w:color="auto" w:fill="FAFAFB"/>
            <w:vAlign w:val="center"/>
          </w:tcPr>
          <w:p>
            <w:pPr>
              <w:spacing w:after="20" w:line="252" w:lineRule="auto"/>
              <w:jc w:val="right"/>
            </w:pPr>
            <w:r>
              <w:rPr>
                <w:sz w:val="19"/>
              </w:rPr>
              <w:t>₦662,000</w:t>
            </w:r>
          </w:p>
        </w:tc>
        <w:tc>
          <w:tcPr>
            <w:tcW w:type="dxa" w:w="2041"/>
            <w:shd w:val="clear" w:color="auto" w:fill="FAFAFB"/>
            <w:vAlign w:val="center"/>
          </w:tcPr>
          <w:p>
            <w:pPr>
              <w:spacing w:after="20" w:line="252" w:lineRule="auto"/>
              <w:jc w:val="right"/>
            </w:pPr>
            <w:r>
              <w:rPr>
                <w:sz w:val="19"/>
              </w:rPr>
              <w:t>₦463,000</w:t>
            </w:r>
          </w:p>
        </w:tc>
        <w:tc>
          <w:tcPr>
            <w:tcW w:type="dxa" w:w="1928"/>
            <w:shd w:val="clear" w:color="auto" w:fill="FAFAFB"/>
            <w:vAlign w:val="center"/>
          </w:tcPr>
          <w:p>
            <w:pPr>
              <w:spacing w:after="20" w:line="252" w:lineRule="auto"/>
              <w:jc w:val="right"/>
            </w:pPr>
            <w:r>
              <w:rPr>
                <w:sz w:val="19"/>
              </w:rPr>
              <w:t>₦4,630,000</w:t>
            </w:r>
          </w:p>
        </w:tc>
      </w:tr>
      <w:tr>
        <w:trPr>
          <w:cantSplit/>
        </w:trPr>
        <w:tc>
          <w:tcPr>
            <w:tcW w:type="dxa" w:w="1247"/>
            <w:vAlign w:val="center"/>
          </w:tcPr>
          <w:p>
            <w:pPr>
              <w:spacing w:after="20" w:line="252" w:lineRule="auto"/>
            </w:pPr>
            <w:r>
              <w:rPr>
                <w:b/>
                <w:sz w:val="19"/>
              </w:rPr>
              <w:t>KES</w:t>
            </w:r>
          </w:p>
        </w:tc>
        <w:tc>
          <w:tcPr>
            <w:tcW w:type="dxa" w:w="2608"/>
            <w:vAlign w:val="center"/>
          </w:tcPr>
          <w:p>
            <w:pPr>
              <w:spacing w:after="20" w:line="252" w:lineRule="auto"/>
            </w:pPr>
            <w:r>
              <w:rPr>
                <w:sz w:val="19"/>
              </w:rPr>
              <w:t>Kenya</w:t>
            </w:r>
          </w:p>
        </w:tc>
        <w:tc>
          <w:tcPr>
            <w:tcW w:type="dxa" w:w="1814"/>
            <w:vAlign w:val="center"/>
          </w:tcPr>
          <w:p>
            <w:pPr>
              <w:spacing w:after="20" w:line="252" w:lineRule="auto"/>
              <w:jc w:val="right"/>
            </w:pPr>
            <w:r>
              <w:rPr>
                <w:sz w:val="19"/>
              </w:rPr>
              <w:t>KSh 64,499</w:t>
            </w:r>
          </w:p>
        </w:tc>
        <w:tc>
          <w:tcPr>
            <w:tcW w:type="dxa" w:w="2041"/>
            <w:vAlign w:val="center"/>
          </w:tcPr>
          <w:p>
            <w:pPr>
              <w:spacing w:after="20" w:line="252" w:lineRule="auto"/>
              <w:jc w:val="right"/>
            </w:pPr>
            <w:r>
              <w:rPr>
                <w:sz w:val="19"/>
              </w:rPr>
              <w:t>KSh 44,999</w:t>
            </w:r>
          </w:p>
        </w:tc>
        <w:tc>
          <w:tcPr>
            <w:tcW w:type="dxa" w:w="1928"/>
            <w:vAlign w:val="center"/>
          </w:tcPr>
          <w:p>
            <w:pPr>
              <w:spacing w:after="20" w:line="252" w:lineRule="auto"/>
              <w:jc w:val="right"/>
            </w:pPr>
            <w:r>
              <w:rPr>
                <w:sz w:val="19"/>
              </w:rPr>
              <w:t>KSh 449,990</w:t>
            </w:r>
          </w:p>
        </w:tc>
      </w:tr>
      <w:tr>
        <w:trPr>
          <w:cantSplit/>
        </w:trPr>
        <w:tc>
          <w:tcPr>
            <w:tcW w:type="dxa" w:w="1247"/>
            <w:shd w:val="clear" w:color="auto" w:fill="FAFAFB"/>
            <w:vAlign w:val="center"/>
          </w:tcPr>
          <w:p>
            <w:pPr>
              <w:spacing w:after="20" w:line="252" w:lineRule="auto"/>
            </w:pPr>
            <w:r>
              <w:rPr>
                <w:b/>
                <w:sz w:val="19"/>
              </w:rPr>
              <w:t>GHS</w:t>
            </w:r>
          </w:p>
        </w:tc>
        <w:tc>
          <w:tcPr>
            <w:tcW w:type="dxa" w:w="2608"/>
            <w:shd w:val="clear" w:color="auto" w:fill="FAFAFB"/>
            <w:vAlign w:val="center"/>
          </w:tcPr>
          <w:p>
            <w:pPr>
              <w:spacing w:after="20" w:line="252" w:lineRule="auto"/>
            </w:pPr>
            <w:r>
              <w:rPr>
                <w:sz w:val="19"/>
              </w:rPr>
              <w:t>Ghana</w:t>
            </w:r>
          </w:p>
        </w:tc>
        <w:tc>
          <w:tcPr>
            <w:tcW w:type="dxa" w:w="1814"/>
            <w:shd w:val="clear" w:color="auto" w:fill="FAFAFB"/>
            <w:vAlign w:val="center"/>
          </w:tcPr>
          <w:p>
            <w:pPr>
              <w:spacing w:after="20" w:line="252" w:lineRule="auto"/>
              <w:jc w:val="right"/>
            </w:pPr>
            <w:r>
              <w:rPr>
                <w:sz w:val="19"/>
              </w:rPr>
              <w:t>GH₵ 5,439</w:t>
            </w:r>
          </w:p>
        </w:tc>
        <w:tc>
          <w:tcPr>
            <w:tcW w:type="dxa" w:w="2041"/>
            <w:shd w:val="clear" w:color="auto" w:fill="FAFAFB"/>
            <w:vAlign w:val="center"/>
          </w:tcPr>
          <w:p>
            <w:pPr>
              <w:spacing w:after="20" w:line="252" w:lineRule="auto"/>
              <w:jc w:val="right"/>
            </w:pPr>
            <w:r>
              <w:rPr>
                <w:sz w:val="19"/>
              </w:rPr>
              <w:t>GH₵ 3,799</w:t>
            </w:r>
          </w:p>
        </w:tc>
        <w:tc>
          <w:tcPr>
            <w:tcW w:type="dxa" w:w="1928"/>
            <w:shd w:val="clear" w:color="auto" w:fill="FAFAFB"/>
            <w:vAlign w:val="center"/>
          </w:tcPr>
          <w:p>
            <w:pPr>
              <w:spacing w:after="20" w:line="252" w:lineRule="auto"/>
              <w:jc w:val="right"/>
            </w:pPr>
            <w:r>
              <w:rPr>
                <w:sz w:val="19"/>
              </w:rPr>
              <w:t>GH₵ 37,990</w:t>
            </w:r>
          </w:p>
        </w:tc>
      </w:tr>
      <w:tr>
        <w:trPr>
          <w:cantSplit/>
        </w:trPr>
        <w:tc>
          <w:tcPr>
            <w:tcW w:type="dxa" w:w="1247"/>
            <w:vAlign w:val="center"/>
          </w:tcPr>
          <w:p>
            <w:pPr>
              <w:spacing w:after="20" w:line="252" w:lineRule="auto"/>
            </w:pPr>
            <w:r>
              <w:rPr>
                <w:b/>
                <w:sz w:val="19"/>
              </w:rPr>
              <w:t>USD</w:t>
            </w:r>
          </w:p>
        </w:tc>
        <w:tc>
          <w:tcPr>
            <w:tcW w:type="dxa" w:w="2608"/>
            <w:vAlign w:val="center"/>
          </w:tcPr>
          <w:p>
            <w:pPr>
              <w:spacing w:after="20" w:line="252" w:lineRule="auto"/>
            </w:pPr>
            <w:r>
              <w:rPr>
                <w:sz w:val="19"/>
              </w:rPr>
              <w:t>19 other rail-covered countries</w:t>
            </w:r>
          </w:p>
        </w:tc>
        <w:tc>
          <w:tcPr>
            <w:tcW w:type="dxa" w:w="1814"/>
            <w:vAlign w:val="center"/>
          </w:tcPr>
          <w:p>
            <w:pPr>
              <w:spacing w:after="20" w:line="252" w:lineRule="auto"/>
              <w:jc w:val="right"/>
            </w:pPr>
            <w:r>
              <w:rPr>
                <w:sz w:val="19"/>
              </w:rPr>
              <w:t>$429</w:t>
            </w:r>
          </w:p>
        </w:tc>
        <w:tc>
          <w:tcPr>
            <w:tcW w:type="dxa" w:w="2041"/>
            <w:vAlign w:val="center"/>
          </w:tcPr>
          <w:p>
            <w:pPr>
              <w:spacing w:after="20" w:line="252" w:lineRule="auto"/>
              <w:jc w:val="right"/>
            </w:pPr>
            <w:r>
              <w:rPr>
                <w:sz w:val="19"/>
              </w:rPr>
              <w:t>$299</w:t>
            </w:r>
          </w:p>
        </w:tc>
        <w:tc>
          <w:tcPr>
            <w:tcW w:type="dxa" w:w="1928"/>
            <w:vAlign w:val="center"/>
          </w:tcPr>
          <w:p>
            <w:pPr>
              <w:spacing w:after="20" w:line="252" w:lineRule="auto"/>
              <w:jc w:val="right"/>
            </w:pPr>
            <w:r>
              <w:rPr>
                <w:sz w:val="19"/>
              </w:rPr>
              <w:t>$2,990</w:t>
            </w:r>
          </w:p>
        </w:tc>
      </w:tr>
    </w:tbl>
    <w:p>
      <w:pPr>
        <w:spacing w:after="0" w:line="120" w:lineRule="exact"/>
      </w:pPr>
    </w:p>
    <w:p>
      <w:pPr>
        <w:pStyle w:val="ListBullet"/>
      </w:pPr>
      <w:r>
        <w:rPr/>
        <w:t>Annual = 10× monthly (2 months free).</w:t>
      </w:r>
    </w:p>
    <w:p>
      <w:pPr>
        <w:pStyle w:val="ListBullet"/>
      </w:pPr>
      <w:r>
        <w:rPr/>
        <w:t>Wholesale pricing doesn't stack with the Founding Member launch offer, which isn't offered on the Agency tier.</w:t>
      </w:r>
    </w:p>
    <w:p>
      <w:pPr>
        <w:pStyle w:val="ListBullet"/>
      </w:pPr>
      <w:r>
        <w:rPr/>
        <w:t>Nigeria, Kenya and Ghana are billed in local currency; prices are reviewed quarterly.</w:t>
      </w:r>
    </w:p>
    <w:p>
      <w:pPr>
        <w:pStyle w:val="ListBullet"/>
      </w:pPr>
      <w:r>
        <w:rPr/>
        <w:t>Countries without a payment rail (including Botswana and Namibia, coming soon) are waitlist only: no prices or checkout.</w:t>
      </w:r>
    </w:p>
    <w:p>
      <w:pPr>
        <w:pStyle w:val="ListBullet"/>
      </w:pPr>
      <w:r>
        <w:rPr/>
        <w:t>Pass-through costs (Meta WhatsApp message fees, ad spend, SMS) are separate and can be re-billed to your clients.</w:t>
      </w:r>
    </w:p>
    <w:p>
      <w:pPr>
        <w:pStyle w:val="Heading1"/>
      </w:pPr>
      <w:r>
        <w:rPr/>
        <w:t>4. Partner economics</w:t>
      </w:r>
    </w:p>
    <w:p>
      <w:pPr>
        <w:pStyle w:val="Heading2"/>
      </w:pPr>
      <w:r>
        <w:rPr/>
        <w:t>Illustrative example</w:t>
      </w:r>
    </w:p>
    <w:p>
      <w:pPr>
        <w:keepNext/>
      </w:pPr>
      <w:r>
        <w:rPr>
          <w:b/>
        </w:rPr>
        <w:t>Illustrative only, not a forecast.</w:t>
      </w:r>
      <w:r>
        <w:rPr/>
        <w:t xml:space="preserve"> A partner serving 20 clients at a retail price they set: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Illustrative partner economics"/>
      </w:tblPr>
      <w:tblGrid>
        <w:gridCol w:w="6236"/>
        <w:gridCol w:w="3401"/>
      </w:tblGrid>
      <w:tr>
        <w:trPr>
          <w:cantSplit/>
          <w:tblHeader/>
        </w:trPr>
        <w:tc>
          <w:tcPr>
            <w:tcW w:type="dxa" w:w="6236"/>
            <w:shd w:val="clear" w:color="auto" w:fill="FF6A00"/>
            <w:vAlign w:val="center"/>
          </w:tcPr>
          <w:p>
            <w:pPr>
              <w:keepNext/>
              <w:spacing w:after="20" w:line="252" w:lineRule="auto"/>
            </w:pPr>
            <w:r>
              <w:rPr>
                <w:rFonts w:ascii="Poppins" w:hAnsi="Poppins" w:cs="Poppins" w:eastAsia="Poppins"/>
                <w:b/>
                <w:color w:val="20242B"/>
                <w:sz w:val="19"/>
              </w:rPr>
              <w:t>Line</w:t>
            </w:r>
          </w:p>
        </w:tc>
        <w:tc>
          <w:tcPr>
            <w:tcW w:type="dxa" w:w="3402"/>
            <w:shd w:val="clear" w:color="auto" w:fill="FF6A00"/>
            <w:vAlign w:val="center"/>
          </w:tcPr>
          <w:p>
            <w:pPr>
              <w:keepNext/>
              <w:spacing w:after="20" w:line="252" w:lineRule="auto"/>
              <w:jc w:val="right"/>
            </w:pPr>
            <w:r>
              <w:rPr>
                <w:rFonts w:ascii="Poppins" w:hAnsi="Poppins" w:cs="Poppins" w:eastAsia="Poppins"/>
                <w:b/>
                <w:color w:val="20242B"/>
                <w:sz w:val="19"/>
              </w:rPr>
              <w:t>Illustrative (ZAR per month)</w:t>
            </w:r>
          </w:p>
        </w:tc>
      </w:tr>
      <w:tr>
        <w:trPr>
          <w:cantSplit/>
        </w:trPr>
        <w:tc>
          <w:tcPr>
            <w:tcW w:type="dxa" w:w="6236"/>
            <w:vAlign w:val="center"/>
          </w:tcPr>
          <w:p>
            <w:pPr>
              <w:spacing w:after="20" w:line="252" w:lineRule="auto"/>
            </w:pPr>
            <w:r>
              <w:rPr>
                <w:b/>
                <w:sz w:val="19"/>
              </w:rPr>
              <w:t>Clients on sub-accounts</w:t>
            </w:r>
          </w:p>
        </w:tc>
        <w:tc>
          <w:tcPr>
            <w:tcW w:type="dxa" w:w="3402"/>
            <w:vAlign w:val="center"/>
          </w:tcPr>
          <w:p>
            <w:pPr>
              <w:spacing w:after="20" w:line="252" w:lineRule="auto"/>
              <w:jc w:val="right"/>
            </w:pPr>
            <w:r>
              <w:rPr>
                <w:sz w:val="19"/>
              </w:rPr>
              <w:t>20</w:t>
            </w:r>
          </w:p>
        </w:tc>
      </w:tr>
      <w:tr>
        <w:trPr>
          <w:cantSplit/>
        </w:trPr>
        <w:tc>
          <w:tcPr>
            <w:tcW w:type="dxa" w:w="6236"/>
            <w:shd w:val="clear" w:color="auto" w:fill="FAFAFB"/>
            <w:vAlign w:val="center"/>
          </w:tcPr>
          <w:p>
            <w:pPr>
              <w:spacing w:after="20" w:line="252" w:lineRule="auto"/>
            </w:pPr>
            <w:r>
              <w:rPr>
                <w:b/>
                <w:sz w:val="19"/>
              </w:rPr>
              <w:t>Retail price per client (set by the partner)</w:t>
            </w:r>
          </w:p>
        </w:tc>
        <w:tc>
          <w:tcPr>
            <w:tcW w:type="dxa" w:w="3402"/>
            <w:shd w:val="clear" w:color="auto" w:fill="FAFAFB"/>
            <w:vAlign w:val="center"/>
          </w:tcPr>
          <w:p>
            <w:pPr>
              <w:spacing w:after="20" w:line="252" w:lineRule="auto"/>
              <w:jc w:val="right"/>
            </w:pPr>
            <w:r>
              <w:rPr>
                <w:sz w:val="19"/>
              </w:rPr>
              <w:t>R1,500</w:t>
            </w:r>
          </w:p>
        </w:tc>
      </w:tr>
      <w:tr>
        <w:trPr>
          <w:cantSplit/>
        </w:trPr>
        <w:tc>
          <w:tcPr>
            <w:tcW w:type="dxa" w:w="6236"/>
            <w:vAlign w:val="center"/>
          </w:tcPr>
          <w:p>
            <w:pPr>
              <w:spacing w:after="20" w:line="252" w:lineRule="auto"/>
            </w:pPr>
            <w:r>
              <w:rPr>
                <w:b/>
                <w:sz w:val="19"/>
              </w:rPr>
              <w:t>Retail revenue (20 × R1,500)</w:t>
            </w:r>
          </w:p>
        </w:tc>
        <w:tc>
          <w:tcPr>
            <w:tcW w:type="dxa" w:w="3402"/>
            <w:vAlign w:val="center"/>
          </w:tcPr>
          <w:p>
            <w:pPr>
              <w:spacing w:after="20" w:line="252" w:lineRule="auto"/>
              <w:jc w:val="right"/>
            </w:pPr>
            <w:r>
              <w:rPr>
                <w:sz w:val="19"/>
              </w:rPr>
              <w:t>R30,000</w:t>
            </w:r>
          </w:p>
        </w:tc>
      </w:tr>
      <w:tr>
        <w:trPr>
          <w:cantSplit/>
        </w:trPr>
        <w:tc>
          <w:tcPr>
            <w:tcW w:type="dxa" w:w="6236"/>
            <w:shd w:val="clear" w:color="auto" w:fill="FAFAFB"/>
            <w:vAlign w:val="center"/>
          </w:tcPr>
          <w:p>
            <w:pPr>
              <w:spacing w:after="20" w:line="252" w:lineRule="auto"/>
            </w:pPr>
            <w:r>
              <w:rPr>
                <w:b/>
                <w:sz w:val="19"/>
              </w:rPr>
              <w:t>Partner wholesale Agency plan</w:t>
            </w:r>
          </w:p>
        </w:tc>
        <w:tc>
          <w:tcPr>
            <w:tcW w:type="dxa" w:w="3402"/>
            <w:shd w:val="clear" w:color="auto" w:fill="FAFAFB"/>
            <w:vAlign w:val="center"/>
          </w:tcPr>
          <w:p>
            <w:pPr>
              <w:spacing w:after="20" w:line="252" w:lineRule="auto"/>
              <w:jc w:val="right"/>
            </w:pPr>
            <w:r>
              <w:rPr>
                <w:sz w:val="19"/>
              </w:rPr>
              <w:t>− R5,599</w:t>
            </w:r>
          </w:p>
        </w:tc>
      </w:tr>
      <w:tr>
        <w:trPr>
          <w:cantSplit/>
        </w:trPr>
        <w:tc>
          <w:tcPr>
            <w:tcW w:type="dxa" w:w="6236"/>
            <w:shd w:val="clear" w:color="auto" w:fill="FFF4EB"/>
            <w:vAlign w:val="center"/>
          </w:tcPr>
          <w:p>
            <w:pPr>
              <w:spacing w:after="20" w:line="252" w:lineRule="auto"/>
            </w:pPr>
            <w:r>
              <w:rPr>
                <w:b/>
                <w:sz w:val="19"/>
              </w:rPr>
              <w:t>Gross spread before the partner's own service costs</w:t>
            </w:r>
          </w:p>
        </w:tc>
        <w:tc>
          <w:tcPr>
            <w:tcW w:type="dxa" w:w="3402"/>
            <w:shd w:val="clear" w:color="auto" w:fill="FFF4EB"/>
            <w:vAlign w:val="center"/>
          </w:tcPr>
          <w:p>
            <w:pPr>
              <w:spacing w:after="20" w:line="252" w:lineRule="auto"/>
              <w:jc w:val="right"/>
            </w:pPr>
            <w:r>
              <w:rPr>
                <w:b/>
                <w:sz w:val="19"/>
              </w:rPr>
              <w:t>R24,401</w:t>
            </w:r>
          </w:p>
        </w:tc>
      </w:tr>
      <w:tr>
        <w:trPr>
          <w:cantSplit/>
        </w:trPr>
        <w:tc>
          <w:tcPr>
            <w:tcW w:type="dxa" w:w="6236"/>
            <w:shd w:val="clear" w:color="auto" w:fill="FAFAFB"/>
            <w:vAlign w:val="center"/>
          </w:tcPr>
          <w:p>
            <w:pPr>
              <w:spacing w:after="20" w:line="252" w:lineRule="auto"/>
            </w:pPr>
            <w:r>
              <w:rPr>
                <w:b/>
                <w:sz w:val="19"/>
              </w:rPr>
              <w:t>Platform cost per client (R5,599 ÷ 20)</w:t>
            </w:r>
          </w:p>
        </w:tc>
        <w:tc>
          <w:tcPr>
            <w:tcW w:type="dxa" w:w="3402"/>
            <w:shd w:val="clear" w:color="auto" w:fill="FAFAFB"/>
            <w:vAlign w:val="center"/>
          </w:tcPr>
          <w:p>
            <w:pPr>
              <w:spacing w:after="20" w:line="252" w:lineRule="auto"/>
              <w:jc w:val="right"/>
            </w:pPr>
            <w:r>
              <w:rPr>
                <w:sz w:val="19"/>
              </w:rPr>
              <w:t>about R280</w:t>
            </w:r>
          </w:p>
        </w:tc>
      </w:tr>
    </w:tbl>
    <w:p>
      <w:pPr>
        <w:spacing w:after="0" w:line="120" w:lineRule="exact"/>
      </w:pPr>
    </w:p>
    <w:p>
      <w:r>
        <w:rPr>
          <w:sz w:val="18"/>
        </w:rPr>
        <w:t>Before VAT, payment fees, ad spend and your team's delivery costs. Your margin depends on your retail price and costs.</w:t>
      </w:r>
    </w:p>
    <w:p>
      <w:pPr>
        <w:keepNext/>
        <w:spacing w:before="120" w:after="0"/>
        <w:jc w:val="center"/>
      </w:pPr>
      <w:r>
        <w:drawing>
          <wp:inline xmlns:a="http://schemas.openxmlformats.org/drawingml/2006/main" xmlns:pic="http://schemas.openxmlformats.org/drawingml/2006/picture">
            <wp:extent cx="6120000" cy="3442500"/>
            <wp:docPr id="3" name="Picture 3" descr="Partner model diagram: FluxMuse supplies the platform to the agency at the wholesale Agency tier price, the agency serves its clients on sub-accounts at a retail price it sets, with an illustrative 20-client example."/>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3442500"/>
                    </a:xfrm>
                    <a:prstGeom prst="rect"/>
                  </pic:spPr>
                </pic:pic>
              </a:graphicData>
            </a:graphic>
          </wp:inline>
        </w:drawing>
      </w:r>
    </w:p>
    <w:p>
      <w:pPr>
        <w:pStyle w:val="Caption"/>
        <w:jc w:val="center"/>
      </w:pPr>
      <w:r>
        <w:rPr>
          <w:b/>
        </w:rPr>
        <w:t>Figure 2.</w:t>
      </w:r>
      <w:r>
        <w:rPr/>
        <w:t xml:space="preserve"> How the partner model works: FluxMuse bills the partner wholesale; the partner bills clients at their own price. Example is illustrative.</w:t>
      </w:r>
    </w:p>
    <w:p>
      <w:pPr>
        <w:pStyle w:val="Heading2"/>
      </w:pPr>
      <w:r>
        <w:rPr/>
        <w:t>Your numbers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rtner economics calculator"/>
      </w:tblPr>
      <w:tblGrid>
        <w:gridCol w:w="566"/>
        <w:gridCol w:w="3174"/>
        <w:gridCol w:w="3628"/>
        <w:gridCol w:w="2267"/>
      </w:tblGrid>
      <w:tr>
        <w:trPr>
          <w:cantSplit/>
          <w:tblHeader/>
        </w:trPr>
        <w:tc>
          <w:tcPr>
            <w:tcW w:type="dxa" w:w="567"/>
            <w:shd w:val="clear" w:color="auto" w:fill="FF6A00"/>
            <w:vAlign w:val="center"/>
          </w:tcPr>
          <w:p>
            <w:pPr>
              <w:keepNext/>
              <w:spacing w:after="20" w:line="252" w:lineRule="auto"/>
              <w:jc w:val="center"/>
            </w:pPr>
          </w:p>
        </w:tc>
        <w:tc>
          <w:tcPr>
            <w:tcW w:type="dxa" w:w="3175"/>
            <w:shd w:val="clear" w:color="auto" w:fill="FF6A00"/>
            <w:vAlign w:val="center"/>
          </w:tcPr>
          <w:p>
            <w:pPr>
              <w:keepNext/>
              <w:spacing w:after="20" w:line="252" w:lineRule="auto"/>
            </w:pPr>
            <w:r>
              <w:rPr>
                <w:rFonts w:ascii="Poppins" w:hAnsi="Poppins" w:cs="Poppins" w:eastAsia="Poppins"/>
                <w:b/>
                <w:color w:val="20242B"/>
                <w:sz w:val="19"/>
              </w:rPr>
              <w:t>Line</w:t>
            </w:r>
          </w:p>
        </w:tc>
        <w:tc>
          <w:tcPr>
            <w:tcW w:type="dxa" w:w="3628"/>
            <w:shd w:val="clear" w:color="auto" w:fill="FF6A00"/>
            <w:vAlign w:val="center"/>
          </w:tcPr>
          <w:p>
            <w:pPr>
              <w:keepNext/>
              <w:spacing w:after="20" w:line="252" w:lineRule="auto"/>
            </w:pPr>
            <w:r>
              <w:rPr>
                <w:rFonts w:ascii="Poppins" w:hAnsi="Poppins" w:cs="Poppins" w:eastAsia="Poppins"/>
                <w:b/>
                <w:color w:val="20242B"/>
                <w:sz w:val="19"/>
              </w:rPr>
              <w:t>How to calculate</w:t>
            </w:r>
          </w:p>
        </w:tc>
        <w:tc>
          <w:tcPr>
            <w:tcW w:type="dxa" w:w="2268"/>
            <w:shd w:val="clear" w:color="auto" w:fill="FF6A00"/>
            <w:vAlign w:val="center"/>
          </w:tcPr>
          <w:p>
            <w:pPr>
              <w:keepNext/>
              <w:spacing w:after="20" w:line="252" w:lineRule="auto"/>
              <w:jc w:val="right"/>
            </w:pPr>
            <w:r>
              <w:rPr>
                <w:rFonts w:ascii="Poppins" w:hAnsi="Poppins" w:cs="Poppins" w:eastAsia="Poppins"/>
                <w:b/>
                <w:color w:val="20242B"/>
                <w:sz w:val="19"/>
                <w:shd w:val="clear" w:color="auto" w:fill="FFF1A8"/>
              </w:rPr>
              <w:t>[[AGENCY NAME]]</w:t>
            </w:r>
          </w:p>
        </w:tc>
      </w:tr>
      <w:tr>
        <w:trPr>
          <w:cantSplit/>
        </w:trPr>
        <w:tc>
          <w:tcPr>
            <w:tcW w:type="dxa" w:w="567"/>
            <w:vAlign w:val="center"/>
          </w:tcPr>
          <w:p>
            <w:pPr>
              <w:spacing w:after="20" w:line="252" w:lineRule="auto"/>
              <w:jc w:val="center"/>
            </w:pPr>
            <w:r>
              <w:rPr>
                <w:b/>
                <w:sz w:val="19"/>
              </w:rPr>
              <w:t>A</w:t>
            </w:r>
          </w:p>
        </w:tc>
        <w:tc>
          <w:tcPr>
            <w:tcW w:type="dxa" w:w="3175"/>
            <w:vAlign w:val="center"/>
          </w:tcPr>
          <w:p>
            <w:pPr>
              <w:spacing w:after="20" w:line="252" w:lineRule="auto"/>
            </w:pPr>
            <w:r>
              <w:rPr>
                <w:sz w:val="19"/>
              </w:rPr>
              <w:t>Number of clients</w:t>
            </w:r>
          </w:p>
        </w:tc>
        <w:tc>
          <w:tcPr>
            <w:tcW w:type="dxa" w:w="3628"/>
            <w:vAlign w:val="center"/>
          </w:tcPr>
          <w:p>
            <w:pPr>
              <w:spacing w:after="20" w:line="252" w:lineRule="auto"/>
            </w:pPr>
            <w:r>
              <w:rPr>
                <w:sz w:val="19"/>
              </w:rPr>
              <w:t>Up to 50 sub-accounts</w:t>
            </w:r>
          </w:p>
        </w:tc>
        <w:tc>
          <w:tcPr>
            <w:tcW w:type="dxa" w:w="2268"/>
            <w:vAlign w:val="center"/>
          </w:tcPr>
          <w:p>
            <w:pPr>
              <w:spacing w:after="20" w:line="252" w:lineRule="auto"/>
              <w:jc w:val="right"/>
            </w:pPr>
            <w:r>
              <w:rPr>
                <w:b/>
                <w:color w:val="20242B"/>
                <w:sz w:val="19"/>
                <w:shd w:val="clear" w:color="auto" w:fill="FFF1A8"/>
              </w:rPr>
              <w:t>[[ ]]</w:t>
            </w:r>
          </w:p>
        </w:tc>
      </w:tr>
      <w:tr>
        <w:trPr>
          <w:cantSplit/>
        </w:trPr>
        <w:tc>
          <w:tcPr>
            <w:tcW w:type="dxa" w:w="567"/>
            <w:shd w:val="clear" w:color="auto" w:fill="FAFAFB"/>
            <w:vAlign w:val="center"/>
          </w:tcPr>
          <w:p>
            <w:pPr>
              <w:spacing w:after="20" w:line="252" w:lineRule="auto"/>
              <w:jc w:val="center"/>
            </w:pPr>
            <w:r>
              <w:rPr>
                <w:b/>
                <w:sz w:val="19"/>
              </w:rPr>
              <w:t>B</w:t>
            </w:r>
          </w:p>
        </w:tc>
        <w:tc>
          <w:tcPr>
            <w:tcW w:type="dxa" w:w="3175"/>
            <w:shd w:val="clear" w:color="auto" w:fill="FAFAFB"/>
            <w:vAlign w:val="center"/>
          </w:tcPr>
          <w:p>
            <w:pPr>
              <w:spacing w:after="20" w:line="252" w:lineRule="auto"/>
            </w:pPr>
            <w:r>
              <w:rPr>
                <w:sz w:val="19"/>
              </w:rPr>
              <w:t>Your retail price per client /mo</w:t>
            </w:r>
          </w:p>
        </w:tc>
        <w:tc>
          <w:tcPr>
            <w:tcW w:type="dxa" w:w="3628"/>
            <w:shd w:val="clear" w:color="auto" w:fill="FAFAFB"/>
            <w:vAlign w:val="center"/>
          </w:tcPr>
          <w:p>
            <w:pPr>
              <w:spacing w:after="20" w:line="252" w:lineRule="auto"/>
            </w:pPr>
            <w:r>
              <w:rPr>
                <w:sz w:val="19"/>
              </w:rPr>
              <w:t>You set it</w:t>
            </w:r>
          </w:p>
        </w:tc>
        <w:tc>
          <w:tcPr>
            <w:tcW w:type="dxa" w:w="2268"/>
            <w:shd w:val="clear" w:color="auto" w:fill="FAFAFB"/>
            <w:vAlign w:val="center"/>
          </w:tcPr>
          <w:p>
            <w:pPr>
              <w:spacing w:after="20" w:line="252" w:lineRule="auto"/>
              <w:jc w:val="right"/>
            </w:pPr>
            <w:r>
              <w:rPr>
                <w:b/>
                <w:color w:val="20242B"/>
                <w:sz w:val="19"/>
                <w:shd w:val="clear" w:color="auto" w:fill="FFF1A8"/>
              </w:rPr>
              <w:t>[[R ]]</w:t>
            </w:r>
          </w:p>
        </w:tc>
      </w:tr>
      <w:tr>
        <w:trPr>
          <w:cantSplit/>
        </w:trPr>
        <w:tc>
          <w:tcPr>
            <w:tcW w:type="dxa" w:w="567"/>
            <w:vAlign w:val="center"/>
          </w:tcPr>
          <w:p>
            <w:pPr>
              <w:spacing w:after="20" w:line="252" w:lineRule="auto"/>
              <w:jc w:val="center"/>
            </w:pPr>
            <w:r>
              <w:rPr>
                <w:b/>
                <w:sz w:val="19"/>
              </w:rPr>
              <w:t>C</w:t>
            </w:r>
          </w:p>
        </w:tc>
        <w:tc>
          <w:tcPr>
            <w:tcW w:type="dxa" w:w="3175"/>
            <w:vAlign w:val="center"/>
          </w:tcPr>
          <w:p>
            <w:pPr>
              <w:spacing w:after="20" w:line="252" w:lineRule="auto"/>
            </w:pPr>
            <w:r>
              <w:rPr>
                <w:sz w:val="19"/>
              </w:rPr>
              <w:t>Monthly retail revenue</w:t>
            </w:r>
          </w:p>
        </w:tc>
        <w:tc>
          <w:tcPr>
            <w:tcW w:type="dxa" w:w="3628"/>
            <w:vAlign w:val="center"/>
          </w:tcPr>
          <w:p>
            <w:pPr>
              <w:spacing w:after="20" w:line="252" w:lineRule="auto"/>
            </w:pPr>
            <w:r>
              <w:rPr>
                <w:sz w:val="19"/>
              </w:rPr>
              <w:t>A × B</w:t>
            </w:r>
          </w:p>
        </w:tc>
        <w:tc>
          <w:tcPr>
            <w:tcW w:type="dxa" w:w="2268"/>
            <w:vAlign w:val="center"/>
          </w:tcPr>
          <w:p>
            <w:pPr>
              <w:spacing w:after="20" w:line="252" w:lineRule="auto"/>
              <w:jc w:val="right"/>
            </w:pPr>
            <w:r>
              <w:rPr>
                <w:b/>
                <w:color w:val="20242B"/>
                <w:sz w:val="19"/>
                <w:shd w:val="clear" w:color="auto" w:fill="FFF1A8"/>
              </w:rPr>
              <w:t>[[R ]]</w:t>
            </w:r>
          </w:p>
        </w:tc>
      </w:tr>
      <w:tr>
        <w:trPr>
          <w:cantSplit/>
        </w:trPr>
        <w:tc>
          <w:tcPr>
            <w:tcW w:type="dxa" w:w="567"/>
            <w:shd w:val="clear" w:color="auto" w:fill="FAFAFB"/>
            <w:vAlign w:val="center"/>
          </w:tcPr>
          <w:p>
            <w:pPr>
              <w:spacing w:after="20" w:line="252" w:lineRule="auto"/>
              <w:jc w:val="center"/>
            </w:pPr>
            <w:r>
              <w:rPr>
                <w:b/>
                <w:sz w:val="19"/>
              </w:rPr>
              <w:t>D</w:t>
            </w:r>
          </w:p>
        </w:tc>
        <w:tc>
          <w:tcPr>
            <w:tcW w:type="dxa" w:w="3175"/>
            <w:shd w:val="clear" w:color="auto" w:fill="FAFAFB"/>
            <w:vAlign w:val="center"/>
          </w:tcPr>
          <w:p>
            <w:pPr>
              <w:spacing w:after="20" w:line="252" w:lineRule="auto"/>
            </w:pPr>
            <w:r>
              <w:rPr>
                <w:sz w:val="19"/>
              </w:rPr>
              <w:t>Partner wholesale plan /mo</w:t>
            </w:r>
          </w:p>
        </w:tc>
        <w:tc>
          <w:tcPr>
            <w:tcW w:type="dxa" w:w="3628"/>
            <w:shd w:val="clear" w:color="auto" w:fill="FAFAFB"/>
            <w:vAlign w:val="center"/>
          </w:tcPr>
          <w:p>
            <w:pPr>
              <w:spacing w:after="20" w:line="252" w:lineRule="auto"/>
            </w:pPr>
            <w:r>
              <w:rPr>
                <w:sz w:val="19"/>
              </w:rPr>
              <w:t>R5,599 (or local currency)</w:t>
            </w:r>
          </w:p>
        </w:tc>
        <w:tc>
          <w:tcPr>
            <w:tcW w:type="dxa" w:w="2268"/>
            <w:shd w:val="clear" w:color="auto" w:fill="FAFAFB"/>
            <w:vAlign w:val="center"/>
          </w:tcPr>
          <w:p>
            <w:pPr>
              <w:spacing w:after="20" w:line="252" w:lineRule="auto"/>
              <w:jc w:val="right"/>
            </w:pPr>
            <w:r>
              <w:rPr>
                <w:b/>
                <w:color w:val="20242B"/>
                <w:sz w:val="19"/>
                <w:shd w:val="clear" w:color="auto" w:fill="FFF1A8"/>
              </w:rPr>
              <w:t>[[R ]]</w:t>
            </w:r>
          </w:p>
        </w:tc>
      </w:tr>
      <w:tr>
        <w:trPr>
          <w:cantSplit/>
        </w:trPr>
        <w:tc>
          <w:tcPr>
            <w:tcW w:type="dxa" w:w="567"/>
            <w:vAlign w:val="center"/>
          </w:tcPr>
          <w:p>
            <w:pPr>
              <w:spacing w:after="20" w:line="252" w:lineRule="auto"/>
              <w:jc w:val="center"/>
            </w:pPr>
            <w:r>
              <w:rPr>
                <w:b/>
                <w:sz w:val="19"/>
              </w:rPr>
              <w:t>E</w:t>
            </w:r>
          </w:p>
        </w:tc>
        <w:tc>
          <w:tcPr>
            <w:tcW w:type="dxa" w:w="3175"/>
            <w:vAlign w:val="center"/>
          </w:tcPr>
          <w:p>
            <w:pPr>
              <w:spacing w:after="20" w:line="252" w:lineRule="auto"/>
            </w:pPr>
            <w:r>
              <w:rPr>
                <w:sz w:val="19"/>
              </w:rPr>
              <w:t>Gross spread</w:t>
            </w:r>
          </w:p>
        </w:tc>
        <w:tc>
          <w:tcPr>
            <w:tcW w:type="dxa" w:w="3628"/>
            <w:vAlign w:val="center"/>
          </w:tcPr>
          <w:p>
            <w:pPr>
              <w:spacing w:after="20" w:line="252" w:lineRule="auto"/>
            </w:pPr>
            <w:r>
              <w:rPr>
                <w:sz w:val="19"/>
              </w:rPr>
              <w:t>C − D</w:t>
            </w:r>
          </w:p>
        </w:tc>
        <w:tc>
          <w:tcPr>
            <w:tcW w:type="dxa" w:w="2268"/>
            <w:vAlign w:val="center"/>
          </w:tcPr>
          <w:p>
            <w:pPr>
              <w:spacing w:after="20" w:line="252" w:lineRule="auto"/>
              <w:jc w:val="right"/>
            </w:pPr>
            <w:r>
              <w:rPr>
                <w:b/>
                <w:color w:val="20242B"/>
                <w:sz w:val="19"/>
                <w:shd w:val="clear" w:color="auto" w:fill="FFF1A8"/>
              </w:rPr>
              <w:t>[[R ]]</w:t>
            </w:r>
          </w:p>
        </w:tc>
      </w:tr>
      <w:tr>
        <w:trPr>
          <w:cantSplit/>
        </w:trPr>
        <w:tc>
          <w:tcPr>
            <w:tcW w:type="dxa" w:w="567"/>
            <w:shd w:val="clear" w:color="auto" w:fill="FAFAFB"/>
            <w:vAlign w:val="center"/>
          </w:tcPr>
          <w:p>
            <w:pPr>
              <w:spacing w:after="20" w:line="252" w:lineRule="auto"/>
              <w:jc w:val="center"/>
            </w:pPr>
            <w:r>
              <w:rPr>
                <w:b/>
                <w:sz w:val="19"/>
              </w:rPr>
              <w:t>F</w:t>
            </w:r>
          </w:p>
        </w:tc>
        <w:tc>
          <w:tcPr>
            <w:tcW w:type="dxa" w:w="3175"/>
            <w:shd w:val="clear" w:color="auto" w:fill="FAFAFB"/>
            <w:vAlign w:val="center"/>
          </w:tcPr>
          <w:p>
            <w:pPr>
              <w:spacing w:after="20" w:line="252" w:lineRule="auto"/>
            </w:pPr>
            <w:r>
              <w:rPr>
                <w:sz w:val="19"/>
              </w:rPr>
              <w:t>Your service costs /mo</w:t>
            </w:r>
          </w:p>
        </w:tc>
        <w:tc>
          <w:tcPr>
            <w:tcW w:type="dxa" w:w="3628"/>
            <w:shd w:val="clear" w:color="auto" w:fill="FAFAFB"/>
            <w:vAlign w:val="center"/>
          </w:tcPr>
          <w:p>
            <w:pPr>
              <w:spacing w:after="20" w:line="252" w:lineRule="auto"/>
            </w:pPr>
            <w:r>
              <w:rPr>
                <w:sz w:val="19"/>
              </w:rPr>
              <w:t>Team hours, design, ad management</w:t>
            </w:r>
          </w:p>
        </w:tc>
        <w:tc>
          <w:tcPr>
            <w:tcW w:type="dxa" w:w="2268"/>
            <w:shd w:val="clear" w:color="auto" w:fill="FAFAFB"/>
            <w:vAlign w:val="center"/>
          </w:tcPr>
          <w:p>
            <w:pPr>
              <w:spacing w:after="20" w:line="252" w:lineRule="auto"/>
              <w:jc w:val="right"/>
            </w:pPr>
            <w:r>
              <w:rPr>
                <w:b/>
                <w:color w:val="20242B"/>
                <w:sz w:val="19"/>
                <w:shd w:val="clear" w:color="auto" w:fill="FFF1A8"/>
              </w:rPr>
              <w:t>[[R ]]</w:t>
            </w:r>
          </w:p>
        </w:tc>
      </w:tr>
      <w:tr>
        <w:trPr>
          <w:cantSplit/>
        </w:trPr>
        <w:tc>
          <w:tcPr>
            <w:tcW w:type="dxa" w:w="567"/>
            <w:shd w:val="clear" w:color="auto" w:fill="FFF4EB"/>
            <w:vAlign w:val="center"/>
          </w:tcPr>
          <w:p>
            <w:pPr>
              <w:spacing w:after="20" w:line="252" w:lineRule="auto"/>
              <w:jc w:val="center"/>
            </w:pPr>
            <w:r>
              <w:rPr>
                <w:b/>
                <w:sz w:val="19"/>
              </w:rPr>
              <w:t>G</w:t>
            </w:r>
          </w:p>
        </w:tc>
        <w:tc>
          <w:tcPr>
            <w:tcW w:type="dxa" w:w="3175"/>
            <w:shd w:val="clear" w:color="auto" w:fill="FFF4EB"/>
            <w:vAlign w:val="center"/>
          </w:tcPr>
          <w:p>
            <w:pPr>
              <w:spacing w:after="20" w:line="252" w:lineRule="auto"/>
            </w:pPr>
            <w:r>
              <w:rPr>
                <w:b/>
                <w:sz w:val="19"/>
              </w:rPr>
              <w:t>Net contribution /mo</w:t>
            </w:r>
          </w:p>
        </w:tc>
        <w:tc>
          <w:tcPr>
            <w:tcW w:type="dxa" w:w="3628"/>
            <w:shd w:val="clear" w:color="auto" w:fill="FFF4EB"/>
            <w:vAlign w:val="center"/>
          </w:tcPr>
          <w:p>
            <w:pPr>
              <w:spacing w:after="20" w:line="252" w:lineRule="auto"/>
            </w:pPr>
            <w:r>
              <w:rPr>
                <w:b/>
                <w:sz w:val="19"/>
              </w:rPr>
              <w:t>E − F</w:t>
            </w:r>
          </w:p>
        </w:tc>
        <w:tc>
          <w:tcPr>
            <w:tcW w:type="dxa" w:w="2268"/>
            <w:shd w:val="clear" w:color="auto" w:fill="FFF4EB"/>
            <w:vAlign w:val="center"/>
          </w:tcPr>
          <w:p>
            <w:pPr>
              <w:spacing w:after="20" w:line="252" w:lineRule="auto"/>
              <w:jc w:val="right"/>
            </w:pPr>
            <w:r>
              <w:rPr>
                <w:b/>
                <w:color w:val="20242B"/>
                <w:sz w:val="19"/>
                <w:shd w:val="clear" w:color="auto" w:fill="FFF1A8"/>
              </w:rPr>
              <w:t>[[R ]]</w:t>
            </w:r>
          </w:p>
        </w:tc>
      </w:tr>
      <w:tr>
        <w:trPr>
          <w:cantSplit/>
        </w:trPr>
        <w:tc>
          <w:tcPr>
            <w:tcW w:type="dxa" w:w="567"/>
            <w:shd w:val="clear" w:color="auto" w:fill="FAFAFB"/>
            <w:vAlign w:val="center"/>
          </w:tcPr>
          <w:p>
            <w:pPr>
              <w:spacing w:after="20" w:line="252" w:lineRule="auto"/>
              <w:jc w:val="center"/>
            </w:pPr>
            <w:r>
              <w:rPr>
                <w:b/>
                <w:sz w:val="19"/>
              </w:rPr>
              <w:t>H</w:t>
            </w:r>
          </w:p>
        </w:tc>
        <w:tc>
          <w:tcPr>
            <w:tcW w:type="dxa" w:w="3175"/>
            <w:shd w:val="clear" w:color="auto" w:fill="FAFAFB"/>
            <w:vAlign w:val="center"/>
          </w:tcPr>
          <w:p>
            <w:pPr>
              <w:spacing w:after="20" w:line="252" w:lineRule="auto"/>
            </w:pPr>
            <w:r>
              <w:rPr>
                <w:sz w:val="19"/>
              </w:rPr>
              <w:t>Net contribution per client</w:t>
            </w:r>
          </w:p>
        </w:tc>
        <w:tc>
          <w:tcPr>
            <w:tcW w:type="dxa" w:w="3628"/>
            <w:shd w:val="clear" w:color="auto" w:fill="FAFAFB"/>
            <w:vAlign w:val="center"/>
          </w:tcPr>
          <w:p>
            <w:pPr>
              <w:spacing w:after="20" w:line="252" w:lineRule="auto"/>
            </w:pPr>
            <w:r>
              <w:rPr>
                <w:sz w:val="19"/>
              </w:rPr>
              <w:t>G ÷ A</w:t>
            </w:r>
          </w:p>
        </w:tc>
        <w:tc>
          <w:tcPr>
            <w:tcW w:type="dxa" w:w="2268"/>
            <w:shd w:val="clear" w:color="auto" w:fill="FAFAFB"/>
            <w:vAlign w:val="center"/>
          </w:tcPr>
          <w:p>
            <w:pPr>
              <w:spacing w:after="20" w:line="252" w:lineRule="auto"/>
              <w:jc w:val="right"/>
            </w:pPr>
            <w:r>
              <w:rPr>
                <w:b/>
                <w:color w:val="20242B"/>
                <w:sz w:val="19"/>
                <w:shd w:val="clear" w:color="auto" w:fill="FFF1A8"/>
              </w:rPr>
              <w:t>[[R ]]</w:t>
            </w:r>
          </w:p>
        </w:tc>
      </w:tr>
    </w:tbl>
    <w:p>
      <w:pPr>
        <w:spacing w:after="0" w:line="120" w:lineRule="exact"/>
      </w:pPr>
    </w:p>
    <w:p>
      <w:pPr>
        <w:pStyle w:val="Heading1"/>
      </w:pPr>
      <w:r>
        <w:rPr/>
        <w:t>5. Onboarding plan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30-day partner onboarding plan"/>
      </w:tblPr>
      <w:tblGrid>
        <w:gridCol w:w="907"/>
        <w:gridCol w:w="1927"/>
        <w:gridCol w:w="4762"/>
        <w:gridCol w:w="2040"/>
      </w:tblGrid>
      <w:tr>
        <w:trPr>
          <w:cantSplit/>
          <w:tblHeader/>
        </w:trPr>
        <w:tc>
          <w:tcPr>
            <w:tcW w:type="dxa" w:w="907"/>
            <w:shd w:val="clear" w:color="auto" w:fill="FF6A00"/>
            <w:vAlign w:val="center"/>
          </w:tcPr>
          <w:p>
            <w:pPr>
              <w:keepNext/>
              <w:spacing w:after="20" w:line="252" w:lineRule="auto"/>
            </w:pPr>
            <w:r>
              <w:rPr>
                <w:rFonts w:ascii="Poppins" w:hAnsi="Poppins" w:cs="Poppins" w:eastAsia="Poppins"/>
                <w:b/>
                <w:color w:val="20242B"/>
                <w:sz w:val="18"/>
              </w:rPr>
              <w:t>Days</w:t>
            </w:r>
          </w:p>
        </w:tc>
        <w:tc>
          <w:tcPr>
            <w:tcW w:type="dxa" w:w="1928"/>
            <w:shd w:val="clear" w:color="auto" w:fill="FF6A00"/>
            <w:vAlign w:val="center"/>
          </w:tcPr>
          <w:p>
            <w:pPr>
              <w:keepNext/>
              <w:spacing w:after="20" w:line="252" w:lineRule="auto"/>
            </w:pPr>
            <w:r>
              <w:rPr>
                <w:rFonts w:ascii="Poppins" w:hAnsi="Poppins" w:cs="Poppins" w:eastAsia="Poppins"/>
                <w:b/>
                <w:color w:val="20242B"/>
                <w:sz w:val="18"/>
              </w:rPr>
              <w:t>Focus</w:t>
            </w:r>
          </w:p>
        </w:tc>
        <w:tc>
          <w:tcPr>
            <w:tcW w:type="dxa" w:w="4762"/>
            <w:shd w:val="clear" w:color="auto" w:fill="FF6A00"/>
            <w:vAlign w:val="center"/>
          </w:tcPr>
          <w:p>
            <w:pPr>
              <w:keepNext/>
              <w:spacing w:after="20" w:line="252" w:lineRule="auto"/>
            </w:pPr>
            <w:r>
              <w:rPr>
                <w:rFonts w:ascii="Poppins" w:hAnsi="Poppins" w:cs="Poppins" w:eastAsia="Poppins"/>
                <w:b/>
                <w:color w:val="20242B"/>
                <w:sz w:val="18"/>
              </w:rPr>
              <w:t>Activities</w:t>
            </w:r>
          </w:p>
        </w:tc>
        <w:tc>
          <w:tcPr>
            <w:tcW w:type="dxa" w:w="2041"/>
            <w:shd w:val="clear" w:color="auto" w:fill="FF6A00"/>
            <w:vAlign w:val="center"/>
          </w:tcPr>
          <w:p>
            <w:pPr>
              <w:keepNext/>
              <w:spacing w:after="20" w:line="252" w:lineRule="auto"/>
            </w:pPr>
            <w:r>
              <w:rPr>
                <w:rFonts w:ascii="Poppins" w:hAnsi="Poppins" w:cs="Poppins" w:eastAsia="Poppins"/>
                <w:b/>
                <w:color w:val="20242B"/>
                <w:sz w:val="18"/>
              </w:rPr>
              <w:t>Output</w:t>
            </w:r>
          </w:p>
        </w:tc>
      </w:tr>
      <w:tr>
        <w:trPr>
          <w:cantSplit/>
        </w:trPr>
        <w:tc>
          <w:tcPr>
            <w:tcW w:type="dxa" w:w="907"/>
            <w:vAlign w:val="center"/>
          </w:tcPr>
          <w:p>
            <w:pPr>
              <w:spacing w:after="20" w:line="252" w:lineRule="auto"/>
            </w:pPr>
            <w:r>
              <w:rPr>
                <w:b/>
                <w:sz w:val="18"/>
              </w:rPr>
              <w:t>1–5</w:t>
            </w:r>
          </w:p>
        </w:tc>
        <w:tc>
          <w:tcPr>
            <w:tcW w:type="dxa" w:w="1928"/>
            <w:vAlign w:val="center"/>
          </w:tcPr>
          <w:p>
            <w:pPr>
              <w:spacing w:after="20" w:line="252" w:lineRule="auto"/>
            </w:pPr>
            <w:r>
              <w:rPr>
                <w:sz w:val="18"/>
              </w:rPr>
              <w:t>Kickoff and white-label</w:t>
            </w:r>
          </w:p>
        </w:tc>
        <w:tc>
          <w:tcPr>
            <w:tcW w:type="dxa" w:w="4762"/>
            <w:vAlign w:val="center"/>
          </w:tcPr>
          <w:p>
            <w:pPr>
              <w:spacing w:after="20" w:line="252" w:lineRule="auto"/>
            </w:pPr>
            <w:r>
              <w:rPr>
                <w:sz w:val="18"/>
              </w:rPr>
              <w:t xml:space="preserve">Partner workspace; white-label set-up (logo, colours, </w:t>
            </w:r>
            <w:r>
              <w:rPr>
                <w:b/>
                <w:color w:val="20242B"/>
                <w:sz w:val="18"/>
                <w:shd w:val="clear" w:color="auto" w:fill="FFF1A8"/>
              </w:rPr>
              <w:t>[[DOMAIN]]</w:t>
            </w:r>
            <w:r>
              <w:rPr>
                <w:sz w:val="18"/>
              </w:rPr>
              <w:t>); reseller billing and retail price list</w:t>
            </w:r>
          </w:p>
        </w:tc>
        <w:tc>
          <w:tcPr>
            <w:tcW w:type="dxa" w:w="2041"/>
            <w:vAlign w:val="center"/>
          </w:tcPr>
          <w:p>
            <w:pPr>
              <w:spacing w:after="20" w:line="252" w:lineRule="auto"/>
            </w:pPr>
            <w:r>
              <w:rPr>
                <w:sz w:val="18"/>
              </w:rPr>
              <w:t>Branded workspace ready</w:t>
            </w:r>
          </w:p>
        </w:tc>
      </w:tr>
      <w:tr>
        <w:trPr>
          <w:cantSplit/>
        </w:trPr>
        <w:tc>
          <w:tcPr>
            <w:tcW w:type="dxa" w:w="907"/>
            <w:shd w:val="clear" w:color="auto" w:fill="FAFAFB"/>
            <w:vAlign w:val="center"/>
          </w:tcPr>
          <w:p>
            <w:pPr>
              <w:spacing w:after="20" w:line="252" w:lineRule="auto"/>
            </w:pPr>
            <w:r>
              <w:rPr>
                <w:b/>
                <w:sz w:val="18"/>
              </w:rPr>
              <w:t>6–10</w:t>
            </w:r>
          </w:p>
        </w:tc>
        <w:tc>
          <w:tcPr>
            <w:tcW w:type="dxa" w:w="1928"/>
            <w:shd w:val="clear" w:color="auto" w:fill="FAFAFB"/>
            <w:vAlign w:val="center"/>
          </w:tcPr>
          <w:p>
            <w:pPr>
              <w:spacing w:after="20" w:line="252" w:lineRule="auto"/>
            </w:pPr>
            <w:r>
              <w:rPr>
                <w:sz w:val="18"/>
              </w:rPr>
              <w:t>Team training</w:t>
            </w:r>
          </w:p>
        </w:tc>
        <w:tc>
          <w:tcPr>
            <w:tcW w:type="dxa" w:w="4762"/>
            <w:shd w:val="clear" w:color="auto" w:fill="FAFAFB"/>
            <w:vAlign w:val="center"/>
          </w:tcPr>
          <w:p>
            <w:pPr>
              <w:spacing w:after="20" w:line="252" w:lineRule="auto"/>
            </w:pPr>
            <w:r>
              <w:rPr>
                <w:sz w:val="18"/>
              </w:rPr>
              <w:t>AI agents; WhatsApp Embedded Signup for clients; catalog and checkout; campaigns with approvals; reports</w:t>
            </w:r>
          </w:p>
        </w:tc>
        <w:tc>
          <w:tcPr>
            <w:tcW w:type="dxa" w:w="2041"/>
            <w:shd w:val="clear" w:color="auto" w:fill="FAFAFB"/>
            <w:vAlign w:val="center"/>
          </w:tcPr>
          <w:p>
            <w:pPr>
              <w:spacing w:after="20" w:line="252" w:lineRule="auto"/>
            </w:pPr>
            <w:r>
              <w:rPr>
                <w:b/>
                <w:color w:val="20242B"/>
                <w:sz w:val="18"/>
                <w:shd w:val="clear" w:color="auto" w:fill="FFF1A8"/>
              </w:rPr>
              <w:t>[[N]]</w:t>
            </w:r>
            <w:r>
              <w:rPr>
                <w:sz w:val="18"/>
              </w:rPr>
              <w:t xml:space="preserve"> team members trained</w:t>
            </w:r>
          </w:p>
        </w:tc>
      </w:tr>
      <w:tr>
        <w:trPr>
          <w:cantSplit/>
        </w:trPr>
        <w:tc>
          <w:tcPr>
            <w:tcW w:type="dxa" w:w="907"/>
            <w:vAlign w:val="center"/>
          </w:tcPr>
          <w:p>
            <w:pPr>
              <w:spacing w:after="20" w:line="252" w:lineRule="auto"/>
            </w:pPr>
            <w:r>
              <w:rPr>
                <w:b/>
                <w:sz w:val="18"/>
              </w:rPr>
              <w:t>11–20</w:t>
            </w:r>
          </w:p>
        </w:tc>
        <w:tc>
          <w:tcPr>
            <w:tcW w:type="dxa" w:w="1928"/>
            <w:vAlign w:val="center"/>
          </w:tcPr>
          <w:p>
            <w:pPr>
              <w:spacing w:after="20" w:line="252" w:lineRule="auto"/>
            </w:pPr>
            <w:r>
              <w:rPr>
                <w:sz w:val="18"/>
              </w:rPr>
              <w:t>First pilot client</w:t>
            </w:r>
          </w:p>
        </w:tc>
        <w:tc>
          <w:tcPr>
            <w:tcW w:type="dxa" w:w="4762"/>
            <w:vAlign w:val="center"/>
          </w:tcPr>
          <w:p>
            <w:pPr>
              <w:spacing w:after="20" w:line="252" w:lineRule="auto"/>
            </w:pPr>
            <w:r>
              <w:rPr>
                <w:sz w:val="18"/>
              </w:rPr>
              <w:t xml:space="preserve">Sub-account for </w:t>
            </w:r>
            <w:r>
              <w:rPr>
                <w:b/>
                <w:color w:val="20242B"/>
                <w:sz w:val="18"/>
                <w:shd w:val="clear" w:color="auto" w:fill="FFF1A8"/>
              </w:rPr>
              <w:t>[[PILOT CLIENT]]</w:t>
            </w:r>
            <w:r>
              <w:rPr>
                <w:sz w:val="18"/>
              </w:rPr>
              <w:t>; WhatsApp number, catalog, payment rail, content calendar; baseline agreed</w:t>
            </w:r>
          </w:p>
        </w:tc>
        <w:tc>
          <w:tcPr>
            <w:tcW w:type="dxa" w:w="2041"/>
            <w:vAlign w:val="center"/>
          </w:tcPr>
          <w:p>
            <w:pPr>
              <w:spacing w:after="20" w:line="252" w:lineRule="auto"/>
            </w:pPr>
            <w:r>
              <w:rPr>
                <w:sz w:val="18"/>
              </w:rPr>
              <w:t>First client live</w:t>
            </w:r>
          </w:p>
        </w:tc>
      </w:tr>
      <w:tr>
        <w:trPr>
          <w:cantSplit/>
        </w:trPr>
        <w:tc>
          <w:tcPr>
            <w:tcW w:type="dxa" w:w="907"/>
            <w:shd w:val="clear" w:color="auto" w:fill="FAFAFB"/>
            <w:vAlign w:val="center"/>
          </w:tcPr>
          <w:p>
            <w:pPr>
              <w:spacing w:after="20" w:line="252" w:lineRule="auto"/>
            </w:pPr>
            <w:r>
              <w:rPr>
                <w:b/>
                <w:sz w:val="18"/>
              </w:rPr>
              <w:t>21–30</w:t>
            </w:r>
          </w:p>
        </w:tc>
        <w:tc>
          <w:tcPr>
            <w:tcW w:type="dxa" w:w="1928"/>
            <w:shd w:val="clear" w:color="auto" w:fill="FAFAFB"/>
            <w:vAlign w:val="center"/>
          </w:tcPr>
          <w:p>
            <w:pPr>
              <w:spacing w:after="20" w:line="252" w:lineRule="auto"/>
            </w:pPr>
            <w:r>
              <w:rPr>
                <w:sz w:val="18"/>
              </w:rPr>
              <w:t>Report and plan</w:t>
            </w:r>
          </w:p>
        </w:tc>
        <w:tc>
          <w:tcPr>
            <w:tcW w:type="dxa" w:w="4762"/>
            <w:shd w:val="clear" w:color="auto" w:fill="FAFAFB"/>
            <w:vAlign w:val="center"/>
          </w:tcPr>
          <w:p>
            <w:pPr>
              <w:spacing w:after="20" w:line="252" w:lineRule="auto"/>
            </w:pPr>
            <w:r>
              <w:rPr>
                <w:sz w:val="18"/>
              </w:rPr>
              <w:t xml:space="preserve">First white-label report; review with FluxMuse; plan for the next </w:t>
            </w:r>
            <w:r>
              <w:rPr>
                <w:b/>
                <w:color w:val="20242B"/>
                <w:sz w:val="18"/>
                <w:shd w:val="clear" w:color="auto" w:fill="FFF1A8"/>
              </w:rPr>
              <w:t>[[N]]</w:t>
            </w:r>
            <w:r>
              <w:rPr>
                <w:sz w:val="18"/>
              </w:rPr>
              <w:t xml:space="preserve"> clients</w:t>
            </w:r>
          </w:p>
        </w:tc>
        <w:tc>
          <w:tcPr>
            <w:tcW w:type="dxa" w:w="2041"/>
            <w:shd w:val="clear" w:color="auto" w:fill="FAFAFB"/>
            <w:vAlign w:val="center"/>
          </w:tcPr>
          <w:p>
            <w:pPr>
              <w:spacing w:after="20" w:line="252" w:lineRule="auto"/>
            </w:pPr>
            <w:r>
              <w:rPr>
                <w:sz w:val="18"/>
              </w:rPr>
              <w:t>Partner growth plan</w:t>
            </w:r>
          </w:p>
        </w:tc>
      </w:tr>
    </w:tbl>
    <w:p>
      <w:pPr>
        <w:spacing w:after="0" w:line="120" w:lineRule="exact"/>
      </w:pPr>
    </w:p>
    <w:p>
      <w:pPr>
        <w:pStyle w:val="Heading1"/>
      </w:pPr>
      <w:r>
        <w:rPr/>
        <w:t>6. Co-marketing</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arketing activities"/>
      </w:tblPr>
      <w:tblGrid>
        <w:gridCol w:w="2040"/>
        <w:gridCol w:w="2834"/>
        <w:gridCol w:w="2721"/>
        <w:gridCol w:w="2040"/>
      </w:tblGrid>
      <w:tr>
        <w:trPr>
          <w:cantSplit/>
          <w:tblHeader/>
        </w:trPr>
        <w:tc>
          <w:tcPr>
            <w:tcW w:type="dxa" w:w="2041"/>
            <w:shd w:val="clear" w:color="auto" w:fill="FF6A00"/>
            <w:vAlign w:val="center"/>
          </w:tcPr>
          <w:p>
            <w:pPr>
              <w:keepNext/>
              <w:spacing w:after="20" w:line="252" w:lineRule="auto"/>
            </w:pPr>
            <w:r>
              <w:rPr>
                <w:rFonts w:ascii="Poppins" w:hAnsi="Poppins" w:cs="Poppins" w:eastAsia="Poppins"/>
                <w:b/>
                <w:color w:val="20242B"/>
                <w:sz w:val="18"/>
              </w:rPr>
              <w:t>Activity</w:t>
            </w:r>
          </w:p>
        </w:tc>
        <w:tc>
          <w:tcPr>
            <w:tcW w:type="dxa" w:w="2835"/>
            <w:shd w:val="clear" w:color="auto" w:fill="FF6A00"/>
            <w:vAlign w:val="center"/>
          </w:tcPr>
          <w:p>
            <w:pPr>
              <w:keepNext/>
              <w:spacing w:after="20" w:line="252" w:lineRule="auto"/>
            </w:pPr>
            <w:r>
              <w:rPr>
                <w:rFonts w:ascii="Poppins" w:hAnsi="Poppins" w:cs="Poppins" w:eastAsia="Poppins"/>
                <w:b/>
                <w:color w:val="20242B"/>
                <w:sz w:val="18"/>
              </w:rPr>
              <w:t>FluxMuse provides</w:t>
            </w:r>
          </w:p>
        </w:tc>
        <w:tc>
          <w:tcPr>
            <w:tcW w:type="dxa" w:w="2721"/>
            <w:shd w:val="clear" w:color="auto" w:fill="FF6A00"/>
            <w:vAlign w:val="center"/>
          </w:tcPr>
          <w:p>
            <w:pPr>
              <w:keepNext/>
              <w:spacing w:after="20" w:line="252" w:lineRule="auto"/>
            </w:pPr>
            <w:r>
              <w:rPr>
                <w:rFonts w:ascii="Poppins" w:hAnsi="Poppins" w:cs="Poppins" w:eastAsia="Poppins"/>
                <w:b/>
                <w:color w:val="20242B"/>
                <w:sz w:val="18"/>
                <w:shd w:val="clear" w:color="auto" w:fill="FFF1A8"/>
              </w:rPr>
              <w:t>[[AGENCY NAME]]</w:t>
            </w:r>
            <w:r>
              <w:rPr>
                <w:rFonts w:ascii="Poppins" w:hAnsi="Poppins" w:cs="Poppins" w:eastAsia="Poppins"/>
                <w:b/>
                <w:color w:val="20242B"/>
                <w:sz w:val="18"/>
              </w:rPr>
              <w:t xml:space="preserve"> provides</w:t>
            </w:r>
          </w:p>
        </w:tc>
        <w:tc>
          <w:tcPr>
            <w:tcW w:type="dxa" w:w="2041"/>
            <w:shd w:val="clear" w:color="auto" w:fill="FF6A00"/>
            <w:vAlign w:val="center"/>
          </w:tcPr>
          <w:p>
            <w:pPr>
              <w:keepNext/>
              <w:spacing w:after="20" w:line="252" w:lineRule="auto"/>
            </w:pPr>
            <w:r>
              <w:rPr>
                <w:rFonts w:ascii="Poppins" w:hAnsi="Poppins" w:cs="Poppins" w:eastAsia="Poppins"/>
                <w:b/>
                <w:color w:val="20242B"/>
                <w:sz w:val="18"/>
              </w:rPr>
              <w:t>Status</w:t>
            </w:r>
          </w:p>
        </w:tc>
      </w:tr>
      <w:tr>
        <w:trPr>
          <w:cantSplit/>
        </w:trPr>
        <w:tc>
          <w:tcPr>
            <w:tcW w:type="dxa" w:w="2041"/>
            <w:vAlign w:val="center"/>
          </w:tcPr>
          <w:p>
            <w:pPr>
              <w:spacing w:after="20" w:line="252" w:lineRule="auto"/>
            </w:pPr>
            <w:r>
              <w:rPr>
                <w:b/>
                <w:sz w:val="18"/>
              </w:rPr>
              <w:t>Partner directory listing</w:t>
            </w:r>
          </w:p>
        </w:tc>
        <w:tc>
          <w:tcPr>
            <w:tcW w:type="dxa" w:w="2835"/>
            <w:vAlign w:val="center"/>
          </w:tcPr>
          <w:p>
            <w:pPr>
              <w:spacing w:after="20" w:line="252" w:lineRule="auto"/>
            </w:pPr>
            <w:r>
              <w:rPr>
                <w:sz w:val="18"/>
              </w:rPr>
              <w:t>Listing and profile</w:t>
            </w:r>
          </w:p>
        </w:tc>
        <w:tc>
          <w:tcPr>
            <w:tcW w:type="dxa" w:w="2721"/>
            <w:vAlign w:val="center"/>
          </w:tcPr>
          <w:p>
            <w:pPr>
              <w:spacing w:after="20" w:line="252" w:lineRule="auto"/>
            </w:pPr>
            <w:r>
              <w:rPr>
                <w:sz w:val="18"/>
              </w:rPr>
              <w:t>Services, areas, contact</w:t>
            </w:r>
          </w:p>
        </w:tc>
        <w:tc>
          <w:tcPr>
            <w:tcW w:type="dxa" w:w="2041"/>
            <w:vAlign w:val="center"/>
          </w:tcPr>
          <w:p>
            <w:pPr>
              <w:spacing w:after="20" w:line="252" w:lineRule="auto"/>
            </w:pPr>
            <w:r>
              <w:rPr>
                <w:sz w:val="18"/>
              </w:rPr>
              <w:t>Live feature</w:t>
            </w:r>
          </w:p>
        </w:tc>
      </w:tr>
      <w:tr>
        <w:trPr>
          <w:cantSplit/>
        </w:trPr>
        <w:tc>
          <w:tcPr>
            <w:tcW w:type="dxa" w:w="2041"/>
            <w:shd w:val="clear" w:color="auto" w:fill="FAFAFB"/>
            <w:vAlign w:val="center"/>
          </w:tcPr>
          <w:p>
            <w:pPr>
              <w:spacing w:after="20" w:line="252" w:lineRule="auto"/>
            </w:pPr>
            <w:r>
              <w:rPr>
                <w:b/>
                <w:sz w:val="18"/>
              </w:rPr>
              <w:t>Sales materials</w:t>
            </w:r>
          </w:p>
        </w:tc>
        <w:tc>
          <w:tcPr>
            <w:tcW w:type="dxa" w:w="2835"/>
            <w:shd w:val="clear" w:color="auto" w:fill="FAFAFB"/>
            <w:vAlign w:val="center"/>
          </w:tcPr>
          <w:p>
            <w:pPr>
              <w:spacing w:after="20" w:line="252" w:lineRule="auto"/>
            </w:pPr>
            <w:r>
              <w:rPr>
                <w:sz w:val="18"/>
              </w:rPr>
              <w:t xml:space="preserve">Brand kit, pitch deck and proposal templates (white-label versions </w:t>
            </w:r>
            <w:r>
              <w:rPr>
                <w:b/>
                <w:color w:val="20242B"/>
                <w:sz w:val="18"/>
                <w:shd w:val="clear" w:color="auto" w:fill="FFF1A8"/>
              </w:rPr>
              <w:t>[[TBC]]</w:t>
            </w:r>
            <w:r>
              <w:rPr>
                <w:sz w:val="18"/>
              </w:rPr>
              <w:t>)</w:t>
            </w:r>
          </w:p>
        </w:tc>
        <w:tc>
          <w:tcPr>
            <w:tcW w:type="dxa" w:w="2721"/>
            <w:shd w:val="clear" w:color="auto" w:fill="FAFAFB"/>
            <w:vAlign w:val="center"/>
          </w:tcPr>
          <w:p>
            <w:pPr>
              <w:spacing w:after="20" w:line="252" w:lineRule="auto"/>
            </w:pPr>
            <w:r>
              <w:rPr>
                <w:sz w:val="18"/>
              </w:rPr>
              <w:t>Your branding and offer</w:t>
            </w:r>
          </w:p>
        </w:tc>
        <w:tc>
          <w:tcPr>
            <w:tcW w:type="dxa" w:w="2041"/>
            <w:shd w:val="clear" w:color="auto" w:fill="FAFAFB"/>
            <w:vAlign w:val="center"/>
          </w:tcPr>
          <w:p>
            <w:pPr>
              <w:spacing w:after="20" w:line="252" w:lineRule="auto"/>
            </w:pPr>
            <w:r>
              <w:rPr>
                <w:b/>
                <w:color w:val="20242B"/>
                <w:sz w:val="18"/>
                <w:shd w:val="clear" w:color="auto" w:fill="FFF1A8"/>
              </w:rPr>
              <w:t>[[TBC]]</w:t>
            </w:r>
          </w:p>
        </w:tc>
      </w:tr>
      <w:tr>
        <w:trPr>
          <w:cantSplit/>
        </w:trPr>
        <w:tc>
          <w:tcPr>
            <w:tcW w:type="dxa" w:w="2041"/>
            <w:vAlign w:val="center"/>
          </w:tcPr>
          <w:p>
            <w:pPr>
              <w:spacing w:after="20" w:line="252" w:lineRule="auto"/>
            </w:pPr>
            <w:r>
              <w:rPr>
                <w:b/>
                <w:sz w:val="18"/>
              </w:rPr>
              <w:t>Joint case study</w:t>
            </w:r>
          </w:p>
        </w:tc>
        <w:tc>
          <w:tcPr>
            <w:tcW w:type="dxa" w:w="2835"/>
            <w:vAlign w:val="center"/>
          </w:tcPr>
          <w:p>
            <w:pPr>
              <w:spacing w:after="20" w:line="252" w:lineRule="auto"/>
            </w:pPr>
            <w:r>
              <w:rPr>
                <w:sz w:val="18"/>
              </w:rPr>
              <w:t>Case-study format and design</w:t>
            </w:r>
          </w:p>
        </w:tc>
        <w:tc>
          <w:tcPr>
            <w:tcW w:type="dxa" w:w="2721"/>
            <w:vAlign w:val="center"/>
          </w:tcPr>
          <w:p>
            <w:pPr>
              <w:spacing w:after="20" w:line="252" w:lineRule="auto"/>
            </w:pPr>
            <w:r>
              <w:rPr>
                <w:sz w:val="18"/>
              </w:rPr>
              <w:t>First client's results and written consent</w:t>
            </w:r>
          </w:p>
        </w:tc>
        <w:tc>
          <w:tcPr>
            <w:tcW w:type="dxa" w:w="2041"/>
            <w:vAlign w:val="center"/>
          </w:tcPr>
          <w:p>
            <w:pPr>
              <w:spacing w:after="20" w:line="252" w:lineRule="auto"/>
            </w:pPr>
            <w:r>
              <w:rPr>
                <w:sz w:val="18"/>
              </w:rPr>
              <w:t>After 60 days</w:t>
            </w:r>
          </w:p>
        </w:tc>
      </w:tr>
      <w:tr>
        <w:trPr>
          <w:cantSplit/>
        </w:trPr>
        <w:tc>
          <w:tcPr>
            <w:tcW w:type="dxa" w:w="2041"/>
            <w:shd w:val="clear" w:color="auto" w:fill="FAFAFB"/>
            <w:vAlign w:val="center"/>
          </w:tcPr>
          <w:p>
            <w:pPr>
              <w:spacing w:after="20" w:line="252" w:lineRule="auto"/>
            </w:pPr>
            <w:r>
              <w:rPr>
                <w:b/>
                <w:sz w:val="18"/>
              </w:rPr>
              <w:t>Webinar or workshop</w:t>
            </w:r>
          </w:p>
        </w:tc>
        <w:tc>
          <w:tcPr>
            <w:tcW w:type="dxa" w:w="2835"/>
            <w:shd w:val="clear" w:color="auto" w:fill="FAFAFB"/>
            <w:vAlign w:val="center"/>
          </w:tcPr>
          <w:p>
            <w:pPr>
              <w:spacing w:after="20" w:line="252" w:lineRule="auto"/>
            </w:pPr>
            <w:r>
              <w:rPr>
                <w:sz w:val="18"/>
              </w:rPr>
              <w:t>Speaker and demo</w:t>
            </w:r>
          </w:p>
        </w:tc>
        <w:tc>
          <w:tcPr>
            <w:tcW w:type="dxa" w:w="2721"/>
            <w:shd w:val="clear" w:color="auto" w:fill="FAFAFB"/>
            <w:vAlign w:val="center"/>
          </w:tcPr>
          <w:p>
            <w:pPr>
              <w:spacing w:after="20" w:line="252" w:lineRule="auto"/>
            </w:pPr>
            <w:r>
              <w:rPr>
                <w:sz w:val="18"/>
              </w:rPr>
              <w:t>Audience and venue</w:t>
            </w:r>
          </w:p>
        </w:tc>
        <w:tc>
          <w:tcPr>
            <w:tcW w:type="dxa" w:w="2041"/>
            <w:shd w:val="clear" w:color="auto" w:fill="FAFAFB"/>
            <w:vAlign w:val="center"/>
          </w:tcPr>
          <w:p>
            <w:pPr>
              <w:spacing w:after="20" w:line="252" w:lineRule="auto"/>
            </w:pPr>
            <w:r>
              <w:rPr>
                <w:b/>
                <w:color w:val="20242B"/>
                <w:sz w:val="18"/>
                <w:shd w:val="clear" w:color="auto" w:fill="FFF1A8"/>
              </w:rPr>
              <w:t>[[TBC]]</w:t>
            </w:r>
          </w:p>
        </w:tc>
      </w:tr>
      <w:tr>
        <w:trPr>
          <w:cantSplit/>
        </w:trPr>
        <w:tc>
          <w:tcPr>
            <w:tcW w:type="dxa" w:w="2041"/>
            <w:vAlign w:val="center"/>
          </w:tcPr>
          <w:p>
            <w:pPr>
              <w:spacing w:after="20" w:line="252" w:lineRule="auto"/>
            </w:pPr>
            <w:r>
              <w:rPr>
                <w:b/>
                <w:sz w:val="18"/>
              </w:rPr>
              <w:t>Referral leads</w:t>
            </w:r>
          </w:p>
        </w:tc>
        <w:tc>
          <w:tcPr>
            <w:tcW w:type="dxa" w:w="2835"/>
            <w:vAlign w:val="center"/>
          </w:tcPr>
          <w:p>
            <w:pPr>
              <w:spacing w:after="20" w:line="252" w:lineRule="auto"/>
            </w:pPr>
            <w:r>
              <w:rPr>
                <w:sz w:val="18"/>
              </w:rPr>
              <w:t>Leads that need an agency</w:t>
            </w:r>
          </w:p>
        </w:tc>
        <w:tc>
          <w:tcPr>
            <w:tcW w:type="dxa" w:w="2721"/>
            <w:vAlign w:val="center"/>
          </w:tcPr>
          <w:p>
            <w:pPr>
              <w:spacing w:after="20" w:line="252" w:lineRule="auto"/>
            </w:pPr>
            <w:r>
              <w:rPr>
                <w:sz w:val="18"/>
              </w:rPr>
              <w:t xml:space="preserve">Follow-up within </w:t>
            </w:r>
            <w:r>
              <w:rPr>
                <w:b/>
                <w:color w:val="20242B"/>
                <w:sz w:val="18"/>
                <w:shd w:val="clear" w:color="auto" w:fill="FFF1A8"/>
              </w:rPr>
              <w:t>[[N]]</w:t>
            </w:r>
            <w:r>
              <w:rPr>
                <w:sz w:val="18"/>
              </w:rPr>
              <w:t xml:space="preserve"> days</w:t>
            </w:r>
          </w:p>
        </w:tc>
        <w:tc>
          <w:tcPr>
            <w:tcW w:type="dxa" w:w="2041"/>
            <w:vAlign w:val="center"/>
          </w:tcPr>
          <w:p>
            <w:pPr>
              <w:spacing w:after="20" w:line="252" w:lineRule="auto"/>
            </w:pPr>
            <w:r>
              <w:rPr>
                <w:b/>
                <w:color w:val="20242B"/>
                <w:sz w:val="18"/>
                <w:shd w:val="clear" w:color="auto" w:fill="FFF1A8"/>
              </w:rPr>
              <w:t>[[FOUNDER DECISION]]</w:t>
            </w:r>
          </w:p>
        </w:tc>
      </w:tr>
      <w:tr>
        <w:trPr>
          <w:cantSplit/>
        </w:trPr>
        <w:tc>
          <w:tcPr>
            <w:tcW w:type="dxa" w:w="2041"/>
            <w:shd w:val="clear" w:color="auto" w:fill="FAFAFB"/>
            <w:vAlign w:val="center"/>
          </w:tcPr>
          <w:p>
            <w:pPr>
              <w:spacing w:after="20" w:line="252" w:lineRule="auto"/>
            </w:pPr>
            <w:r>
              <w:rPr>
                <w:b/>
                <w:sz w:val="18"/>
              </w:rPr>
              <w:t>Launch announcement</w:t>
            </w:r>
          </w:p>
        </w:tc>
        <w:tc>
          <w:tcPr>
            <w:tcW w:type="dxa" w:w="2835"/>
            <w:shd w:val="clear" w:color="auto" w:fill="FAFAFB"/>
            <w:vAlign w:val="center"/>
          </w:tcPr>
          <w:p>
            <w:pPr>
              <w:spacing w:after="20" w:line="252" w:lineRule="auto"/>
            </w:pPr>
            <w:r>
              <w:rPr>
                <w:sz w:val="18"/>
              </w:rPr>
              <w:t>Social post and newsletter mention</w:t>
            </w:r>
          </w:p>
        </w:tc>
        <w:tc>
          <w:tcPr>
            <w:tcW w:type="dxa" w:w="2721"/>
            <w:shd w:val="clear" w:color="auto" w:fill="FAFAFB"/>
            <w:vAlign w:val="center"/>
          </w:tcPr>
          <w:p>
            <w:pPr>
              <w:spacing w:after="20" w:line="252" w:lineRule="auto"/>
            </w:pPr>
            <w:r>
              <w:rPr>
                <w:sz w:val="18"/>
              </w:rPr>
              <w:t>Joint post</w:t>
            </w:r>
          </w:p>
        </w:tc>
        <w:tc>
          <w:tcPr>
            <w:tcW w:type="dxa" w:w="2041"/>
            <w:shd w:val="clear" w:color="auto" w:fill="FAFAFB"/>
            <w:vAlign w:val="center"/>
          </w:tcPr>
          <w:p>
            <w:pPr>
              <w:spacing w:after="20" w:line="252" w:lineRule="auto"/>
            </w:pPr>
            <w:r>
              <w:rPr>
                <w:b/>
                <w:color w:val="20242B"/>
                <w:sz w:val="18"/>
                <w:shd w:val="clear" w:color="auto" w:fill="FFF1A8"/>
              </w:rPr>
              <w:t>[[TBC]]</w:t>
            </w:r>
          </w:p>
        </w:tc>
      </w:tr>
    </w:tbl>
    <w:p>
      <w:pPr>
        <w:spacing w:after="0" w:line="120" w:lineRule="exact"/>
      </w:pPr>
    </w:p>
    <w:p>
      <w:pPr>
        <w:pStyle w:val="Heading1"/>
      </w:pPr>
      <w:r>
        <w:rPr/>
        <w:t>7. Referral commission</w:t>
      </w:r>
    </w:p>
    <w:p>
      <w:r>
        <w:rPr/>
        <w:t>Some businesses a partner introduces may prefer their own Starter, Growth or Scale subscription instead of a sub-account. For those referrals: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eferral commission terms"/>
      </w:tblPr>
      <w:tblGrid>
        <w:gridCol w:w="2834"/>
        <w:gridCol w:w="6803"/>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9"/>
              </w:rPr>
              <w:t>Item</w:t>
            </w:r>
          </w:p>
        </w:tc>
        <w:tc>
          <w:tcPr>
            <w:tcW w:type="dxa" w:w="6803"/>
            <w:shd w:val="clear" w:color="auto" w:fill="FF6A00"/>
            <w:vAlign w:val="center"/>
          </w:tcPr>
          <w:p>
            <w:pPr>
              <w:keepNext/>
              <w:spacing w:after="20" w:line="252" w:lineRule="auto"/>
            </w:pPr>
            <w:r>
              <w:rPr>
                <w:rFonts w:ascii="Poppins" w:hAnsi="Poppins" w:cs="Poppins" w:eastAsia="Poppins"/>
                <w:b/>
                <w:color w:val="20242B"/>
                <w:sz w:val="19"/>
              </w:rPr>
              <w:t>Position</w:t>
            </w:r>
          </w:p>
        </w:tc>
      </w:tr>
      <w:tr>
        <w:trPr>
          <w:cantSplit/>
        </w:trPr>
        <w:tc>
          <w:tcPr>
            <w:tcW w:type="dxa" w:w="2835"/>
            <w:vAlign w:val="center"/>
          </w:tcPr>
          <w:p>
            <w:pPr>
              <w:spacing w:after="20" w:line="252" w:lineRule="auto"/>
            </w:pPr>
            <w:r>
              <w:rPr>
                <w:b/>
                <w:sz w:val="19"/>
              </w:rPr>
              <w:t>Commission rate</w:t>
            </w:r>
          </w:p>
        </w:tc>
        <w:tc>
          <w:tcPr>
            <w:tcW w:type="dxa" w:w="6803"/>
            <w:vAlign w:val="center"/>
          </w:tcPr>
          <w:p>
            <w:pPr>
              <w:spacing w:after="20" w:line="252" w:lineRule="auto"/>
            </w:pPr>
            <w:r>
              <w:rPr>
                <w:b/>
                <w:color w:val="20242B"/>
                <w:sz w:val="19"/>
                <w:shd w:val="clear" w:color="auto" w:fill="FFF1A8"/>
              </w:rPr>
              <w:t>[[FOUNDER DECISION: referral commission %]]</w:t>
            </w:r>
          </w:p>
        </w:tc>
      </w:tr>
      <w:tr>
        <w:trPr>
          <w:cantSplit/>
        </w:trPr>
        <w:tc>
          <w:tcPr>
            <w:tcW w:type="dxa" w:w="2835"/>
            <w:shd w:val="clear" w:color="auto" w:fill="FAFAFB"/>
            <w:vAlign w:val="center"/>
          </w:tcPr>
          <w:p>
            <w:pPr>
              <w:spacing w:after="20" w:line="252" w:lineRule="auto"/>
            </w:pPr>
            <w:r>
              <w:rPr>
                <w:b/>
                <w:sz w:val="19"/>
              </w:rPr>
              <w:t>Basis and duration</w:t>
            </w:r>
          </w:p>
        </w:tc>
        <w:tc>
          <w:tcPr>
            <w:tcW w:type="dxa" w:w="6803"/>
            <w:shd w:val="clear" w:color="auto" w:fill="FAFAFB"/>
            <w:vAlign w:val="center"/>
          </w:tcPr>
          <w:p>
            <w:pPr>
              <w:spacing w:after="20" w:line="252" w:lineRule="auto"/>
            </w:pPr>
            <w:r>
              <w:rPr>
                <w:b/>
                <w:color w:val="20242B"/>
                <w:sz w:val="19"/>
                <w:shd w:val="clear" w:color="auto" w:fill="FFF1A8"/>
              </w:rPr>
              <w:t>[[FOUNDER DECISION: e.g. first-year subscription fees]]</w:t>
            </w:r>
          </w:p>
        </w:tc>
      </w:tr>
      <w:tr>
        <w:trPr>
          <w:cantSplit/>
        </w:trPr>
        <w:tc>
          <w:tcPr>
            <w:tcW w:type="dxa" w:w="2835"/>
            <w:vAlign w:val="center"/>
          </w:tcPr>
          <w:p>
            <w:pPr>
              <w:spacing w:after="20" w:line="252" w:lineRule="auto"/>
            </w:pPr>
            <w:r>
              <w:rPr>
                <w:b/>
                <w:sz w:val="19"/>
              </w:rPr>
              <w:t>Payout timing and method</w:t>
            </w:r>
          </w:p>
        </w:tc>
        <w:tc>
          <w:tcPr>
            <w:tcW w:type="dxa" w:w="6803"/>
            <w:vAlign w:val="center"/>
          </w:tcPr>
          <w:p>
            <w:pPr>
              <w:spacing w:after="20" w:line="252" w:lineRule="auto"/>
            </w:pPr>
            <w:r>
              <w:rPr>
                <w:b/>
                <w:color w:val="20242B"/>
                <w:sz w:val="19"/>
                <w:shd w:val="clear" w:color="auto" w:fill="FFF1A8"/>
              </w:rPr>
              <w:t>[[FOUNDER DECISION]]</w:t>
            </w:r>
          </w:p>
        </w:tc>
      </w:tr>
      <w:tr>
        <w:trPr>
          <w:cantSplit/>
        </w:trPr>
        <w:tc>
          <w:tcPr>
            <w:tcW w:type="dxa" w:w="2835"/>
            <w:shd w:val="clear" w:color="auto" w:fill="FAFAFB"/>
            <w:vAlign w:val="center"/>
          </w:tcPr>
          <w:p>
            <w:pPr>
              <w:spacing w:after="20" w:line="252" w:lineRule="auto"/>
            </w:pPr>
            <w:r>
              <w:rPr>
                <w:b/>
                <w:sz w:val="19"/>
              </w:rPr>
              <w:t>Tracking</w:t>
            </w:r>
          </w:p>
        </w:tc>
        <w:tc>
          <w:tcPr>
            <w:tcW w:type="dxa" w:w="6803"/>
            <w:shd w:val="clear" w:color="auto" w:fill="FAFAFB"/>
            <w:vAlign w:val="center"/>
          </w:tcPr>
          <w:p>
            <w:pPr>
              <w:spacing w:after="20" w:line="252" w:lineRule="auto"/>
            </w:pPr>
            <w:r>
              <w:rPr>
                <w:sz w:val="19"/>
              </w:rPr>
              <w:t xml:space="preserve">Referral tracking is on the roadmap; interim tracking: </w:t>
            </w:r>
            <w:r>
              <w:rPr>
                <w:b/>
                <w:color w:val="20242B"/>
                <w:sz w:val="19"/>
                <w:shd w:val="clear" w:color="auto" w:fill="FFF1A8"/>
              </w:rPr>
              <w:t>[[TBC]]</w:t>
            </w:r>
          </w:p>
        </w:tc>
      </w:tr>
    </w:tbl>
    <w:p>
      <w:pPr>
        <w:spacing w:after="0" w:line="120" w:lineRule="exact"/>
      </w:pPr>
    </w:p>
    <w:p>
      <w:r>
        <w:rPr>
          <w:sz w:val="19"/>
        </w:rPr>
        <w:t>Referral commission is separate from wholesale pricing and isn't a discount on the partner's own plan.</w:t>
      </w:r>
    </w:p>
    <w:p>
      <w:pPr>
        <w:pStyle w:val="Heading1"/>
      </w:pPr>
      <w:r>
        <w:rPr/>
        <w:t xml:space="preserve">8. Partner obligations </w:t>
      </w:r>
      <w:r>
        <w:rPr>
          <w:b/>
          <w:color w:val="20242B"/>
          <w:shd w:val="clear" w:color="auto" w:fill="FFF1A8"/>
        </w:rPr>
        <w:t>[[TBC]]</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rtner obligation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Obligation</w:t>
            </w:r>
          </w:p>
        </w:tc>
        <w:tc>
          <w:tcPr>
            <w:tcW w:type="dxa" w:w="7030"/>
            <w:shd w:val="clear" w:color="auto" w:fill="FF6A00"/>
            <w:vAlign w:val="center"/>
          </w:tcPr>
          <w:p>
            <w:pPr>
              <w:keepNext/>
              <w:spacing w:after="20" w:line="252" w:lineRule="auto"/>
            </w:pPr>
            <w:r>
              <w:rPr>
                <w:rFonts w:ascii="Poppins" w:hAnsi="Poppins" w:cs="Poppins" w:eastAsia="Poppins"/>
                <w:b/>
                <w:color w:val="20242B"/>
                <w:sz w:val="19"/>
              </w:rPr>
              <w:t>Detail</w:t>
            </w:r>
          </w:p>
        </w:tc>
      </w:tr>
      <w:tr>
        <w:trPr>
          <w:cantSplit/>
        </w:trPr>
        <w:tc>
          <w:tcPr>
            <w:tcW w:type="dxa" w:w="2608"/>
            <w:vAlign w:val="center"/>
          </w:tcPr>
          <w:p>
            <w:pPr>
              <w:spacing w:after="20" w:line="252" w:lineRule="auto"/>
            </w:pPr>
            <w:r>
              <w:rPr>
                <w:b/>
                <w:sz w:val="19"/>
              </w:rPr>
              <w:t>Minimum commitment</w:t>
            </w:r>
          </w:p>
        </w:tc>
        <w:tc>
          <w:tcPr>
            <w:tcW w:type="dxa" w:w="7030"/>
            <w:vAlign w:val="center"/>
          </w:tcPr>
          <w:p>
            <w:pPr>
              <w:spacing w:after="20" w:line="252" w:lineRule="auto"/>
            </w:pPr>
            <w:r>
              <w:rPr>
                <w:b/>
                <w:color w:val="20242B"/>
                <w:sz w:val="19"/>
                <w:shd w:val="clear" w:color="auto" w:fill="FFF1A8"/>
              </w:rPr>
              <w:t>[[TBC: e.g. minimum active client sub-accounts after 90 days]]</w:t>
            </w:r>
          </w:p>
        </w:tc>
      </w:tr>
      <w:tr>
        <w:trPr>
          <w:cantSplit/>
        </w:trPr>
        <w:tc>
          <w:tcPr>
            <w:tcW w:type="dxa" w:w="2608"/>
            <w:shd w:val="clear" w:color="auto" w:fill="FAFAFB"/>
            <w:vAlign w:val="center"/>
          </w:tcPr>
          <w:p>
            <w:pPr>
              <w:spacing w:after="20" w:line="252" w:lineRule="auto"/>
            </w:pPr>
            <w:r>
              <w:rPr>
                <w:b/>
                <w:sz w:val="19"/>
              </w:rPr>
              <w:t>First-line client support</w:t>
            </w:r>
          </w:p>
        </w:tc>
        <w:tc>
          <w:tcPr>
            <w:tcW w:type="dxa" w:w="7030"/>
            <w:shd w:val="clear" w:color="auto" w:fill="FAFAFB"/>
            <w:vAlign w:val="center"/>
          </w:tcPr>
          <w:p>
            <w:pPr>
              <w:spacing w:after="20" w:line="252" w:lineRule="auto"/>
            </w:pPr>
            <w:r>
              <w:rPr>
                <w:b/>
                <w:color w:val="20242B"/>
                <w:sz w:val="19"/>
                <w:shd w:val="clear" w:color="auto" w:fill="FFF1A8"/>
              </w:rPr>
              <w:t>[[TBC]]</w:t>
            </w:r>
          </w:p>
        </w:tc>
      </w:tr>
      <w:tr>
        <w:trPr>
          <w:cantSplit/>
        </w:trPr>
        <w:tc>
          <w:tcPr>
            <w:tcW w:type="dxa" w:w="2608"/>
            <w:vAlign w:val="center"/>
          </w:tcPr>
          <w:p>
            <w:pPr>
              <w:spacing w:after="20" w:line="252" w:lineRule="auto"/>
            </w:pPr>
            <w:r>
              <w:rPr>
                <w:b/>
                <w:sz w:val="19"/>
              </w:rPr>
              <w:t>Training</w:t>
            </w:r>
          </w:p>
        </w:tc>
        <w:tc>
          <w:tcPr>
            <w:tcW w:type="dxa" w:w="7030"/>
            <w:vAlign w:val="center"/>
          </w:tcPr>
          <w:p>
            <w:pPr>
              <w:spacing w:after="20" w:line="252" w:lineRule="auto"/>
            </w:pPr>
            <w:r>
              <w:rPr>
                <w:sz w:val="19"/>
              </w:rPr>
              <w:t xml:space="preserve">Complete onboarding training within 30 days </w:t>
            </w:r>
            <w:r>
              <w:rPr>
                <w:b/>
                <w:color w:val="20242B"/>
                <w:sz w:val="19"/>
                <w:shd w:val="clear" w:color="auto" w:fill="FFF1A8"/>
              </w:rPr>
              <w:t>[[TBC]]</w:t>
            </w:r>
          </w:p>
        </w:tc>
      </w:tr>
      <w:tr>
        <w:trPr>
          <w:cantSplit/>
        </w:trPr>
        <w:tc>
          <w:tcPr>
            <w:tcW w:type="dxa" w:w="2608"/>
            <w:shd w:val="clear" w:color="auto" w:fill="FAFAFB"/>
            <w:vAlign w:val="center"/>
          </w:tcPr>
          <w:p>
            <w:pPr>
              <w:spacing w:after="20" w:line="252" w:lineRule="auto"/>
            </w:pPr>
            <w:r>
              <w:rPr>
                <w:b/>
                <w:sz w:val="19"/>
              </w:rPr>
              <w:t>Messaging compliance</w:t>
            </w:r>
          </w:p>
        </w:tc>
        <w:tc>
          <w:tcPr>
            <w:tcW w:type="dxa" w:w="7030"/>
            <w:shd w:val="clear" w:color="auto" w:fill="FAFAFB"/>
            <w:vAlign w:val="center"/>
          </w:tcPr>
          <w:p>
            <w:pPr>
              <w:spacing w:after="20" w:line="252" w:lineRule="auto"/>
            </w:pPr>
            <w:r>
              <w:rPr>
                <w:sz w:val="19"/>
              </w:rPr>
              <w:t>Follow Meta WhatsApp Business policies: approved templates, opted-in contacts, opt-outs honoured</w:t>
            </w:r>
          </w:p>
        </w:tc>
      </w:tr>
      <w:tr>
        <w:trPr>
          <w:cantSplit/>
        </w:trPr>
        <w:tc>
          <w:tcPr>
            <w:tcW w:type="dxa" w:w="2608"/>
            <w:vAlign w:val="center"/>
          </w:tcPr>
          <w:p>
            <w:pPr>
              <w:spacing w:after="20" w:line="252" w:lineRule="auto"/>
            </w:pPr>
            <w:r>
              <w:rPr>
                <w:b/>
                <w:sz w:val="19"/>
              </w:rPr>
              <w:t>Data protection</w:t>
            </w:r>
          </w:p>
        </w:tc>
        <w:tc>
          <w:tcPr>
            <w:tcW w:type="dxa" w:w="7030"/>
            <w:vAlign w:val="center"/>
          </w:tcPr>
          <w:p>
            <w:pPr>
              <w:spacing w:after="20" w:line="252" w:lineRule="auto"/>
            </w:pPr>
            <w:r>
              <w:rPr>
                <w:sz w:val="19"/>
              </w:rPr>
              <w:t xml:space="preserve">POPIA (and NDPR/GDPR where relevant); data processing agreement </w:t>
            </w:r>
            <w:r>
              <w:rPr>
                <w:b/>
                <w:color w:val="20242B"/>
                <w:sz w:val="19"/>
                <w:shd w:val="clear" w:color="auto" w:fill="FFF1A8"/>
              </w:rPr>
              <w:t>[[LEGAL REVIEW REQUIRED]]</w:t>
            </w:r>
          </w:p>
        </w:tc>
      </w:tr>
      <w:tr>
        <w:trPr>
          <w:cantSplit/>
        </w:trPr>
        <w:tc>
          <w:tcPr>
            <w:tcW w:type="dxa" w:w="2608"/>
            <w:shd w:val="clear" w:color="auto" w:fill="FAFAFB"/>
            <w:vAlign w:val="center"/>
          </w:tcPr>
          <w:p>
            <w:pPr>
              <w:spacing w:after="20" w:line="252" w:lineRule="auto"/>
            </w:pPr>
            <w:r>
              <w:rPr>
                <w:b/>
                <w:sz w:val="19"/>
              </w:rPr>
              <w:t>Claims</w:t>
            </w:r>
          </w:p>
        </w:tc>
        <w:tc>
          <w:tcPr>
            <w:tcW w:type="dxa" w:w="7030"/>
            <w:shd w:val="clear" w:color="auto" w:fill="FAFAFB"/>
            <w:vAlign w:val="center"/>
          </w:tcPr>
          <w:p>
            <w:pPr>
              <w:spacing w:after="20" w:line="252" w:lineRule="auto"/>
            </w:pPr>
            <w:r>
              <w:rPr>
                <w:sz w:val="19"/>
              </w:rPr>
              <w:t>Only use approved FluxMuse facts: no invented customer numbers, ratings, testimonials or results</w:t>
            </w:r>
          </w:p>
        </w:tc>
      </w:tr>
      <w:tr>
        <w:trPr>
          <w:cantSplit/>
        </w:trPr>
        <w:tc>
          <w:tcPr>
            <w:tcW w:type="dxa" w:w="2608"/>
            <w:vAlign w:val="center"/>
          </w:tcPr>
          <w:p>
            <w:pPr>
              <w:spacing w:after="20" w:line="252" w:lineRule="auto"/>
            </w:pPr>
            <w:r>
              <w:rPr>
                <w:b/>
                <w:sz w:val="19"/>
              </w:rPr>
              <w:t>Payment</w:t>
            </w:r>
          </w:p>
        </w:tc>
        <w:tc>
          <w:tcPr>
            <w:tcW w:type="dxa" w:w="7030"/>
            <w:vAlign w:val="center"/>
          </w:tcPr>
          <w:p>
            <w:pPr>
              <w:spacing w:after="20" w:line="252" w:lineRule="auto"/>
            </w:pPr>
            <w:r>
              <w:rPr>
                <w:sz w:val="19"/>
              </w:rPr>
              <w:t xml:space="preserve">Wholesale fees paid in advance </w:t>
            </w:r>
            <w:r>
              <w:rPr>
                <w:b/>
                <w:color w:val="20242B"/>
                <w:sz w:val="19"/>
                <w:shd w:val="clear" w:color="auto" w:fill="FFF1A8"/>
              </w:rPr>
              <w:t>[[TBC]]</w:t>
            </w:r>
          </w:p>
        </w:tc>
      </w:tr>
      <w:tr>
        <w:trPr>
          <w:cantSplit/>
        </w:trPr>
        <w:tc>
          <w:tcPr>
            <w:tcW w:type="dxa" w:w="2608"/>
            <w:shd w:val="clear" w:color="auto" w:fill="FAFAFB"/>
            <w:vAlign w:val="center"/>
          </w:tcPr>
          <w:p>
            <w:pPr>
              <w:spacing w:after="20" w:line="252" w:lineRule="auto"/>
            </w:pPr>
            <w:r>
              <w:rPr>
                <w:b/>
                <w:sz w:val="19"/>
              </w:rPr>
              <w:t>Reporting to FluxMuse</w:t>
            </w:r>
          </w:p>
        </w:tc>
        <w:tc>
          <w:tcPr>
            <w:tcW w:type="dxa" w:w="7030"/>
            <w:shd w:val="clear" w:color="auto" w:fill="FAFAFB"/>
            <w:vAlign w:val="center"/>
          </w:tcPr>
          <w:p>
            <w:pPr>
              <w:spacing w:after="20" w:line="252" w:lineRule="auto"/>
            </w:pPr>
            <w:r>
              <w:rPr>
                <w:b/>
                <w:color w:val="20242B"/>
                <w:sz w:val="19"/>
                <w:shd w:val="clear" w:color="auto" w:fill="FFF1A8"/>
              </w:rPr>
              <w:t>[[TBC: e.g. quarterly partner review]]</w:t>
            </w:r>
          </w:p>
        </w:tc>
      </w:tr>
    </w:tbl>
    <w:p>
      <w:pPr>
        <w:spacing w:after="0" w:line="120" w:lineRule="exact"/>
      </w:pPr>
    </w:p>
    <w:p>
      <w:pPr>
        <w:pStyle w:val="Heading1"/>
      </w:pPr>
      <w:r>
        <w:rPr/>
        <w:t>9. Brand usage rules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rand usage rules"/>
      </w:tblPr>
      <w:tblGrid>
        <w:gridCol w:w="4818"/>
        <w:gridCol w:w="4818"/>
      </w:tblGrid>
      <w:tr>
        <w:trPr>
          <w:cantSplit/>
          <w:tblHeader/>
        </w:trPr>
        <w:tc>
          <w:tcPr>
            <w:tcW w:type="dxa" w:w="4819"/>
            <w:shd w:val="clear" w:color="auto" w:fill="FF6A00"/>
            <w:vAlign w:val="center"/>
          </w:tcPr>
          <w:p>
            <w:pPr>
              <w:keepNext/>
              <w:spacing w:after="20" w:line="252" w:lineRule="auto"/>
            </w:pPr>
            <w:r>
              <w:rPr>
                <w:rFonts w:ascii="Poppins" w:hAnsi="Poppins" w:cs="Poppins" w:eastAsia="Poppins"/>
                <w:b/>
                <w:color w:val="20242B"/>
                <w:sz w:val="19"/>
              </w:rPr>
              <w:t>Allowed</w:t>
            </w:r>
          </w:p>
        </w:tc>
        <w:tc>
          <w:tcPr>
            <w:tcW w:type="dxa" w:w="4819"/>
            <w:shd w:val="clear" w:color="auto" w:fill="FF6A00"/>
            <w:vAlign w:val="center"/>
          </w:tcPr>
          <w:p>
            <w:pPr>
              <w:keepNext/>
              <w:spacing w:after="20" w:line="252" w:lineRule="auto"/>
            </w:pPr>
            <w:r>
              <w:rPr>
                <w:rFonts w:ascii="Poppins" w:hAnsi="Poppins" w:cs="Poppins" w:eastAsia="Poppins"/>
                <w:b/>
                <w:color w:val="20242B"/>
                <w:sz w:val="19"/>
              </w:rPr>
              <w:t>Not allowed</w:t>
            </w:r>
          </w:p>
        </w:tc>
      </w:tr>
      <w:tr>
        <w:trPr>
          <w:cantSplit/>
        </w:trPr>
        <w:tc>
          <w:tcPr>
            <w:tcW w:type="dxa" w:w="4819"/>
            <w:vAlign w:val="center"/>
          </w:tcPr>
          <w:p>
            <w:pPr>
              <w:spacing w:after="20" w:line="252" w:lineRule="auto"/>
            </w:pPr>
            <w:r>
              <w:rPr>
                <w:sz w:val="19"/>
              </w:rPr>
              <w:t>Full white-label: your name, logo and colours for clients</w:t>
            </w:r>
          </w:p>
        </w:tc>
        <w:tc>
          <w:tcPr>
            <w:tcW w:type="dxa" w:w="4819"/>
            <w:vAlign w:val="center"/>
          </w:tcPr>
          <w:p>
            <w:pPr>
              <w:spacing w:after="20" w:line="252" w:lineRule="auto"/>
            </w:pPr>
            <w:r>
              <w:rPr>
                <w:sz w:val="19"/>
              </w:rPr>
              <w:t>Changing, recolouring or stretching the FluxMuse logo</w:t>
            </w:r>
          </w:p>
        </w:tc>
      </w:tr>
      <w:tr>
        <w:trPr>
          <w:cantSplit/>
        </w:trPr>
        <w:tc>
          <w:tcPr>
            <w:tcW w:type="dxa" w:w="4819"/>
            <w:shd w:val="clear" w:color="auto" w:fill="FAFAFB"/>
            <w:vAlign w:val="center"/>
          </w:tcPr>
          <w:p>
            <w:pPr>
              <w:spacing w:after="20" w:line="252" w:lineRule="auto"/>
            </w:pPr>
            <w:r>
              <w:rPr>
                <w:sz w:val="19"/>
              </w:rPr>
              <w:t>“Powered by FluxMuse” is optional; use it if you want to</w:t>
            </w:r>
          </w:p>
        </w:tc>
        <w:tc>
          <w:tcPr>
            <w:tcW w:type="dxa" w:w="4819"/>
            <w:shd w:val="clear" w:color="auto" w:fill="FAFAFB"/>
            <w:vAlign w:val="center"/>
          </w:tcPr>
          <w:p>
            <w:pPr>
              <w:spacing w:after="20" w:line="252" w:lineRule="auto"/>
            </w:pPr>
            <w:r>
              <w:rPr>
                <w:sz w:val="19"/>
              </w:rPr>
              <w:t>Presenting FluxMuse customer counts, ratings, testimonials or results that aren't in approved materials</w:t>
            </w:r>
          </w:p>
        </w:tc>
      </w:tr>
      <w:tr>
        <w:trPr>
          <w:cantSplit/>
        </w:trPr>
        <w:tc>
          <w:tcPr>
            <w:tcW w:type="dxa" w:w="4819"/>
            <w:vAlign w:val="center"/>
          </w:tcPr>
          <w:p>
            <w:pPr>
              <w:spacing w:after="20" w:line="252" w:lineRule="auto"/>
            </w:pPr>
            <w:r>
              <w:rPr>
                <w:sz w:val="19"/>
              </w:rPr>
              <w:t>Describing the product as an AI marketing and WhatsApp commerce platform</w:t>
            </w:r>
          </w:p>
        </w:tc>
        <w:tc>
          <w:tcPr>
            <w:tcW w:type="dxa" w:w="4819"/>
            <w:vAlign w:val="center"/>
          </w:tcPr>
          <w:p>
            <w:pPr>
              <w:spacing w:after="20" w:line="252" w:lineRule="auto"/>
            </w:pPr>
            <w:r>
              <w:rPr>
                <w:sz w:val="19"/>
              </w:rPr>
              <w:t>Promising Instagram publishing, comments or DMs before Meta approval</w:t>
            </w:r>
          </w:p>
        </w:tc>
      </w:tr>
      <w:tr>
        <w:trPr>
          <w:cantSplit/>
        </w:trPr>
        <w:tc>
          <w:tcPr>
            <w:tcW w:type="dxa" w:w="4819"/>
            <w:shd w:val="clear" w:color="auto" w:fill="FAFAFB"/>
            <w:vAlign w:val="center"/>
          </w:tcPr>
          <w:p>
            <w:pPr>
              <w:spacing w:after="20" w:line="252" w:lineRule="auto"/>
            </w:pPr>
            <w:r>
              <w:rPr>
                <w:sz w:val="19"/>
              </w:rPr>
              <w:t>Using FluxMuse brand-kit assets unmodified when co-branding</w:t>
            </w:r>
          </w:p>
        </w:tc>
        <w:tc>
          <w:tcPr>
            <w:tcW w:type="dxa" w:w="4819"/>
            <w:shd w:val="clear" w:color="auto" w:fill="FAFAFB"/>
            <w:vAlign w:val="center"/>
          </w:tcPr>
          <w:p>
            <w:pPr>
              <w:spacing w:after="20" w:line="252" w:lineRule="auto"/>
            </w:pPr>
            <w:r>
              <w:rPr>
                <w:sz w:val="19"/>
              </w:rPr>
              <w:t>Promising clients or investors a fixed FluxMuse margin percentage</w:t>
            </w:r>
          </w:p>
        </w:tc>
      </w:tr>
      <w:tr>
        <w:trPr>
          <w:cantSplit/>
        </w:trPr>
        <w:tc>
          <w:tcPr>
            <w:tcW w:type="dxa" w:w="4819"/>
            <w:vAlign w:val="center"/>
          </w:tcPr>
          <w:p>
            <w:pPr>
              <w:spacing w:after="20" w:line="252" w:lineRule="auto"/>
            </w:pPr>
            <w:r>
              <w:rPr>
                <w:sz w:val="19"/>
              </w:rPr>
              <w:t>Quoting FluxMuse list prices from the official price table</w:t>
            </w:r>
          </w:p>
        </w:tc>
        <w:tc>
          <w:tcPr>
            <w:tcW w:type="dxa" w:w="4819"/>
            <w:vAlign w:val="center"/>
          </w:tcPr>
          <w:p>
            <w:pPr>
              <w:spacing w:after="20" w:line="252" w:lineRule="auto"/>
            </w:pPr>
            <w:r>
              <w:rPr>
                <w:sz w:val="19"/>
              </w:rPr>
              <w:t>Offering prices or checkout in gated countries, or combining Founding Member with wholesale pricing</w:t>
            </w:r>
          </w:p>
        </w:tc>
      </w:tr>
    </w:tbl>
    <w:p>
      <w:pPr>
        <w:spacing w:after="0" w:line="120" w:lineRule="exact"/>
      </w:pPr>
    </w:p>
    <w:p>
      <w:pPr>
        <w:pStyle w:val="Heading1"/>
      </w:pPr>
      <w:r>
        <w:rPr/>
        <w:t>10. Trust and data protection</w:t>
      </w:r>
    </w:p>
    <w:p>
      <w:pPr>
        <w:pStyle w:val="ListBullet"/>
      </w:pPr>
      <w:r>
        <w:rPr>
          <w:b/>
        </w:rPr>
        <w:t>Fluxmuse Pty Ltd</w:t>
      </w:r>
      <w:r>
        <w:rPr/>
        <w:t xml:space="preserve"> (South Africa): Meta Business Verification: Verified. Meta Access Verification: Verified (Tech Provider).</w:t>
      </w:r>
    </w:p>
    <w:p>
      <w:pPr>
        <w:pStyle w:val="ListBullet"/>
      </w:pPr>
      <w:r>
        <w:rPr>
          <w:b/>
        </w:rPr>
        <w:t>Meta permissions approved:</w:t>
      </w:r>
      <w:r>
        <w:rPr/>
        <w:t xml:space="preserve"> pages_show_list, pages_manage_metadata, pages_messaging, whatsapp_business_messaging, whatsapp_business_management, public_profile.</w:t>
      </w:r>
    </w:p>
    <w:p>
      <w:pPr>
        <w:pStyle w:val="ListBullet"/>
      </w:pPr>
      <w:r>
        <w:rPr>
          <w:b/>
        </w:rPr>
        <w:t>Pending Meta approval (in App Review, not live yet):</w:t>
      </w:r>
      <w:r>
        <w:rPr/>
        <w:t xml:space="preserve"> pages_manage_posts, pages_read_engagement, instagram_basic, instagram_content_publish, instagram_manage_comments, instagram_manage_messages, business_management. Instagram features are switched on only once Meta approves them.</w:t>
      </w:r>
    </w:p>
    <w:p>
      <w:pPr>
        <w:pStyle w:val="ListBullet"/>
      </w:pPr>
      <w:r>
        <w:rPr>
          <w:b/>
        </w:rPr>
        <w:t>Data protection:</w:t>
      </w:r>
      <w:r>
        <w:rPr/>
        <w:t xml:space="preserve"> POPIA, NDPR and GDPR ready; row-level security on every table; encrypted tokens; audit export; data export and account deletion.</w:t>
      </w:r>
    </w:p>
    <w:p>
      <w:pPr>
        <w:pStyle w:val="ListBullet"/>
      </w:pPr>
      <w:r>
        <w:rPr>
          <w:b/>
        </w:rPr>
        <w:t>WhatsApp policy:</w:t>
      </w:r>
      <w:r>
        <w:rPr/>
        <w:t xml:space="preserve"> broadcasts use Meta-approved message templates and go only to contacts who opted in.</w:t>
      </w:r>
    </w:p>
    <w:p>
      <w:pPr>
        <w:pStyle w:val="Heading2"/>
      </w:pPr>
      <w:r>
        <w:rPr/>
        <w:t>Protection of personal information (POPIA)</w:t>
      </w:r>
    </w:p>
    <w:p>
      <w:r>
        <w:rPr/>
        <w:t>Fluxmuse Pty Ltd processes personal information in line with the Protection of Personal Information Act, 2013 (POPIA), and the platform is built to be POPIA, NDPR and GDPR ready. For this proposal:</w:t>
      </w:r>
    </w:p>
    <w:p>
      <w:pPr>
        <w:pStyle w:val="ListBullet"/>
      </w:pPr>
      <w:r>
        <w:rPr/>
        <w:t xml:space="preserve">Each end client decides why and how its customers' personal information is used; FluxMuse processes it to deliver the services. </w:t>
      </w:r>
      <w:r>
        <w:rPr>
          <w:b/>
          <w:color w:val="20242B"/>
          <w:shd w:val="clear" w:color="auto" w:fill="FFF1A8"/>
        </w:rPr>
        <w:t>[[LEGAL REVIEW REQUIRED: responsible party and operator roles, operator agreement]]</w:t>
      </w:r>
    </w:p>
    <w:p>
      <w:pPr>
        <w:pStyle w:val="ListBullet"/>
      </w:pPr>
      <w:r>
        <w:rPr/>
        <w:t xml:space="preserve">Where </w:t>
      </w:r>
      <w:r>
        <w:rPr>
          <w:b/>
          <w:color w:val="20242B"/>
          <w:shd w:val="clear" w:color="auto" w:fill="FFF1A8"/>
        </w:rPr>
        <w:t>[[AGENCY NAME]]</w:t>
      </w:r>
      <w:r>
        <w:rPr/>
        <w:t xml:space="preserve"> manages client sub-accounts, the roles of FluxMuse, the partner and each end client are set out in a data processing agreement. </w:t>
      </w:r>
      <w:r>
        <w:rPr>
          <w:b/>
          <w:color w:val="20242B"/>
          <w:shd w:val="clear" w:color="auto" w:fill="FFF1A8"/>
        </w:rPr>
        <w:t>[[LEGAL REVIEW REQUIRED]]</w:t>
      </w:r>
    </w:p>
    <w:p>
      <w:pPr>
        <w:pStyle w:val="ListBullet"/>
      </w:pPr>
      <w:r>
        <w:rPr/>
        <w:t>Marketing messages on WhatsApp, SMS and email go only to people who have opted in, and every broadcast includes a way to opt out. Email suppression lists are kept in FluxMuse.</w:t>
      </w:r>
    </w:p>
    <w:p>
      <w:pPr>
        <w:pStyle w:val="ListBullet"/>
      </w:pPr>
      <w:r>
        <w:rPr/>
        <w:t>Platform safeguards: row-level security on every database table, encrypted access tokens, audit export, and data export and account deletion on request.</w:t>
      </w:r>
    </w:p>
    <w:p>
      <w:pPr>
        <w:pStyle w:val="ListBullet"/>
      </w:pPr>
      <w:r>
        <w:rPr/>
        <w:t>Screenshots, reports and case studies shared outside the business blur customer names and phone numbers.</w:t>
      </w:r>
    </w:p>
    <w:p>
      <w:pPr>
        <w:pStyle w:val="ListBullet"/>
      </w:pPr>
      <w:r>
        <w:rPr/>
        <w:t xml:space="preserve">Information Officer: </w:t>
      </w:r>
      <w:r>
        <w:rPr>
          <w:b/>
          <w:color w:val="20242B"/>
          <w:shd w:val="clear" w:color="auto" w:fill="FFF1A8"/>
        </w:rPr>
        <w:t>[[FLUXMUSE INFORMATION OFFICER NAME AND EMAIL]]</w:t>
      </w:r>
      <w:r>
        <w:rPr/>
        <w:t xml:space="preserve">. Breach notification and cross-border processing (hosting regions): </w:t>
      </w:r>
      <w:r>
        <w:rPr>
          <w:b/>
          <w:color w:val="20242B"/>
          <w:shd w:val="clear" w:color="auto" w:fill="FFF1A8"/>
        </w:rPr>
        <w:t>[[LEGAL REVIEW REQUIRED]]</w:t>
      </w:r>
    </w:p>
    <w:p>
      <w:pPr>
        <w:pStyle w:val="Heading1"/>
      </w:pPr>
      <w:r>
        <w:rPr/>
        <w:t>11. Terms</w:t>
      </w:r>
    </w:p>
    <w:p>
      <w:r>
        <w:rPr>
          <w:sz w:val="19"/>
        </w:rPr>
        <w:t xml:space="preserve">These commercial headings are placeholders for the final agreement. Nothing here is binding until legal counsel has reviewed it and both parties have signed. </w:t>
      </w:r>
      <w:r>
        <w:rPr>
          <w:b/>
          <w:color w:val="20242B"/>
          <w:sz w:val="19"/>
          <w:shd w:val="clear" w:color="auto" w:fill="FFF1A8"/>
        </w:rPr>
        <w:t>[[LEGAL REVIEW REQUIRED]]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mercial terms placeholder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8"/>
              </w:rPr>
              <w:t>Heading</w:t>
            </w:r>
          </w:p>
        </w:tc>
        <w:tc>
          <w:tcPr>
            <w:tcW w:type="dxa" w:w="7030"/>
            <w:shd w:val="clear" w:color="auto" w:fill="FF6A00"/>
            <w:vAlign w:val="center"/>
          </w:tcPr>
          <w:p>
            <w:pPr>
              <w:keepNext/>
              <w:spacing w:after="20" w:line="252" w:lineRule="auto"/>
            </w:pPr>
            <w:r>
              <w:rPr>
                <w:rFonts w:ascii="Poppins" w:hAnsi="Poppins" w:cs="Poppins" w:eastAsia="Poppins"/>
                <w:b/>
                <w:color w:val="20242B"/>
                <w:sz w:val="18"/>
              </w:rPr>
              <w:t>Position</w:t>
            </w:r>
          </w:p>
        </w:tc>
      </w:tr>
      <w:tr>
        <w:trPr>
          <w:cantSplit/>
        </w:trPr>
        <w:tc>
          <w:tcPr>
            <w:tcW w:type="dxa" w:w="2608"/>
            <w:vAlign w:val="center"/>
          </w:tcPr>
          <w:p>
            <w:pPr>
              <w:spacing w:after="20" w:line="252" w:lineRule="auto"/>
            </w:pPr>
            <w:r>
              <w:rPr>
                <w:b/>
                <w:sz w:val="18"/>
              </w:rPr>
              <w:t>Agreement</w:t>
            </w:r>
          </w:p>
        </w:tc>
        <w:tc>
          <w:tcPr>
            <w:tcW w:type="dxa" w:w="7030"/>
            <w:vAlign w:val="center"/>
          </w:tcPr>
          <w:p>
            <w:pPr>
              <w:spacing w:after="20" w:line="252" w:lineRule="auto"/>
            </w:pPr>
            <w:r>
              <w:rPr>
                <w:sz w:val="18"/>
              </w:rPr>
              <w:t xml:space="preserve">This proposal, the FluxMuse Terms of Service </w:t>
            </w:r>
            <w:r>
              <w:rPr>
                <w:b/>
                <w:color w:val="20242B"/>
                <w:sz w:val="18"/>
                <w:shd w:val="clear" w:color="auto" w:fill="FFF1A8"/>
              </w:rPr>
              <w:t>[[LINK]]</w:t>
            </w:r>
            <w:r>
              <w:rPr>
                <w:sz w:val="18"/>
              </w:rPr>
              <w:t xml:space="preserve"> and </w:t>
            </w:r>
            <w:r>
              <w:rPr>
                <w:b/>
                <w:color w:val="20242B"/>
                <w:sz w:val="18"/>
                <w:shd w:val="clear" w:color="auto" w:fill="FFF1A8"/>
              </w:rPr>
              <w:t>[[ORDER FORM / MASTER AGREEMENT]]</w:t>
            </w:r>
            <w:r>
              <w:rPr>
                <w:sz w:val="18"/>
              </w:rPr>
              <w:t xml:space="preserve">. Order of precedence: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Term and renewal</w:t>
            </w:r>
          </w:p>
        </w:tc>
        <w:tc>
          <w:tcPr>
            <w:tcW w:type="dxa" w:w="7030"/>
            <w:shd w:val="clear" w:color="auto" w:fill="FAFAFB"/>
            <w:vAlign w:val="center"/>
          </w:tcPr>
          <w:p>
            <w:pPr>
              <w:spacing w:after="20" w:line="252" w:lineRule="auto"/>
            </w:pPr>
            <w:r>
              <w:rPr>
                <w:sz w:val="18"/>
              </w:rPr>
              <w:t xml:space="preserve">Monthly plans renew monthly. Annual plans renew yearly (annual price = 10× monthly). Renewal and notice: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Free trial</w:t>
            </w:r>
          </w:p>
        </w:tc>
        <w:tc>
          <w:tcPr>
            <w:tcW w:type="dxa" w:w="7030"/>
            <w:vAlign w:val="center"/>
          </w:tcPr>
          <w:p>
            <w:pPr>
              <w:spacing w:after="20" w:line="252" w:lineRule="auto"/>
            </w:pPr>
            <w:r>
              <w:rPr>
                <w:sz w:val="18"/>
              </w:rPr>
              <w:t xml:space="preserve">14-day free trial, no card required. Conversion to a paid plan: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Cancellation (per plan)</w:t>
            </w:r>
          </w:p>
        </w:tc>
        <w:tc>
          <w:tcPr>
            <w:tcW w:type="dxa" w:w="7030"/>
            <w:shd w:val="clear" w:color="auto" w:fill="FAFAFB"/>
            <w:vAlign w:val="center"/>
          </w:tcPr>
          <w:p>
            <w:pPr>
              <w:spacing w:after="20" w:line="252" w:lineRule="auto"/>
            </w:pPr>
            <w:r>
              <w:rPr>
                <w:sz w:val="18"/>
              </w:rPr>
              <w:t xml:space="preserve">Monthly plans: </w:t>
            </w:r>
            <w:r>
              <w:rPr>
                <w:b/>
                <w:color w:val="20242B"/>
                <w:sz w:val="18"/>
                <w:shd w:val="clear" w:color="auto" w:fill="FFF1A8"/>
              </w:rPr>
              <w:t>[[LEGAL REVIEW REQUIRED: notice period and effective date]]</w:t>
            </w:r>
          </w:p>
          <w:p>
            <w:pPr>
              <w:spacing w:after="20" w:line="252" w:lineRule="auto"/>
            </w:pPr>
            <w:r>
              <w:rPr>
                <w:sz w:val="18"/>
              </w:rPr>
              <w:t xml:space="preserve">Annual plans: </w:t>
            </w:r>
            <w:r>
              <w:rPr>
                <w:b/>
                <w:color w:val="20242B"/>
                <w:sz w:val="18"/>
                <w:shd w:val="clear" w:color="auto" w:fill="FFF1A8"/>
              </w:rPr>
              <w:t>[[LEGAL REVIEW REQUIRED: refunds or pro-rating]]</w:t>
            </w:r>
          </w:p>
          <w:p>
            <w:pPr>
              <w:spacing w:after="20" w:line="252" w:lineRule="auto"/>
            </w:pPr>
            <w:r>
              <w:rPr>
                <w:sz w:val="18"/>
              </w:rPr>
              <w:t xml:space="preserve">Launch or pilot pricing on cancellation: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Payment terms</w:t>
            </w:r>
          </w:p>
        </w:tc>
        <w:tc>
          <w:tcPr>
            <w:tcW w:type="dxa" w:w="7030"/>
            <w:vAlign w:val="center"/>
          </w:tcPr>
          <w:p>
            <w:pPr>
              <w:spacing w:after="20" w:line="252" w:lineRule="auto"/>
            </w:pPr>
            <w:r>
              <w:rPr>
                <w:sz w:val="18"/>
              </w:rPr>
              <w:t xml:space="preserve">Billed in advance in </w:t>
            </w:r>
            <w:r>
              <w:rPr>
                <w:b/>
                <w:color w:val="20242B"/>
                <w:sz w:val="18"/>
                <w:shd w:val="clear" w:color="auto" w:fill="FFF1A8"/>
              </w:rPr>
              <w:t>[[CURRENCY]]</w:t>
            </w:r>
            <w:r>
              <w:rPr>
                <w:sz w:val="18"/>
              </w:rPr>
              <w:t xml:space="preserve"> by </w:t>
            </w:r>
            <w:r>
              <w:rPr>
                <w:b/>
                <w:color w:val="20242B"/>
                <w:sz w:val="18"/>
                <w:shd w:val="clear" w:color="auto" w:fill="FFF1A8"/>
              </w:rPr>
              <w:t>[[PAYMENT METHOD]]</w:t>
            </w:r>
            <w:r>
              <w:rPr>
                <w:sz w:val="18"/>
              </w:rPr>
              <w:t xml:space="preserve">, due </w:t>
            </w:r>
            <w:r>
              <w:rPr>
                <w:b/>
                <w:color w:val="20242B"/>
                <w:sz w:val="18"/>
                <w:shd w:val="clear" w:color="auto" w:fill="FFF1A8"/>
              </w:rPr>
              <w:t>[[N]]</w:t>
            </w:r>
            <w:r>
              <w:rPr>
                <w:sz w:val="18"/>
              </w:rPr>
              <w:t xml:space="preserve"> days from invoice. Late payment: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Price changes</w:t>
            </w:r>
          </w:p>
        </w:tc>
        <w:tc>
          <w:tcPr>
            <w:tcW w:type="dxa" w:w="7030"/>
            <w:shd w:val="clear" w:color="auto" w:fill="FAFAFB"/>
            <w:vAlign w:val="center"/>
          </w:tcPr>
          <w:p>
            <w:pPr>
              <w:spacing w:after="20" w:line="252" w:lineRule="auto"/>
            </w:pPr>
            <w:r>
              <w:rPr>
                <w:sz w:val="18"/>
              </w:rPr>
              <w:t xml:space="preserve">Notice of price changes: </w:t>
            </w:r>
            <w:r>
              <w:rPr>
                <w:b/>
                <w:color w:val="20242B"/>
                <w:sz w:val="18"/>
                <w:shd w:val="clear" w:color="auto" w:fill="FFF1A8"/>
              </w:rPr>
              <w:t>[[LEGAL REVIEW REQUIRED]]</w:t>
            </w:r>
            <w:r>
              <w:rPr>
                <w:sz w:val="18"/>
              </w:rPr>
              <w:t>. Local-currency prices in Nigeria, Kenya and Ghana are reviewed quarterly.</w:t>
            </w:r>
          </w:p>
        </w:tc>
      </w:tr>
      <w:tr>
        <w:trPr>
          <w:cantSplit/>
        </w:trPr>
        <w:tc>
          <w:tcPr>
            <w:tcW w:type="dxa" w:w="2608"/>
            <w:vAlign w:val="center"/>
          </w:tcPr>
          <w:p>
            <w:pPr>
              <w:spacing w:after="20" w:line="252" w:lineRule="auto"/>
            </w:pPr>
            <w:r>
              <w:rPr>
                <w:b/>
                <w:sz w:val="18"/>
              </w:rPr>
              <w:t>Third-party costs</w:t>
            </w:r>
          </w:p>
        </w:tc>
        <w:tc>
          <w:tcPr>
            <w:tcW w:type="dxa" w:w="7030"/>
            <w:vAlign w:val="center"/>
          </w:tcPr>
          <w:p>
            <w:pPr>
              <w:spacing w:after="20" w:line="252" w:lineRule="auto"/>
            </w:pPr>
            <w:r>
              <w:rPr>
                <w:sz w:val="18"/>
              </w:rPr>
              <w:t xml:space="preserve">Meta WhatsApp message fees, ad spend, SMS and payment-processing fees are pass-through costs charged by those providers, not FluxMuse fees. Billing route: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Third-party platforms</w:t>
            </w:r>
          </w:p>
        </w:tc>
        <w:tc>
          <w:tcPr>
            <w:tcW w:type="dxa" w:w="7030"/>
            <w:shd w:val="clear" w:color="auto" w:fill="FAFAFB"/>
            <w:vAlign w:val="center"/>
          </w:tcPr>
          <w:p>
            <w:pPr>
              <w:spacing w:after="20" w:line="252" w:lineRule="auto"/>
            </w:pPr>
            <w:r>
              <w:rPr>
                <w:sz w:val="18"/>
              </w:rPr>
              <w:t xml:space="preserve">Features that rely on Meta, payment providers or other platforms depend on their policies and approvals. </w:t>
            </w:r>
            <w:r>
              <w:rPr>
                <w:b/>
                <w:color w:val="20242B"/>
                <w:sz w:val="18"/>
                <w:shd w:val="clear" w:color="auto" w:fill="FFF1A8"/>
              </w:rPr>
              <w:t>[[LEGAL REVIEW REQUIRED: availability and change clause]]</w:t>
            </w:r>
          </w:p>
        </w:tc>
      </w:tr>
      <w:tr>
        <w:trPr>
          <w:cantSplit/>
        </w:trPr>
        <w:tc>
          <w:tcPr>
            <w:tcW w:type="dxa" w:w="2608"/>
            <w:vAlign w:val="center"/>
          </w:tcPr>
          <w:p>
            <w:pPr>
              <w:spacing w:after="20" w:line="252" w:lineRule="auto"/>
            </w:pPr>
            <w:r>
              <w:rPr>
                <w:b/>
                <w:sz w:val="18"/>
              </w:rPr>
              <w:t>Data protection</w:t>
            </w:r>
          </w:p>
        </w:tc>
        <w:tc>
          <w:tcPr>
            <w:tcW w:type="dxa" w:w="7030"/>
            <w:vAlign w:val="center"/>
          </w:tcPr>
          <w:p>
            <w:pPr>
              <w:spacing w:after="20" w:line="252" w:lineRule="auto"/>
            </w:pPr>
            <w:r>
              <w:rPr>
                <w:sz w:val="18"/>
              </w:rPr>
              <w:t xml:space="preserve">POPIA, as described in this proposal. Operator or data processing agreement: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Intellectual property</w:t>
            </w:r>
          </w:p>
        </w:tc>
        <w:tc>
          <w:tcPr>
            <w:tcW w:type="dxa" w:w="7030"/>
            <w:shd w:val="clear" w:color="auto" w:fill="FAFAFB"/>
            <w:vAlign w:val="center"/>
          </w:tcPr>
          <w:p>
            <w:pPr>
              <w:spacing w:after="20" w:line="252" w:lineRule="auto"/>
            </w:pPr>
            <w:r>
              <w:rPr>
                <w:b/>
                <w:color w:val="20242B"/>
                <w:sz w:val="18"/>
                <w:shd w:val="clear" w:color="auto" w:fill="FFF1A8"/>
              </w:rPr>
              <w:t>[[LEGAL REVIEW REQUIRED: ownership of client content, AI-generated content, brand assets, platform IP and licences]]</w:t>
            </w:r>
          </w:p>
        </w:tc>
      </w:tr>
      <w:tr>
        <w:trPr>
          <w:cantSplit/>
        </w:trPr>
        <w:tc>
          <w:tcPr>
            <w:tcW w:type="dxa" w:w="2608"/>
            <w:vAlign w:val="center"/>
          </w:tcPr>
          <w:p>
            <w:pPr>
              <w:spacing w:after="20" w:line="252" w:lineRule="auto"/>
            </w:pPr>
            <w:r>
              <w:rPr>
                <w:b/>
                <w:sz w:val="18"/>
              </w:rPr>
              <w:t>Confidentiality</w:t>
            </w:r>
          </w:p>
        </w:tc>
        <w:tc>
          <w:tcPr>
            <w:tcW w:type="dxa" w:w="7030"/>
            <w:vAlign w:val="center"/>
          </w:tcPr>
          <w:p>
            <w:pPr>
              <w:spacing w:after="20" w:line="252" w:lineRule="auto"/>
            </w:pP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Support and service levels</w:t>
            </w:r>
          </w:p>
        </w:tc>
        <w:tc>
          <w:tcPr>
            <w:tcW w:type="dxa" w:w="7030"/>
            <w:shd w:val="clear" w:color="auto" w:fill="FAFAFB"/>
            <w:vAlign w:val="center"/>
          </w:tcPr>
          <w:p>
            <w:pPr>
              <w:spacing w:after="20" w:line="252" w:lineRule="auto"/>
            </w:pPr>
            <w:r>
              <w:rPr>
                <w:sz w:val="18"/>
              </w:rPr>
              <w:t xml:space="preserve">Support channel by plan (community, email, priority or dedicated). Service levels: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Wholesale pricing</w:t>
            </w:r>
          </w:p>
        </w:tc>
        <w:tc>
          <w:tcPr>
            <w:tcW w:type="dxa" w:w="7030"/>
            <w:vAlign w:val="center"/>
          </w:tcPr>
          <w:p>
            <w:pPr>
              <w:spacing w:after="20" w:line="252" w:lineRule="auto"/>
            </w:pPr>
            <w:r>
              <w:rPr>
                <w:sz w:val="18"/>
              </w:rPr>
              <w:t xml:space="preserve">30% off Agency list for as long as the partner agreement is active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White-label and sub-accounts</w:t>
            </w:r>
          </w:p>
        </w:tc>
        <w:tc>
          <w:tcPr>
            <w:tcW w:type="dxa" w:w="7030"/>
            <w:shd w:val="clear" w:color="auto" w:fill="FAFAFB"/>
            <w:vAlign w:val="center"/>
          </w:tcPr>
          <w:p>
            <w:pPr>
              <w:spacing w:after="20" w:line="252" w:lineRule="auto"/>
            </w:pPr>
            <w:r>
              <w:rPr>
                <w:sz w:val="18"/>
              </w:rPr>
              <w:t xml:space="preserve">Up to 50 client sub-accounts; client data ownership and portability on termination: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Referral commission</w:t>
            </w:r>
          </w:p>
        </w:tc>
        <w:tc>
          <w:tcPr>
            <w:tcW w:type="dxa" w:w="7030"/>
            <w:vAlign w:val="center"/>
          </w:tcPr>
          <w:p>
            <w:pPr>
              <w:spacing w:after="20" w:line="252" w:lineRule="auto"/>
            </w:pPr>
            <w:r>
              <w:rPr>
                <w:b/>
                <w:color w:val="20242B"/>
                <w:sz w:val="18"/>
                <w:shd w:val="clear" w:color="auto" w:fill="FFF1A8"/>
              </w:rPr>
              <w:t>[[FOUNDER DECISION]]</w:t>
            </w:r>
            <w:r>
              <w:rPr>
                <w:sz w:val="18"/>
              </w:rPr>
              <w:t xml:space="preserve"> then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Limitation of liability</w:t>
            </w:r>
          </w:p>
        </w:tc>
        <w:tc>
          <w:tcPr>
            <w:tcW w:type="dxa" w:w="7030"/>
            <w:shd w:val="clear" w:color="auto" w:fill="FAFAFB"/>
            <w:vAlign w:val="center"/>
          </w:tcPr>
          <w:p>
            <w:pPr>
              <w:spacing w:after="20" w:line="252" w:lineRule="auto"/>
            </w:pPr>
            <w:r>
              <w:rPr>
                <w:sz w:val="18"/>
              </w:rPr>
              <w:t xml:space="preserve">Liability cap: </w:t>
            </w:r>
            <w:r>
              <w:rPr>
                <w:b/>
                <w:color w:val="20242B"/>
                <w:sz w:val="18"/>
                <w:shd w:val="clear" w:color="auto" w:fill="FFF1A8"/>
              </w:rPr>
              <w:t>[[LEGAL REVIEW REQUIRED: cap amount and basis]]</w:t>
            </w:r>
            <w:r>
              <w:rPr>
                <w:sz w:val="18"/>
              </w:rPr>
              <w:t xml:space="preserve">. Exclusions: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Governing law and disputes</w:t>
            </w:r>
          </w:p>
        </w:tc>
        <w:tc>
          <w:tcPr>
            <w:tcW w:type="dxa" w:w="7030"/>
            <w:vAlign w:val="center"/>
          </w:tcPr>
          <w:p>
            <w:pPr>
              <w:spacing w:after="20" w:line="252" w:lineRule="auto"/>
            </w:pPr>
            <w:r>
              <w:rPr>
                <w:b/>
                <w:color w:val="20242B"/>
                <w:sz w:val="18"/>
                <w:shd w:val="clear" w:color="auto" w:fill="FFF1A8"/>
              </w:rPr>
              <w:t>[[LEGAL REVIEW REQUIRED]]</w:t>
            </w:r>
          </w:p>
        </w:tc>
      </w:tr>
    </w:tbl>
    <w:p>
      <w:pPr>
        <w:spacing w:after="0" w:line="120" w:lineRule="exact"/>
      </w:pPr>
    </w:p>
    <w:p>
      <w:pPr>
        <w:pStyle w:val="Heading1"/>
      </w:pPr>
      <w:r>
        <w:rPr/>
        <w:t>12. Acceptance</w:t>
      </w:r>
    </w:p>
    <w:p>
      <w:pPr>
        <w:keepNext/>
      </w:pPr>
      <w:r>
        <w:rPr/>
        <w:t xml:space="preserve">To go ahead, tick your choices, sign below and send a copy to </w:t>
      </w:r>
      <w:r>
        <w:rPr>
          <w:b/>
          <w:color w:val="20242B"/>
          <w:shd w:val="clear" w:color="auto" w:fill="FFF1A8"/>
        </w:rPr>
        <w:t>[[EMAIL]]</w:t>
      </w:r>
      <w:r>
        <w:rPr/>
        <w:t xml:space="preserve"> or WhatsApp </w:t>
      </w:r>
      <w:r>
        <w:rPr>
          <w:b/>
          <w:color w:val="20242B"/>
          <w:shd w:val="clear" w:color="auto" w:fill="FFF1A8"/>
        </w:rPr>
        <w:t>[[PHONE / WHATSAPP]]</w:t>
      </w:r>
      <w:r>
        <w:rPr/>
        <w:t xml:space="preserve"> before </w:t>
      </w:r>
      <w:r>
        <w:rPr>
          <w:b/>
          <w:color w:val="20242B"/>
          <w:shd w:val="clear" w:color="auto" w:fill="FFF1A8"/>
        </w:rPr>
        <w:t>[[DATE + 30 days]]</w:t>
      </w:r>
      <w:r>
        <w:rPr/>
        <w: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Partner wholesale, monthly: </w:t>
      </w:r>
      <w:r>
        <w:rPr>
          <w:b/>
          <w:color w:val="20242B"/>
          <w:shd w:val="clear" w:color="auto" w:fill="FFF1A8"/>
        </w:rPr>
        <w:t>[[R5,599 / ₦463,000 / KSh 44,999 / GH₵ 3,799 / $299]]</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Partner wholesale, annual: </w:t>
      </w:r>
      <w:r>
        <w:rPr>
          <w:b/>
          <w:color w:val="20242B"/>
          <w:shd w:val="clear" w:color="auto" w:fill="FFF1A8"/>
        </w:rPr>
        <w:t>[[R55,990 / ₦4,630,000 / KSh 449,990 / GH₵ 37,990 / $2,990]]</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30-day onboarding plan starting </w:t>
      </w:r>
      <w:r>
        <w:rPr>
          <w:b/>
          <w:color w:val="20242B"/>
          <w:shd w:val="clear" w:color="auto" w:fill="FFF1A8"/>
        </w:rPr>
        <w:t>[[DATE]]</w:t>
      </w:r>
      <w:r>
        <w:rPr/>
        <w:t xml:space="preserve"> with first pilot client </w:t>
      </w:r>
      <w:r>
        <w:rPr>
          <w:b/>
          <w:color w:val="20242B"/>
          <w:shd w:val="clear" w:color="auto" w:fill="FFF1A8"/>
        </w:rPr>
        <w:t>[[PILOT CLIENT]]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Co-marketing activities: </w:t>
      </w:r>
      <w:r>
        <w:rPr>
          <w:b/>
          <w:color w:val="20242B"/>
          <w:shd w:val="clear" w:color="auto" w:fill="FFF1A8"/>
        </w:rPr>
        <w:t>[[LIST]]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Referral programme (once commission terms are published)</w:t>
      </w:r>
    </w:p>
    <w:p>
      <w:pPr>
        <w:keepNext/>
        <w:spacing w:before="120"/>
      </w:pPr>
      <w:r>
        <w:rPr>
          <w:sz w:val="19"/>
        </w:rPr>
        <w:t xml:space="preserve">By signing, </w:t>
      </w:r>
      <w:r>
        <w:rPr>
          <w:b/>
          <w:color w:val="20242B"/>
          <w:sz w:val="19"/>
          <w:shd w:val="clear" w:color="auto" w:fill="FFF1A8"/>
        </w:rPr>
        <w:t>[[AGENCY NAME]]</w:t>
      </w:r>
      <w:r>
        <w:rPr>
          <w:sz w:val="19"/>
        </w:rPr>
        <w:t xml:space="preserve"> accepts proposal </w:t>
      </w:r>
      <w:r>
        <w:rPr>
          <w:b/>
          <w:color w:val="20242B"/>
          <w:sz w:val="19"/>
          <w:shd w:val="clear" w:color="auto" w:fill="FFF1A8"/>
        </w:rPr>
        <w:t>[[FM-PRO-YYYY-###]]</w:t>
      </w:r>
      <w:r>
        <w:rPr>
          <w:sz w:val="19"/>
        </w:rPr>
        <w:t xml:space="preserve"> on the choices ticked above, subject to the final terms in section 11 once legal review is complete. </w:t>
      </w:r>
      <w:r>
        <w:rPr>
          <w:b/>
          <w:color w:val="20242B"/>
          <w:sz w:val="19"/>
          <w:shd w:val="clear" w:color="auto" w:fill="FFF1A8"/>
        </w:rPr>
        <w:t>[[LEGAL REVIEW REQUIRED]]</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ignature and acceptance block"/>
      </w:tblPr>
      <w:tblGrid>
        <w:gridCol w:w="4705"/>
        <w:gridCol w:w="226"/>
        <w:gridCol w:w="4705"/>
      </w:tblGrid>
      <w:tr>
        <w:trPr>
          <w:cantSplit/>
        </w:trPr>
        <w:tc>
          <w:tcPr>
            <w:tcW w:type="dxa" w:w="4706"/>
            <w:shd w:val="clear" w:color="auto" w:fill="FF6A00"/>
          </w:tcPr>
          <w:p>
            <w:pPr>
              <w:keepNext/>
              <w:spacing w:after="20" w:line="252" w:lineRule="auto"/>
            </w:pPr>
            <w:r>
              <w:rPr>
                <w:rFonts w:ascii="Poppins" w:hAnsi="Poppins" w:cs="Poppins" w:eastAsia="Poppins"/>
                <w:b/>
                <w:color w:val="20242B"/>
                <w:sz w:val="20"/>
              </w:rPr>
              <w:t xml:space="preserve">For </w:t>
            </w:r>
            <w:r>
              <w:rPr>
                <w:rFonts w:ascii="Poppins" w:hAnsi="Poppins" w:cs="Poppins" w:eastAsia="Poppins"/>
                <w:b/>
                <w:color w:val="20242B"/>
                <w:sz w:val="20"/>
                <w:shd w:val="clear" w:color="auto" w:fill="FFF1A8"/>
              </w:rPr>
              <w:t>[[AGENCY NAME]]</w:t>
            </w:r>
          </w:p>
        </w:tc>
        <w:tc>
          <w:tcPr>
            <w:tcW w:type="dxa" w:w="227"/>
          </w:tcPr>
          <w:p>
            <w:pPr>
              <w:keepNext/>
            </w:pPr>
          </w:p>
        </w:tc>
        <w:tc>
          <w:tcPr>
            <w:tcW w:type="dxa" w:w="4706"/>
            <w:shd w:val="clear" w:color="auto" w:fill="FF6A00"/>
          </w:tcPr>
          <w:p>
            <w:pPr>
              <w:keepNext/>
              <w:spacing w:after="20" w:line="252" w:lineRule="auto"/>
            </w:pPr>
            <w:r>
              <w:rPr>
                <w:rFonts w:ascii="Poppins" w:hAnsi="Poppins" w:cs="Poppins" w:eastAsia="Poppins"/>
                <w:b/>
                <w:color w:val="20242B"/>
                <w:sz w:val="20"/>
              </w:rPr>
              <w:t>For Fluxmuse Pty Ltd</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Name: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Name: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Title / role: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Title / role:</w:t>
            </w:r>
          </w:p>
        </w:tc>
      </w:tr>
      <w:tr>
        <w:trPr>
          <w:cantSplit/>
          <w:trHeight w:val="794"/>
        </w:trPr>
        <w:tc>
          <w:tcPr>
            <w:tcW w:type="dxa" w:w="4706"/>
            <w:tcBorders>
              <w:bottom w:val="single" w:sz="6" w:space="0" w:color="37474F"/>
            </w:tcBorders>
            <w:vAlign w:val="bottom"/>
          </w:tcPr>
          <w:p>
            <w:pPr>
              <w:keepNext/>
              <w:spacing w:after="20" w:line="252" w:lineRule="auto"/>
            </w:pPr>
            <w:r>
              <w:rPr>
                <w:color w:val="5B6570"/>
                <w:sz w:val="18"/>
              </w:rPr>
              <w:t>Signature: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Signature: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Date: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Date:</w:t>
            </w:r>
          </w:p>
        </w:tc>
      </w:tr>
      <w:tr>
        <w:trPr>
          <w:cantSplit/>
          <w:trHeight w:val="510"/>
        </w:trPr>
        <w:tc>
          <w:tcPr>
            <w:tcW w:type="dxa" w:w="4706"/>
            <w:tcBorders>
              <w:bottom w:val="single" w:sz="6" w:space="0" w:color="37474F"/>
            </w:tcBorders>
            <w:vAlign w:val="bottom"/>
          </w:tcPr>
          <w:p>
            <w:pPr>
              <w:spacing w:after="20" w:line="252" w:lineRule="auto"/>
            </w:pPr>
            <w:r>
              <w:rPr>
                <w:color w:val="5B6570"/>
                <w:sz w:val="18"/>
              </w:rPr>
              <w:t>Place:</w:t>
            </w:r>
          </w:p>
        </w:tc>
        <w:tc>
          <w:tcPr>
            <w:tcW w:type="dxa" w:w="227"/>
          </w:tcPr>
          <w:p/>
        </w:tc>
        <w:tc>
          <w:tcPr>
            <w:tcW w:type="dxa" w:w="4706"/>
            <w:tcBorders>
              <w:bottom w:val="single" w:sz="6" w:space="0" w:color="37474F"/>
            </w:tcBorders>
            <w:vAlign w:val="bottom"/>
          </w:tcPr>
          <w:p>
            <w:pPr>
              <w:spacing w:after="20" w:line="252" w:lineRule="auto"/>
            </w:pPr>
            <w:r>
              <w:rPr>
                <w:color w:val="5B6570"/>
                <w:sz w:val="18"/>
              </w:rPr>
              <w:t>Place:</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[[AGENCY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[[AGENCY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 xml:space="preserve">Proposal </w:t>
    </w:r>
    <w:r>
      <w:rPr>
        <w:b/>
        <w:color w:val="20242B"/>
        <w:sz w:val="16"/>
        <w:shd w:val="clear" w:color="auto" w:fill="FFF1A8"/>
      </w:rPr>
      <w:t>[[FM-PRO-YYYY-###]]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Agency partner</dc:title>
  <dc:subject>Flux_Partner programme proposal template</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