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FLUX_PARTNER PROGRAMME PROPOSAL</w:t>
      </w:r>
    </w:p>
    <w:p>
      <w:pPr>
        <w:pStyle w:val="Title"/>
        <w:spacing w:after="80"/>
      </w:pPr>
      <w:r>
        <w:rPr/>
        <w:t>Serve more clients under your own brand</w:t>
      </w:r>
    </w:p>
    <w:p>
      <w:pPr>
        <w:spacing w:after="280"/>
      </w:pPr>
      <w:r>
        <w:rPr>
          <w:color w:val="37474F"/>
          <w:sz w:val="26"/>
        </w:rPr>
        <w:t xml:space="preserve">Partner proposal for </w:t>
      </w:r>
      <w:r>
        <w:rPr>
          <w:b/>
          <w:color w:val="20242B"/>
          <w:sz w:val="26"/>
          <w:shd w:val="clear" w:color="auto" w:fill="FFF1A8"/>
        </w:rPr>
        <w:t>[[AGENCY NAME]]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[[AGENCY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[[AGENCY NAME]]</w:t>
      </w:r>
      <w:r>
        <w:rPr>
          <w:color w:val="5B6570"/>
          <w:sz w:val="17"/>
        </w:rPr>
        <w:t xml:space="preserve"> only. Prices in South African rand (ZAR); the price shown is the amount charged.</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Agency partner (Flux_Partner)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08_Prospects/CURRENT_OFFER.md. Every paid plan starts with payment: no trials, no free period. Free is a permanent plan, never a trial and never the lead offer.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Founding Member is live for South African sign-ups: 30% off the first two monthly bills on Starter, Growth and Scale. No end date is set, so don't print one. Never on Agency or partner wholesale.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Guarantee: only the lead guarantee, always with its conditions. Never promise cash back, sales or results.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FluxMuse has no customers or results yet. No customer counts, ratings, testimonials or case-study numbers. KPI numbers are always “Target (goal)”. Describe live features as “newly launched”.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Being switched on, never live: Facebook and Instagram auto-posting, checkout through FluxMuse, AI Voice (beta), daily digest, store sync. Not available: Instagram DMs and comments, checkout outside South Africa.</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South Africa only for paid plans. Prospects elsewhere join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Agencies get the partner wholesale price of R6,999/mo (30% off the R9,999 Agency list price). Never present it as a launch discount, and never add Founding Member on top.</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Partner economics are illustrative. Don't quote a fixed margin percentage: margin depends on the partner's retail price and costs.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Referral commission and partner obligations stay as founder placeholders until decided.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keepNext/>
        <w:spacing w:after="120"/>
      </w:pPr>
      <w:r>
        <w:rPr>
          <w:rFonts w:ascii="Poppins" w:hAnsi="Poppins" w:cs="Poppins" w:eastAsia="Poppins"/>
          <w:b/>
          <w:sz w:val="32"/>
        </w:rPr>
        <w:t>Contents</w:t>
      </w:r>
    </w:p>
    <w:p>
      <w:pPr>
        <w:pBdr>
          <w:bottom w:val="single" w:sz="12" w:space="1" w:color="FF6A00"/>
        </w:pBdr>
        <w:spacing w:after="80"/>
      </w:pPr>
    </w:p>
    <w:p>
      <w:pPr>
        <w:tabs>
          <w:tab w:pos="9638" w:val="right"/>
        </w:tabs>
        <w:spacing w:after="40"/>
      </w:pPr>
      <w:r>
        <w:fldChar w:fldCharType="begin"/>
      </w:r>
      <w:r>
        <w:instrText xml:space="preserve"> TOC \o "1-1" \h \z \u </w:instrText>
      </w:r>
      <w:r>
        <w:fldChar w:fldCharType="separate"/>
      </w:r>
      <w:r>
        <w:rPr>
          <w:sz w:val="21"/>
        </w:rPr>
        <w:t>1. Why partner with FluxMuse</w:t>
      </w:r>
    </w:p>
    <w:p>
      <w:pPr>
        <w:tabs>
          <w:tab w:pos="9638" w:val="right"/>
        </w:tabs>
        <w:spacing w:after="40"/>
      </w:pPr>
      <w:r>
        <w:rPr>
          <w:sz w:val="21"/>
        </w:rPr>
        <w:t>2. What partners get</w:t>
      </w:r>
    </w:p>
    <w:p>
      <w:pPr>
        <w:tabs>
          <w:tab w:pos="9638" w:val="right"/>
        </w:tabs>
        <w:spacing w:after="40"/>
      </w:pPr>
      <w:r>
        <w:rPr>
          <w:sz w:val="21"/>
        </w:rPr>
        <w:t>3. Partner wholesale pricing</w:t>
      </w:r>
    </w:p>
    <w:p>
      <w:pPr>
        <w:tabs>
          <w:tab w:pos="9638" w:val="right"/>
        </w:tabs>
        <w:spacing w:after="40"/>
      </w:pPr>
      <w:r>
        <w:rPr>
          <w:sz w:val="21"/>
        </w:rPr>
        <w:t>4. Partner economics</w:t>
      </w:r>
    </w:p>
    <w:p>
      <w:pPr>
        <w:tabs>
          <w:tab w:pos="9638" w:val="right"/>
        </w:tabs>
        <w:spacing w:after="40"/>
      </w:pPr>
      <w:r>
        <w:rPr>
          <w:sz w:val="21"/>
        </w:rPr>
        <w:t>5. Onboarding plan (first 30 days)</w:t>
      </w:r>
    </w:p>
    <w:p>
      <w:pPr>
        <w:tabs>
          <w:tab w:pos="9638" w:val="right"/>
        </w:tabs>
        <w:spacing w:after="40"/>
      </w:pPr>
      <w:r>
        <w:rPr>
          <w:sz w:val="21"/>
        </w:rPr>
        <w:t>6. Co-marketing</w:t>
      </w:r>
    </w:p>
    <w:p>
      <w:pPr>
        <w:tabs>
          <w:tab w:pos="9638" w:val="right"/>
        </w:tabs>
        <w:spacing w:after="40"/>
      </w:pPr>
      <w:r>
        <w:rPr>
          <w:sz w:val="21"/>
        </w:rPr>
        <w:t>7. Referral commission</w:t>
      </w:r>
    </w:p>
    <w:p>
      <w:pPr>
        <w:tabs>
          <w:tab w:pos="9638" w:val="right"/>
        </w:tabs>
        <w:spacing w:after="40"/>
      </w:pPr>
      <w:r>
        <w:rPr>
          <w:sz w:val="21"/>
        </w:rPr>
        <w:t>8. Partner obligations TBC</w:t>
      </w:r>
    </w:p>
    <w:p>
      <w:pPr>
        <w:tabs>
          <w:tab w:pos="9638" w:val="right"/>
        </w:tabs>
        <w:spacing w:after="40"/>
      </w:pPr>
      <w:r>
        <w:rPr>
          <w:sz w:val="21"/>
        </w:rPr>
        <w:t>9. Brand usage rules</w:t>
      </w:r>
    </w:p>
    <w:p>
      <w:pPr>
        <w:tabs>
          <w:tab w:pos="9638" w:val="right"/>
        </w:tabs>
        <w:spacing w:after="40"/>
      </w:pPr>
      <w:r>
        <w:rPr>
          <w:sz w:val="21"/>
        </w:rPr>
        <w:t>10. Trust and data protection</w:t>
      </w:r>
    </w:p>
    <w:p>
      <w:pPr>
        <w:tabs>
          <w:tab w:pos="9638" w:val="right"/>
        </w:tabs>
        <w:spacing w:after="40"/>
      </w:pPr>
      <w:r>
        <w:rPr>
          <w:sz w:val="21"/>
        </w:rPr>
        <w:t>11. Terms</w:t>
      </w:r>
    </w:p>
    <w:p>
      <w:pPr>
        <w:tabs>
          <w:tab w:pos="9638" w:val="right"/>
        </w:tabs>
        <w:spacing w:after="40"/>
      </w:pPr>
      <w:r>
        <w:rPr>
          <w:sz w:val="21"/>
        </w:rPr>
        <w:t>12. Acceptance</w:t>
      </w:r>
      <w:r>
        <w:fldChar w:fldCharType="end"/>
      </w:r>
    </w:p>
    <w:p>
      <w:pPr>
        <w:spacing w:after="200"/>
      </w:pPr>
      <w:r>
        <w:rPr>
          <w:i/>
          <w:color w:val="5B6570"/>
          <w:sz w:val="17"/>
        </w:rPr>
        <w:t>Word builds page numbers when you open the file (choose Yes to update fields), or right-click the list and choose Update Field.</w:t>
      </w:r>
    </w:p>
    <w:p>
      <w:pPr>
        <w:spacing w:after="0"/>
      </w:pPr>
      <w:r>
        <w:br w:type="page"/>
      </w:r>
    </w:p>
    <w:p>
      <w:pPr>
        <w:pStyle w:val="Heading1"/>
      </w:pPr>
      <w:r>
        <w:rPr/>
        <w:t>1. Why partner with FluxMuse</w:t>
      </w:r>
    </w:p>
    <w:p>
      <w:r>
        <w:rPr>
          <w:b/>
          <w:color w:val="20242B"/>
          <w:shd w:val="clear" w:color="auto" w:fill="FFF1A8"/>
        </w:rPr>
        <w:t>[[AGENCY NAME]]</w:t>
      </w:r>
      <w:r>
        <w:rPr/>
        <w:t xml:space="preserve"> manages </w:t>
      </w:r>
      <w:r>
        <w:rPr>
          <w:b/>
          <w:color w:val="20242B"/>
          <w:shd w:val="clear" w:color="auto" w:fill="FFF1A8"/>
        </w:rPr>
        <w:t>[[N]]</w:t>
      </w:r>
      <w:r>
        <w:rPr/>
        <w:t xml:space="preserve"> SMB clients who want more from social and WhatsApp than posts and a monthly report. FluxMuse lets your team run marketing, WhatsApp commerce and reporting for all of them from one platform, under your brand, at a wholesale price you mark up yourself.</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gency pains and FluxMuse answers"/>
      </w:tblPr>
      <w:tblGrid>
        <w:gridCol w:w="3968"/>
        <w:gridCol w:w="5669"/>
      </w:tblGrid>
      <w:tr>
        <w:trPr>
          <w:cantSplit/>
          <w:tblHeader/>
        </w:trPr>
        <w:tc>
          <w:tcPr>
            <w:tcW w:type="dxa" w:w="3969"/>
            <w:shd w:val="clear" w:color="auto" w:fill="FF6A00"/>
            <w:vAlign w:val="center"/>
          </w:tcPr>
          <w:p>
            <w:pPr>
              <w:keepNext/>
              <w:spacing w:after="20" w:line="252" w:lineRule="auto"/>
            </w:pPr>
            <w:r>
              <w:rPr>
                <w:rFonts w:ascii="Poppins" w:hAnsi="Poppins" w:cs="Poppins" w:eastAsia="Poppins"/>
                <w:b/>
                <w:color w:val="20242B"/>
                <w:sz w:val="19"/>
              </w:rPr>
              <w:t>What agencies tell us</w:t>
            </w:r>
          </w:p>
        </w:tc>
        <w:tc>
          <w:tcPr>
            <w:tcW w:type="dxa" w:w="5669"/>
            <w:shd w:val="clear" w:color="auto" w:fill="FF6A00"/>
            <w:vAlign w:val="center"/>
          </w:tcPr>
          <w:p>
            <w:pPr>
              <w:keepNext/>
              <w:spacing w:after="20" w:line="252" w:lineRule="auto"/>
            </w:pPr>
            <w:r>
              <w:rPr>
                <w:rFonts w:ascii="Poppins" w:hAnsi="Poppins" w:cs="Poppins" w:eastAsia="Poppins"/>
                <w:b/>
                <w:color w:val="20242B"/>
                <w:sz w:val="19"/>
              </w:rPr>
              <w:t>What FluxMuse changes</w:t>
            </w:r>
          </w:p>
        </w:tc>
      </w:tr>
      <w:tr>
        <w:trPr>
          <w:cantSplit/>
        </w:trPr>
        <w:tc>
          <w:tcPr>
            <w:tcW w:type="dxa" w:w="3969"/>
            <w:vAlign w:val="center"/>
          </w:tcPr>
          <w:p>
            <w:pPr>
              <w:spacing w:after="20" w:line="252" w:lineRule="auto"/>
            </w:pPr>
            <w:r>
              <w:rPr>
                <w:b/>
                <w:sz w:val="19"/>
              </w:rPr>
              <w:t>Margin squeeze on every client retainer</w:t>
            </w:r>
          </w:p>
        </w:tc>
        <w:tc>
          <w:tcPr>
            <w:tcW w:type="dxa" w:w="5669"/>
            <w:vAlign w:val="center"/>
          </w:tcPr>
          <w:p>
            <w:pPr>
              <w:spacing w:after="20" w:line="252" w:lineRule="auto"/>
            </w:pPr>
            <w:r>
              <w:rPr>
                <w:sz w:val="19"/>
              </w:rPr>
              <w:t>Wholesale Agency plan, your own retail price: you keep the spread</w:t>
            </w:r>
          </w:p>
        </w:tc>
      </w:tr>
      <w:tr>
        <w:trPr>
          <w:cantSplit/>
        </w:trPr>
        <w:tc>
          <w:tcPr>
            <w:tcW w:type="dxa" w:w="3969"/>
            <w:shd w:val="clear" w:color="auto" w:fill="FAFAFB"/>
            <w:vAlign w:val="center"/>
          </w:tcPr>
          <w:p>
            <w:pPr>
              <w:spacing w:after="20" w:line="252" w:lineRule="auto"/>
            </w:pPr>
            <w:r>
              <w:rPr>
                <w:b/>
                <w:sz w:val="19"/>
              </w:rPr>
              <w:t>Manual reporting and too many tools per client</w:t>
            </w:r>
          </w:p>
        </w:tc>
        <w:tc>
          <w:tcPr>
            <w:tcW w:type="dxa" w:w="5669"/>
            <w:shd w:val="clear" w:color="auto" w:fill="FAFAFB"/>
            <w:vAlign w:val="center"/>
          </w:tcPr>
          <w:p>
            <w:pPr>
              <w:spacing w:after="20" w:line="252" w:lineRule="auto"/>
            </w:pPr>
            <w:r>
              <w:rPr>
                <w:sz w:val="19"/>
              </w:rPr>
              <w:t>White-label and multi-client on one platform, with unlimited brands and 80 channels</w:t>
            </w:r>
          </w:p>
        </w:tc>
      </w:tr>
      <w:tr>
        <w:trPr>
          <w:cantSplit/>
        </w:trPr>
        <w:tc>
          <w:tcPr>
            <w:tcW w:type="dxa" w:w="3969"/>
            <w:vAlign w:val="center"/>
          </w:tcPr>
          <w:p>
            <w:pPr>
              <w:spacing w:after="20" w:line="252" w:lineRule="auto"/>
            </w:pPr>
            <w:r>
              <w:rPr>
                <w:b/>
                <w:sz w:val="19"/>
              </w:rPr>
              <w:t>Clients asking for WhatsApp commerce and AI</w:t>
            </w:r>
          </w:p>
        </w:tc>
        <w:tc>
          <w:tcPr>
            <w:tcW w:type="dxa" w:w="5669"/>
            <w:vAlign w:val="center"/>
          </w:tcPr>
          <w:p>
            <w:pPr>
              <w:spacing w:after="20" w:line="252" w:lineRule="auto"/>
            </w:pPr>
            <w:r>
              <w:rPr>
                <w:sz w:val="19"/>
              </w:rPr>
              <w:t>Resell WhatsApp shops, AI posts and order alerts under your own brand</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2" name="Picture 2" descr="Segment card for agencies: margin squeeze, manual reporting and client demand for WhatsApp commerce, matched to wholesale pricing and white-label, multi-client tools."/>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3442500"/>
                    </a:xfrm>
                    <a:prstGeom prst="rect"/>
                  </pic:spPr>
                </pic:pic>
              </a:graphicData>
            </a:graphic>
          </wp:inline>
        </w:drawing>
      </w:r>
    </w:p>
    <w:p>
      <w:pPr>
        <w:pStyle w:val="Caption"/>
        <w:jc w:val="center"/>
      </w:pPr>
      <w:r>
        <w:rPr>
          <w:b/>
        </w:rPr>
        <w:t>Figure 1.</w:t>
      </w:r>
      <w:r>
        <w:rPr/>
        <w:t xml:space="preserve"> Agencies: today vs with FluxMuse.</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Programme status</w:t>
            </w:r>
          </w:p>
          <w:p>
            <w:pPr>
              <w:spacing w:after="80"/>
            </w:pPr>
            <w:r>
              <w:rPr>
                <w:sz w:val="19"/>
              </w:rPr>
              <w:t>FluxMuse is newly launched and has no agency partners yet. You would be among the first, and we set you up by hand.</w:t>
            </w:r>
          </w:p>
          <w:p>
            <w:pPr>
              <w:spacing w:after="80"/>
            </w:pPr>
            <w:r>
              <w:rPr>
                <w:sz w:val="19"/>
              </w:rPr>
              <w:t xml:space="preserve">On the Agency tier: white-label, multi-client, unlimited brands, 80 channels, bring your own cloud. </w:t>
            </w:r>
            <w:r>
              <w:rPr>
                <w:b/>
                <w:color w:val="20242B"/>
                <w:sz w:val="19"/>
                <w:shd w:val="clear" w:color="auto" w:fill="FFF1A8"/>
              </w:rPr>
              <w:t>[[FOUNDER TO CONFIRM: reseller billing and partner directory status]]</w:t>
            </w:r>
          </w:p>
          <w:p>
            <w:pPr>
              <w:spacing w:after="80"/>
            </w:pPr>
            <w:r>
              <w:rPr>
                <w:sz w:val="19"/>
              </w:rPr>
              <w:t>On the roadmap (indicative, not dated): referral tracking and the wider Flux_Partner programme.</w:t>
            </w:r>
          </w:p>
        </w:tc>
      </w:tr>
    </w:tbl>
    <w:p>
      <w:pPr>
        <w:spacing w:after="0" w:line="160" w:lineRule="exact"/>
      </w:pPr>
    </w:p>
    <w:p>
      <w:pPr>
        <w:pStyle w:val="Heading1"/>
      </w:pPr>
      <w:r>
        <w:rPr/>
        <w:t>2. What partners get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inclusion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Inclusion</w:t>
            </w:r>
          </w:p>
        </w:tc>
        <w:tc>
          <w:tcPr>
            <w:tcW w:type="dxa" w:w="7030"/>
            <w:shd w:val="clear" w:color="auto" w:fill="FF6A00"/>
            <w:vAlign w:val="center"/>
          </w:tcPr>
          <w:p>
            <w:pPr>
              <w:keepNext/>
              <w:spacing w:after="20" w:line="252" w:lineRule="auto"/>
            </w:pPr>
            <w:r>
              <w:rPr>
                <w:rFonts w:ascii="Poppins" w:hAnsi="Poppins" w:cs="Poppins" w:eastAsia="Poppins"/>
                <w:b/>
                <w:color w:val="20242B"/>
                <w:sz w:val="19"/>
              </w:rPr>
              <w:t>Detail</w:t>
            </w:r>
          </w:p>
        </w:tc>
      </w:tr>
      <w:tr>
        <w:trPr>
          <w:cantSplit/>
        </w:trPr>
        <w:tc>
          <w:tcPr>
            <w:tcW w:type="dxa" w:w="2608"/>
            <w:vAlign w:val="center"/>
          </w:tcPr>
          <w:p>
            <w:pPr>
              <w:spacing w:after="20" w:line="252" w:lineRule="auto"/>
            </w:pPr>
            <w:r>
              <w:rPr>
                <w:b/>
                <w:sz w:val="19"/>
              </w:rPr>
              <w:t>White-label</w:t>
            </w:r>
          </w:p>
        </w:tc>
        <w:tc>
          <w:tcPr>
            <w:tcW w:type="dxa" w:w="7030"/>
            <w:vAlign w:val="center"/>
          </w:tcPr>
          <w:p>
            <w:pPr>
              <w:spacing w:after="20" w:line="252" w:lineRule="auto"/>
            </w:pPr>
            <w:r>
              <w:rPr>
                <w:sz w:val="19"/>
              </w:rPr>
              <w:t xml:space="preserve">Your brand on the client experience </w:t>
            </w:r>
            <w:r>
              <w:rPr>
                <w:b/>
                <w:color w:val="20242B"/>
                <w:sz w:val="19"/>
                <w:shd w:val="clear" w:color="auto" w:fill="FFF1A8"/>
              </w:rPr>
              <w:t>[[CONFIRM: app, reports, custom domain]]</w:t>
            </w:r>
          </w:p>
        </w:tc>
      </w:tr>
      <w:tr>
        <w:trPr>
          <w:cantSplit/>
        </w:trPr>
        <w:tc>
          <w:tcPr>
            <w:tcW w:type="dxa" w:w="2608"/>
            <w:shd w:val="clear" w:color="auto" w:fill="FAFAFB"/>
            <w:vAlign w:val="center"/>
          </w:tcPr>
          <w:p>
            <w:pPr>
              <w:spacing w:after="20" w:line="252" w:lineRule="auto"/>
            </w:pPr>
            <w:r>
              <w:rPr>
                <w:b/>
                <w:sz w:val="19"/>
              </w:rPr>
              <w:t>Multi-client</w:t>
            </w:r>
          </w:p>
        </w:tc>
        <w:tc>
          <w:tcPr>
            <w:tcW w:type="dxa" w:w="7030"/>
            <w:shd w:val="clear" w:color="auto" w:fill="FAFAFB"/>
            <w:vAlign w:val="center"/>
          </w:tcPr>
          <w:p>
            <w:pPr>
              <w:spacing w:after="20" w:line="252" w:lineRule="auto"/>
            </w:pPr>
            <w:r>
              <w:rPr>
                <w:sz w:val="19"/>
              </w:rPr>
              <w:t xml:space="preserve">One workspace per client, managed by your team </w:t>
            </w:r>
            <w:r>
              <w:rPr>
                <w:b/>
                <w:color w:val="20242B"/>
                <w:sz w:val="19"/>
                <w:shd w:val="clear" w:color="auto" w:fill="FFF1A8"/>
              </w:rPr>
              <w:t>[[CONFIRM: sub-account limit]]</w:t>
            </w:r>
          </w:p>
        </w:tc>
      </w:tr>
      <w:tr>
        <w:trPr>
          <w:cantSplit/>
        </w:trPr>
        <w:tc>
          <w:tcPr>
            <w:tcW w:type="dxa" w:w="2608"/>
            <w:vAlign w:val="center"/>
          </w:tcPr>
          <w:p>
            <w:pPr>
              <w:spacing w:after="20" w:line="252" w:lineRule="auto"/>
            </w:pPr>
            <w:r>
              <w:rPr>
                <w:b/>
                <w:sz w:val="19"/>
              </w:rPr>
              <w:t>Unlimited brands, 80 channels</w:t>
            </w:r>
          </w:p>
        </w:tc>
        <w:tc>
          <w:tcPr>
            <w:tcW w:type="dxa" w:w="7030"/>
            <w:vAlign w:val="center"/>
          </w:tcPr>
          <w:p>
            <w:pPr>
              <w:spacing w:after="20" w:line="252" w:lineRule="auto"/>
            </w:pPr>
            <w:r>
              <w:rPr>
                <w:sz w:val="19"/>
              </w:rPr>
              <w:t>Across all your clients</w:t>
            </w:r>
          </w:p>
        </w:tc>
      </w:tr>
      <w:tr>
        <w:trPr>
          <w:cantSplit/>
        </w:trPr>
        <w:tc>
          <w:tcPr>
            <w:tcW w:type="dxa" w:w="2608"/>
            <w:shd w:val="clear" w:color="auto" w:fill="FAFAFB"/>
            <w:vAlign w:val="center"/>
          </w:tcPr>
          <w:p>
            <w:pPr>
              <w:spacing w:after="20" w:line="252" w:lineRule="auto"/>
            </w:pPr>
            <w:r>
              <w:rPr>
                <w:b/>
                <w:sz w:val="19"/>
              </w:rPr>
              <w:t>Bring your own cloud</w:t>
            </w:r>
          </w:p>
        </w:tc>
        <w:tc>
          <w:tcPr>
            <w:tcW w:type="dxa" w:w="7030"/>
            <w:shd w:val="clear" w:color="auto" w:fill="FAFAFB"/>
            <w:vAlign w:val="center"/>
          </w:tcPr>
          <w:p>
            <w:pPr>
              <w:spacing w:after="20" w:line="252" w:lineRule="auto"/>
            </w:pPr>
            <w:r>
              <w:rPr>
                <w:sz w:val="19"/>
              </w:rPr>
              <w:t xml:space="preserve">Run on your own cloud account if you want to </w:t>
            </w:r>
            <w:r>
              <w:rPr>
                <w:b/>
                <w:color w:val="20242B"/>
                <w:sz w:val="19"/>
                <w:shd w:val="clear" w:color="auto" w:fill="FFF1A8"/>
              </w:rPr>
              <w:t>[[CONFIRM SCOPE]]</w:t>
            </w:r>
          </w:p>
        </w:tc>
      </w:tr>
      <w:tr>
        <w:trPr>
          <w:cantSplit/>
        </w:trPr>
        <w:tc>
          <w:tcPr>
            <w:tcW w:type="dxa" w:w="2608"/>
            <w:vAlign w:val="center"/>
          </w:tcPr>
          <w:p>
            <w:pPr>
              <w:spacing w:after="20" w:line="252" w:lineRule="auto"/>
            </w:pPr>
            <w:r>
              <w:rPr>
                <w:b/>
                <w:sz w:val="19"/>
              </w:rPr>
              <w:t>AI credits</w:t>
            </w:r>
          </w:p>
        </w:tc>
        <w:tc>
          <w:tcPr>
            <w:tcW w:type="dxa" w:w="7030"/>
            <w:vAlign w:val="center"/>
          </w:tcPr>
          <w:p>
            <w:pPr>
              <w:spacing w:after="20" w:line="252" w:lineRule="auto"/>
            </w:pPr>
            <w:r>
              <w:rPr>
                <w:sz w:val="19"/>
              </w:rPr>
              <w:t xml:space="preserve">Included; see fluxmuse.ai/pricing </w:t>
            </w:r>
            <w:r>
              <w:rPr>
                <w:b/>
                <w:color w:val="20242B"/>
                <w:sz w:val="19"/>
                <w:shd w:val="clear" w:color="auto" w:fill="FFF1A8"/>
              </w:rPr>
              <w:t>[[CONFIRM HOW CREDITS ARE SHARED ACROSS CLIENTS]]</w:t>
            </w:r>
          </w:p>
        </w:tc>
      </w:tr>
      <w:tr>
        <w:trPr>
          <w:cantSplit/>
        </w:trPr>
        <w:tc>
          <w:tcPr>
            <w:tcW w:type="dxa" w:w="2608"/>
            <w:shd w:val="clear" w:color="auto" w:fill="FAFAFB"/>
            <w:vAlign w:val="center"/>
          </w:tcPr>
          <w:p>
            <w:pPr>
              <w:spacing w:after="20" w:line="252" w:lineRule="auto"/>
            </w:pPr>
            <w:r>
              <w:rPr>
                <w:b/>
                <w:sz w:val="19"/>
              </w:rPr>
              <w:t>Live for your clients (newly launched)</w:t>
            </w:r>
          </w:p>
        </w:tc>
        <w:tc>
          <w:tcPr>
            <w:tcW w:type="dxa" w:w="7030"/>
            <w:shd w:val="clear" w:color="auto" w:fill="FAFAFB"/>
            <w:vAlign w:val="center"/>
          </w:tcPr>
          <w:p>
            <w:pPr>
              <w:spacing w:after="20" w:line="252" w:lineRule="auto"/>
            </w:pPr>
            <w:r>
              <w:rPr>
                <w:sz w:val="19"/>
              </w:rPr>
              <w:t>WhatsApp Concierge, hosted shop links, order alerts, AI captions, images and short video, WhatsApp broadcasts to opted-in contacts, TikTok video posting</w:t>
            </w:r>
          </w:p>
        </w:tc>
      </w:tr>
      <w:tr>
        <w:trPr>
          <w:cantSplit/>
        </w:trPr>
        <w:tc>
          <w:tcPr>
            <w:tcW w:type="dxa" w:w="2608"/>
            <w:vAlign w:val="center"/>
          </w:tcPr>
          <w:p>
            <w:pPr>
              <w:spacing w:after="20" w:line="252" w:lineRule="auto"/>
            </w:pPr>
            <w:r>
              <w:rPr>
                <w:b/>
                <w:sz w:val="19"/>
              </w:rPr>
              <w:t>Being switched on</w:t>
            </w:r>
          </w:p>
        </w:tc>
        <w:tc>
          <w:tcPr>
            <w:tcW w:type="dxa" w:w="7030"/>
            <w:vAlign w:val="center"/>
          </w:tcPr>
          <w:p>
            <w:pPr>
              <w:spacing w:after="20" w:line="252" w:lineRule="auto"/>
            </w:pPr>
            <w:r>
              <w:rPr>
                <w:sz w:val="19"/>
              </w:rPr>
              <w:t>Checkout through FluxMuse, Facebook and Instagram auto-posting, AI Voice (beta)</w:t>
            </w:r>
          </w:p>
        </w:tc>
      </w:tr>
      <w:tr>
        <w:trPr>
          <w:cantSplit/>
        </w:trPr>
        <w:tc>
          <w:tcPr>
            <w:tcW w:type="dxa" w:w="2608"/>
            <w:shd w:val="clear" w:color="auto" w:fill="FAFAFB"/>
            <w:vAlign w:val="center"/>
          </w:tcPr>
          <w:p>
            <w:pPr>
              <w:spacing w:after="20" w:line="252" w:lineRule="auto"/>
            </w:pPr>
            <w:r>
              <w:rPr>
                <w:b/>
                <w:sz w:val="19"/>
              </w:rPr>
              <w:t>Support</w:t>
            </w:r>
          </w:p>
        </w:tc>
        <w:tc>
          <w:tcPr>
            <w:tcW w:type="dxa" w:w="7030"/>
            <w:shd w:val="clear" w:color="auto" w:fill="FAFAFB"/>
            <w:vAlign w:val="center"/>
          </w:tcPr>
          <w:p>
            <w:pPr>
              <w:spacing w:after="20" w:line="252" w:lineRule="auto"/>
            </w:pPr>
            <w:r>
              <w:rPr>
                <w:sz w:val="19"/>
              </w:rPr>
              <w:t>Direct line to Thabo Malebadi, thabo@fluxmuse.com</w:t>
            </w:r>
          </w:p>
        </w:tc>
      </w:tr>
    </w:tbl>
    <w:p>
      <w:pPr>
        <w:spacing w:after="0" w:line="120" w:lineRule="exact"/>
      </w:pPr>
    </w:p>
    <w:p>
      <w:pPr>
        <w:pStyle w:val="Heading1"/>
      </w:pPr>
      <w:r>
        <w:rPr/>
        <w:t>3. Partner wholesale pricing</w:t>
      </w:r>
    </w:p>
    <w:p>
      <w:r>
        <w:rPr/>
        <w:t xml:space="preserve">Partners buy the Agency tier at </w:t>
      </w:r>
      <w:r>
        <w:rPr>
          <w:b/>
        </w:rPr>
        <w:t>30% off list</w:t>
      </w:r>
      <w:r>
        <w:rPr/>
        <w:t xml:space="preserve"> for as long as the partner agreement is active, then set their own retail price for clients. Same inclusions as the Agency plan.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wholesale pricing"/>
      </w:tblPr>
      <w:tblGrid>
        <w:gridCol w:w="2834"/>
        <w:gridCol w:w="3401"/>
        <w:gridCol w:w="3401"/>
      </w:tblGrid>
      <w:tr>
        <w:trPr>
          <w:cantSplit/>
          <w:tblHeader/>
        </w:trPr>
        <w:tc>
          <w:tcPr>
            <w:tcW w:type="dxa" w:w="2835"/>
            <w:shd w:val="clear" w:color="auto" w:fill="FF6A00"/>
            <w:vAlign w:val="center"/>
          </w:tcPr>
          <w:p>
            <w:pPr>
              <w:keepNext/>
              <w:spacing w:after="20" w:line="252" w:lineRule="auto"/>
            </w:pPr>
          </w:p>
        </w:tc>
        <w:tc>
          <w:tcPr>
            <w:tcW w:type="dxa" w:w="3402"/>
            <w:shd w:val="clear" w:color="auto" w:fill="FF6A00"/>
            <w:vAlign w:val="center"/>
          </w:tcPr>
          <w:p>
            <w:pPr>
              <w:keepNext/>
              <w:spacing w:after="20" w:line="252" w:lineRule="auto"/>
              <w:jc w:val="right"/>
            </w:pPr>
            <w:r>
              <w:rPr>
                <w:rFonts w:ascii="Poppins" w:hAnsi="Poppins" w:cs="Poppins" w:eastAsia="Poppins"/>
                <w:b/>
                <w:color w:val="20242B"/>
                <w:sz w:val="19"/>
              </w:rPr>
              <w:t>Agency list</w:t>
            </w:r>
          </w:p>
        </w:tc>
        <w:tc>
          <w:tcPr>
            <w:tcW w:type="dxa" w:w="3402"/>
            <w:shd w:val="clear" w:color="auto" w:fill="FF6A00"/>
            <w:vAlign w:val="center"/>
          </w:tcPr>
          <w:p>
            <w:pPr>
              <w:keepNext/>
              <w:spacing w:after="20" w:line="252" w:lineRule="auto"/>
              <w:jc w:val="right"/>
            </w:pPr>
            <w:r>
              <w:rPr>
                <w:rFonts w:ascii="Poppins" w:hAnsi="Poppins" w:cs="Poppins" w:eastAsia="Poppins"/>
                <w:b/>
                <w:color w:val="20242B"/>
                <w:sz w:val="19"/>
              </w:rPr>
              <w:t>Partner wholesale</w:t>
            </w:r>
          </w:p>
        </w:tc>
      </w:tr>
      <w:tr>
        <w:trPr>
          <w:cantSplit/>
        </w:trPr>
        <w:tc>
          <w:tcPr>
            <w:tcW w:type="dxa" w:w="2835"/>
            <w:shd w:val="clear" w:color="auto" w:fill="FFF4EB"/>
            <w:vAlign w:val="center"/>
          </w:tcPr>
          <w:p>
            <w:pPr>
              <w:spacing w:after="20" w:line="252" w:lineRule="auto"/>
            </w:pPr>
            <w:r>
              <w:rPr>
                <w:b/>
                <w:sz w:val="19"/>
              </w:rPr>
              <w:t>Monthly</w:t>
            </w:r>
          </w:p>
        </w:tc>
        <w:tc>
          <w:tcPr>
            <w:tcW w:type="dxa" w:w="3402"/>
            <w:shd w:val="clear" w:color="auto" w:fill="FFF4EB"/>
            <w:vAlign w:val="center"/>
          </w:tcPr>
          <w:p>
            <w:pPr>
              <w:spacing w:after="20" w:line="252" w:lineRule="auto"/>
              <w:jc w:val="right"/>
            </w:pPr>
            <w:r>
              <w:rPr>
                <w:sz w:val="19"/>
              </w:rPr>
              <w:t>R9,999</w:t>
            </w:r>
          </w:p>
        </w:tc>
        <w:tc>
          <w:tcPr>
            <w:tcW w:type="dxa" w:w="3402"/>
            <w:shd w:val="clear" w:color="auto" w:fill="FFF4EB"/>
            <w:vAlign w:val="center"/>
          </w:tcPr>
          <w:p>
            <w:pPr>
              <w:spacing w:after="20" w:line="252" w:lineRule="auto"/>
              <w:jc w:val="right"/>
            </w:pPr>
            <w:r>
              <w:rPr>
                <w:sz w:val="19"/>
              </w:rPr>
              <w:t>R6,999</w:t>
            </w:r>
          </w:p>
        </w:tc>
      </w:tr>
      <w:tr>
        <w:trPr>
          <w:cantSplit/>
        </w:trPr>
        <w:tc>
          <w:tcPr>
            <w:tcW w:type="dxa" w:w="2835"/>
            <w:shd w:val="clear" w:color="auto" w:fill="FAFAFB"/>
            <w:vAlign w:val="center"/>
          </w:tcPr>
          <w:p>
            <w:pPr>
              <w:spacing w:after="20" w:line="252" w:lineRule="auto"/>
            </w:pPr>
            <w:r>
              <w:rPr>
                <w:b/>
                <w:sz w:val="19"/>
              </w:rPr>
              <w:t>Annual (10× monthly)</w:t>
            </w:r>
          </w:p>
        </w:tc>
        <w:tc>
          <w:tcPr>
            <w:tcW w:type="dxa" w:w="3402"/>
            <w:shd w:val="clear" w:color="auto" w:fill="FAFAFB"/>
            <w:vAlign w:val="center"/>
          </w:tcPr>
          <w:p>
            <w:pPr>
              <w:spacing w:after="20" w:line="252" w:lineRule="auto"/>
              <w:jc w:val="right"/>
            </w:pPr>
            <w:r>
              <w:rPr>
                <w:sz w:val="19"/>
              </w:rPr>
              <w:t>R99,990</w:t>
            </w:r>
          </w:p>
        </w:tc>
        <w:tc>
          <w:tcPr>
            <w:tcW w:type="dxa" w:w="3402"/>
            <w:shd w:val="clear" w:color="auto" w:fill="FAFAFB"/>
            <w:vAlign w:val="center"/>
          </w:tcPr>
          <w:p>
            <w:pPr>
              <w:spacing w:after="20" w:line="252" w:lineRule="auto"/>
              <w:jc w:val="right"/>
            </w:pPr>
            <w:r>
              <w:rPr>
                <w:sz w:val="19"/>
              </w:rPr>
              <w:t>R69,990</w:t>
            </w:r>
          </w:p>
        </w:tc>
      </w:tr>
    </w:tbl>
    <w:p>
      <w:pPr>
        <w:spacing w:after="0" w:line="120" w:lineRule="exact"/>
      </w:pPr>
    </w:p>
    <w:p>
      <w:pPr>
        <w:pStyle w:val="ListBullet"/>
      </w:pPr>
      <w:r>
        <w:rPr/>
        <w:t>Payment first: the first month is paid when you subscribe. No trial period.</w:t>
      </w:r>
    </w:p>
    <w:p>
      <w:pPr>
        <w:pStyle w:val="ListBullet"/>
      </w:pPr>
      <w:r>
        <w:rPr/>
        <w:t>Wholesale pricing doesn't stack with the Founding Member offer, which isn't offered on the Agency tier.</w:t>
      </w:r>
    </w:p>
    <w:p>
      <w:pPr>
        <w:pStyle w:val="ListBullet"/>
      </w:pPr>
      <w:r>
        <w:rPr/>
        <w:t>Paid plans are for South African businesses. Clients outside South Africa can join the waitlist.</w:t>
      </w:r>
    </w:p>
    <w:p>
      <w:pPr>
        <w:pStyle w:val="ListBullet"/>
      </w:pPr>
      <w:r>
        <w:rPr/>
        <w:t>Pass-through costs (Meta WhatsApp message fees, ad spend) are separate and can be re-billed to your clients.</w:t>
      </w:r>
    </w:p>
    <w:p>
      <w:pPr>
        <w:pStyle w:val="Heading1"/>
      </w:pPr>
      <w:r>
        <w:rPr/>
        <w:t>4. Partner economics</w:t>
      </w:r>
    </w:p>
    <w:p>
      <w:pPr>
        <w:pStyle w:val="Heading2"/>
      </w:pPr>
      <w:r>
        <w:rPr/>
        <w:t>Illustrative example</w:t>
      </w:r>
    </w:p>
    <w:p>
      <w:pPr>
        <w:keepNext/>
      </w:pPr>
      <w:r>
        <w:rPr>
          <w:b/>
        </w:rPr>
        <w:t>Illustrative only, not a forecast.</w:t>
      </w:r>
      <w:r>
        <w:rPr/>
        <w:t xml:space="preserve"> A partner serving 20 clients at a retail price they set: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Illustrative partner economics"/>
      </w:tblPr>
      <w:tblGrid>
        <w:gridCol w:w="6236"/>
        <w:gridCol w:w="3401"/>
      </w:tblGrid>
      <w:tr>
        <w:trPr>
          <w:cantSplit/>
          <w:tblHeader/>
        </w:trPr>
        <w:tc>
          <w:tcPr>
            <w:tcW w:type="dxa" w:w="6236"/>
            <w:shd w:val="clear" w:color="auto" w:fill="FF6A00"/>
            <w:vAlign w:val="center"/>
          </w:tcPr>
          <w:p>
            <w:pPr>
              <w:keepNext/>
              <w:spacing w:after="20" w:line="252" w:lineRule="auto"/>
            </w:pPr>
            <w:r>
              <w:rPr>
                <w:rFonts w:ascii="Poppins" w:hAnsi="Poppins" w:cs="Poppins" w:eastAsia="Poppins"/>
                <w:b/>
                <w:color w:val="20242B"/>
                <w:sz w:val="19"/>
              </w:rPr>
              <w:t>Line</w:t>
            </w:r>
          </w:p>
        </w:tc>
        <w:tc>
          <w:tcPr>
            <w:tcW w:type="dxa" w:w="3402"/>
            <w:shd w:val="clear" w:color="auto" w:fill="FF6A00"/>
            <w:vAlign w:val="center"/>
          </w:tcPr>
          <w:p>
            <w:pPr>
              <w:keepNext/>
              <w:spacing w:after="20" w:line="252" w:lineRule="auto"/>
              <w:jc w:val="right"/>
            </w:pPr>
            <w:r>
              <w:rPr>
                <w:rFonts w:ascii="Poppins" w:hAnsi="Poppins" w:cs="Poppins" w:eastAsia="Poppins"/>
                <w:b/>
                <w:color w:val="20242B"/>
                <w:sz w:val="19"/>
              </w:rPr>
              <w:t>Illustrative (ZAR per month)</w:t>
            </w:r>
          </w:p>
        </w:tc>
      </w:tr>
      <w:tr>
        <w:trPr>
          <w:cantSplit/>
        </w:trPr>
        <w:tc>
          <w:tcPr>
            <w:tcW w:type="dxa" w:w="6236"/>
            <w:vAlign w:val="center"/>
          </w:tcPr>
          <w:p>
            <w:pPr>
              <w:spacing w:after="20" w:line="252" w:lineRule="auto"/>
            </w:pPr>
            <w:r>
              <w:rPr>
                <w:b/>
                <w:sz w:val="19"/>
              </w:rPr>
              <w:t>Clients served</w:t>
            </w:r>
          </w:p>
        </w:tc>
        <w:tc>
          <w:tcPr>
            <w:tcW w:type="dxa" w:w="3402"/>
            <w:vAlign w:val="center"/>
          </w:tcPr>
          <w:p>
            <w:pPr>
              <w:spacing w:after="20" w:line="252" w:lineRule="auto"/>
              <w:jc w:val="right"/>
            </w:pPr>
            <w:r>
              <w:rPr>
                <w:sz w:val="19"/>
              </w:rPr>
              <w:t>20</w:t>
            </w:r>
          </w:p>
        </w:tc>
      </w:tr>
      <w:tr>
        <w:trPr>
          <w:cantSplit/>
        </w:trPr>
        <w:tc>
          <w:tcPr>
            <w:tcW w:type="dxa" w:w="6236"/>
            <w:shd w:val="clear" w:color="auto" w:fill="FAFAFB"/>
            <w:vAlign w:val="center"/>
          </w:tcPr>
          <w:p>
            <w:pPr>
              <w:spacing w:after="20" w:line="252" w:lineRule="auto"/>
            </w:pPr>
            <w:r>
              <w:rPr>
                <w:b/>
                <w:sz w:val="19"/>
              </w:rPr>
              <w:t>Retail price per client (set by the partner)</w:t>
            </w:r>
          </w:p>
        </w:tc>
        <w:tc>
          <w:tcPr>
            <w:tcW w:type="dxa" w:w="3402"/>
            <w:shd w:val="clear" w:color="auto" w:fill="FAFAFB"/>
            <w:vAlign w:val="center"/>
          </w:tcPr>
          <w:p>
            <w:pPr>
              <w:spacing w:after="20" w:line="252" w:lineRule="auto"/>
              <w:jc w:val="right"/>
            </w:pPr>
            <w:r>
              <w:rPr>
                <w:sz w:val="19"/>
              </w:rPr>
              <w:t>R1,500</w:t>
            </w:r>
          </w:p>
        </w:tc>
      </w:tr>
      <w:tr>
        <w:trPr>
          <w:cantSplit/>
        </w:trPr>
        <w:tc>
          <w:tcPr>
            <w:tcW w:type="dxa" w:w="6236"/>
            <w:vAlign w:val="center"/>
          </w:tcPr>
          <w:p>
            <w:pPr>
              <w:spacing w:after="20" w:line="252" w:lineRule="auto"/>
            </w:pPr>
            <w:r>
              <w:rPr>
                <w:b/>
                <w:sz w:val="19"/>
              </w:rPr>
              <w:t>Retail revenue (20 × R1,500)</w:t>
            </w:r>
          </w:p>
        </w:tc>
        <w:tc>
          <w:tcPr>
            <w:tcW w:type="dxa" w:w="3402"/>
            <w:vAlign w:val="center"/>
          </w:tcPr>
          <w:p>
            <w:pPr>
              <w:spacing w:after="20" w:line="252" w:lineRule="auto"/>
              <w:jc w:val="right"/>
            </w:pPr>
            <w:r>
              <w:rPr>
                <w:sz w:val="19"/>
              </w:rPr>
              <w:t>R30,000</w:t>
            </w:r>
          </w:p>
        </w:tc>
      </w:tr>
      <w:tr>
        <w:trPr>
          <w:cantSplit/>
        </w:trPr>
        <w:tc>
          <w:tcPr>
            <w:tcW w:type="dxa" w:w="6236"/>
            <w:shd w:val="clear" w:color="auto" w:fill="FAFAFB"/>
            <w:vAlign w:val="center"/>
          </w:tcPr>
          <w:p>
            <w:pPr>
              <w:spacing w:after="20" w:line="252" w:lineRule="auto"/>
            </w:pPr>
            <w:r>
              <w:rPr>
                <w:b/>
                <w:sz w:val="19"/>
              </w:rPr>
              <w:t>Partner wholesale Agency plan</w:t>
            </w:r>
          </w:p>
        </w:tc>
        <w:tc>
          <w:tcPr>
            <w:tcW w:type="dxa" w:w="3402"/>
            <w:shd w:val="clear" w:color="auto" w:fill="FAFAFB"/>
            <w:vAlign w:val="center"/>
          </w:tcPr>
          <w:p>
            <w:pPr>
              <w:spacing w:after="20" w:line="252" w:lineRule="auto"/>
              <w:jc w:val="right"/>
            </w:pPr>
            <w:r>
              <w:rPr>
                <w:sz w:val="19"/>
              </w:rPr>
              <w:t>− R6,999</w:t>
            </w:r>
          </w:p>
        </w:tc>
      </w:tr>
      <w:tr>
        <w:trPr>
          <w:cantSplit/>
        </w:trPr>
        <w:tc>
          <w:tcPr>
            <w:tcW w:type="dxa" w:w="6236"/>
            <w:shd w:val="clear" w:color="auto" w:fill="FFF4EB"/>
            <w:vAlign w:val="center"/>
          </w:tcPr>
          <w:p>
            <w:pPr>
              <w:spacing w:after="20" w:line="252" w:lineRule="auto"/>
            </w:pPr>
            <w:r>
              <w:rPr>
                <w:b/>
                <w:sz w:val="19"/>
              </w:rPr>
              <w:t>Gross spread before the partner's own service costs</w:t>
            </w:r>
          </w:p>
        </w:tc>
        <w:tc>
          <w:tcPr>
            <w:tcW w:type="dxa" w:w="3402"/>
            <w:shd w:val="clear" w:color="auto" w:fill="FFF4EB"/>
            <w:vAlign w:val="center"/>
          </w:tcPr>
          <w:p>
            <w:pPr>
              <w:spacing w:after="20" w:line="252" w:lineRule="auto"/>
              <w:jc w:val="right"/>
            </w:pPr>
            <w:r>
              <w:rPr>
                <w:b/>
                <w:sz w:val="19"/>
              </w:rPr>
              <w:t>R23,001</w:t>
            </w:r>
          </w:p>
        </w:tc>
      </w:tr>
      <w:tr>
        <w:trPr>
          <w:cantSplit/>
        </w:trPr>
        <w:tc>
          <w:tcPr>
            <w:tcW w:type="dxa" w:w="6236"/>
            <w:shd w:val="clear" w:color="auto" w:fill="FAFAFB"/>
            <w:vAlign w:val="center"/>
          </w:tcPr>
          <w:p>
            <w:pPr>
              <w:spacing w:after="20" w:line="252" w:lineRule="auto"/>
            </w:pPr>
            <w:r>
              <w:rPr>
                <w:b/>
                <w:sz w:val="19"/>
              </w:rPr>
              <w:t>Platform cost per client (R6,999 ÷ 20)</w:t>
            </w:r>
          </w:p>
        </w:tc>
        <w:tc>
          <w:tcPr>
            <w:tcW w:type="dxa" w:w="3402"/>
            <w:shd w:val="clear" w:color="auto" w:fill="FAFAFB"/>
            <w:vAlign w:val="center"/>
          </w:tcPr>
          <w:p>
            <w:pPr>
              <w:spacing w:after="20" w:line="252" w:lineRule="auto"/>
              <w:jc w:val="right"/>
            </w:pPr>
            <w:r>
              <w:rPr>
                <w:sz w:val="19"/>
              </w:rPr>
              <w:t>about R350</w:t>
            </w:r>
          </w:p>
        </w:tc>
      </w:tr>
    </w:tbl>
    <w:p>
      <w:pPr>
        <w:spacing w:after="0" w:line="120" w:lineRule="exact"/>
      </w:pPr>
    </w:p>
    <w:p>
      <w:r>
        <w:rPr>
          <w:sz w:val="18"/>
        </w:rPr>
        <w:t>Before payment fees, ad spend and your team's delivery costs. Your margin depends on your retail price and costs.</w:t>
      </w:r>
    </w:p>
    <w:p>
      <w:pPr>
        <w:keepNext/>
        <w:spacing w:before="120" w:after="0"/>
        <w:jc w:val="center"/>
      </w:pPr>
      <w:r>
        <w:drawing>
          <wp:inline xmlns:a="http://schemas.openxmlformats.org/drawingml/2006/main" xmlns:pic="http://schemas.openxmlformats.org/drawingml/2006/picture">
            <wp:extent cx="6120000" cy="3442500"/>
            <wp:docPr id="3" name="Picture 3" descr="Partner model diagram: FluxMuse supplies the platform to the agency at the wholesale price; the agency serves its clients at a retail price it sets."/>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How the partner model works: FluxMuse bills the partner wholesale; the partner bills clients at their own price. Example is illustrative.</w:t>
      </w:r>
    </w:p>
    <w:p>
      <w:pPr>
        <w:pStyle w:val="Heading2"/>
      </w:pPr>
      <w:r>
        <w:rPr/>
        <w:t>Your numbers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economics calculator"/>
      </w:tblPr>
      <w:tblGrid>
        <w:gridCol w:w="566"/>
        <w:gridCol w:w="3174"/>
        <w:gridCol w:w="3628"/>
        <w:gridCol w:w="2267"/>
      </w:tblGrid>
      <w:tr>
        <w:trPr>
          <w:cantSplit/>
          <w:tblHeader/>
        </w:trPr>
        <w:tc>
          <w:tcPr>
            <w:tcW w:type="dxa" w:w="567"/>
            <w:shd w:val="clear" w:color="auto" w:fill="FF6A00"/>
            <w:vAlign w:val="center"/>
          </w:tcPr>
          <w:p>
            <w:pPr>
              <w:keepNext/>
              <w:spacing w:after="20" w:line="252" w:lineRule="auto"/>
              <w:jc w:val="center"/>
            </w:pPr>
          </w:p>
        </w:tc>
        <w:tc>
          <w:tcPr>
            <w:tcW w:type="dxa" w:w="3175"/>
            <w:shd w:val="clear" w:color="auto" w:fill="FF6A00"/>
            <w:vAlign w:val="center"/>
          </w:tcPr>
          <w:p>
            <w:pPr>
              <w:keepNext/>
              <w:spacing w:after="20" w:line="252" w:lineRule="auto"/>
            </w:pPr>
            <w:r>
              <w:rPr>
                <w:rFonts w:ascii="Poppins" w:hAnsi="Poppins" w:cs="Poppins" w:eastAsia="Poppins"/>
                <w:b/>
                <w:color w:val="20242B"/>
                <w:sz w:val="19"/>
              </w:rPr>
              <w:t>Line</w:t>
            </w:r>
          </w:p>
        </w:tc>
        <w:tc>
          <w:tcPr>
            <w:tcW w:type="dxa" w:w="3628"/>
            <w:shd w:val="clear" w:color="auto" w:fill="FF6A00"/>
            <w:vAlign w:val="center"/>
          </w:tcPr>
          <w:p>
            <w:pPr>
              <w:keepNext/>
              <w:spacing w:after="20" w:line="252" w:lineRule="auto"/>
            </w:pPr>
            <w:r>
              <w:rPr>
                <w:rFonts w:ascii="Poppins" w:hAnsi="Poppins" w:cs="Poppins" w:eastAsia="Poppins"/>
                <w:b/>
                <w:color w:val="20242B"/>
                <w:sz w:val="19"/>
              </w:rPr>
              <w:t>How to calculate</w:t>
            </w:r>
          </w:p>
        </w:tc>
        <w:tc>
          <w:tcPr>
            <w:tcW w:type="dxa" w:w="2268"/>
            <w:shd w:val="clear" w:color="auto" w:fill="FF6A00"/>
            <w:vAlign w:val="center"/>
          </w:tcPr>
          <w:p>
            <w:pPr>
              <w:keepNext/>
              <w:spacing w:after="20" w:line="252" w:lineRule="auto"/>
              <w:jc w:val="right"/>
            </w:pPr>
            <w:r>
              <w:rPr>
                <w:rFonts w:ascii="Poppins" w:hAnsi="Poppins" w:cs="Poppins" w:eastAsia="Poppins"/>
                <w:b/>
                <w:color w:val="20242B"/>
                <w:sz w:val="19"/>
                <w:shd w:val="clear" w:color="auto" w:fill="FFF1A8"/>
              </w:rPr>
              <w:t>[[AGENCY NAME]]</w:t>
            </w:r>
          </w:p>
        </w:tc>
      </w:tr>
      <w:tr>
        <w:trPr>
          <w:cantSplit/>
        </w:trPr>
        <w:tc>
          <w:tcPr>
            <w:tcW w:type="dxa" w:w="567"/>
            <w:vAlign w:val="center"/>
          </w:tcPr>
          <w:p>
            <w:pPr>
              <w:spacing w:after="20" w:line="252" w:lineRule="auto"/>
              <w:jc w:val="center"/>
            </w:pPr>
            <w:r>
              <w:rPr>
                <w:b/>
                <w:sz w:val="19"/>
              </w:rPr>
              <w:t>A</w:t>
            </w:r>
          </w:p>
        </w:tc>
        <w:tc>
          <w:tcPr>
            <w:tcW w:type="dxa" w:w="3175"/>
            <w:vAlign w:val="center"/>
          </w:tcPr>
          <w:p>
            <w:pPr>
              <w:spacing w:after="20" w:line="252" w:lineRule="auto"/>
            </w:pPr>
            <w:r>
              <w:rPr>
                <w:sz w:val="19"/>
              </w:rPr>
              <w:t>Number of clients</w:t>
            </w:r>
          </w:p>
        </w:tc>
        <w:tc>
          <w:tcPr>
            <w:tcW w:type="dxa" w:w="3628"/>
            <w:vAlign w:val="center"/>
          </w:tcPr>
          <w:p>
            <w:pPr>
              <w:spacing w:after="20" w:line="252" w:lineRule="auto"/>
            </w:pPr>
            <w:r>
              <w:rPr>
                <w:sz w:val="19"/>
              </w:rPr>
              <w:t>Your client count</w:t>
            </w:r>
          </w:p>
        </w:tc>
        <w:tc>
          <w:tcPr>
            <w:tcW w:type="dxa" w:w="2268"/>
            <w:vAlign w:val="center"/>
          </w:tcPr>
          <w:p>
            <w:pPr>
              <w:spacing w:after="20" w:line="252" w:lineRule="auto"/>
              <w:jc w:val="right"/>
            </w:pPr>
            <w:r>
              <w:rPr>
                <w:b/>
                <w:color w:val="20242B"/>
                <w:sz w:val="19"/>
                <w:shd w:val="clear" w:color="auto" w:fill="FFF1A8"/>
              </w:rPr>
              <w:t>[[ ]]</w:t>
            </w:r>
          </w:p>
        </w:tc>
      </w:tr>
      <w:tr>
        <w:trPr>
          <w:cantSplit/>
        </w:trPr>
        <w:tc>
          <w:tcPr>
            <w:tcW w:type="dxa" w:w="567"/>
            <w:shd w:val="clear" w:color="auto" w:fill="FAFAFB"/>
            <w:vAlign w:val="center"/>
          </w:tcPr>
          <w:p>
            <w:pPr>
              <w:spacing w:after="20" w:line="252" w:lineRule="auto"/>
              <w:jc w:val="center"/>
            </w:pPr>
            <w:r>
              <w:rPr>
                <w:b/>
                <w:sz w:val="19"/>
              </w:rPr>
              <w:t>B</w:t>
            </w:r>
          </w:p>
        </w:tc>
        <w:tc>
          <w:tcPr>
            <w:tcW w:type="dxa" w:w="3175"/>
            <w:shd w:val="clear" w:color="auto" w:fill="FAFAFB"/>
            <w:vAlign w:val="center"/>
          </w:tcPr>
          <w:p>
            <w:pPr>
              <w:spacing w:after="20" w:line="252" w:lineRule="auto"/>
            </w:pPr>
            <w:r>
              <w:rPr>
                <w:sz w:val="19"/>
              </w:rPr>
              <w:t>Your retail price per client /mo</w:t>
            </w:r>
          </w:p>
        </w:tc>
        <w:tc>
          <w:tcPr>
            <w:tcW w:type="dxa" w:w="3628"/>
            <w:shd w:val="clear" w:color="auto" w:fill="FAFAFB"/>
            <w:vAlign w:val="center"/>
          </w:tcPr>
          <w:p>
            <w:pPr>
              <w:spacing w:after="20" w:line="252" w:lineRule="auto"/>
            </w:pPr>
            <w:r>
              <w:rPr>
                <w:sz w:val="19"/>
              </w:rPr>
              <w:t>You set it</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r>
        <w:trPr>
          <w:cantSplit/>
        </w:trPr>
        <w:tc>
          <w:tcPr>
            <w:tcW w:type="dxa" w:w="567"/>
            <w:vAlign w:val="center"/>
          </w:tcPr>
          <w:p>
            <w:pPr>
              <w:spacing w:after="20" w:line="252" w:lineRule="auto"/>
              <w:jc w:val="center"/>
            </w:pPr>
            <w:r>
              <w:rPr>
                <w:b/>
                <w:sz w:val="19"/>
              </w:rPr>
              <w:t>C</w:t>
            </w:r>
          </w:p>
        </w:tc>
        <w:tc>
          <w:tcPr>
            <w:tcW w:type="dxa" w:w="3175"/>
            <w:vAlign w:val="center"/>
          </w:tcPr>
          <w:p>
            <w:pPr>
              <w:spacing w:after="20" w:line="252" w:lineRule="auto"/>
            </w:pPr>
            <w:r>
              <w:rPr>
                <w:sz w:val="19"/>
              </w:rPr>
              <w:t>Monthly retail revenue</w:t>
            </w:r>
          </w:p>
        </w:tc>
        <w:tc>
          <w:tcPr>
            <w:tcW w:type="dxa" w:w="3628"/>
            <w:vAlign w:val="center"/>
          </w:tcPr>
          <w:p>
            <w:pPr>
              <w:spacing w:after="20" w:line="252" w:lineRule="auto"/>
            </w:pPr>
            <w:r>
              <w:rPr>
                <w:sz w:val="19"/>
              </w:rPr>
              <w:t>A × B</w:t>
            </w:r>
          </w:p>
        </w:tc>
        <w:tc>
          <w:tcPr>
            <w:tcW w:type="dxa" w:w="2268"/>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AFAFB"/>
            <w:vAlign w:val="center"/>
          </w:tcPr>
          <w:p>
            <w:pPr>
              <w:spacing w:after="20" w:line="252" w:lineRule="auto"/>
              <w:jc w:val="center"/>
            </w:pPr>
            <w:r>
              <w:rPr>
                <w:b/>
                <w:sz w:val="19"/>
              </w:rPr>
              <w:t>D</w:t>
            </w:r>
          </w:p>
        </w:tc>
        <w:tc>
          <w:tcPr>
            <w:tcW w:type="dxa" w:w="3175"/>
            <w:shd w:val="clear" w:color="auto" w:fill="FAFAFB"/>
            <w:vAlign w:val="center"/>
          </w:tcPr>
          <w:p>
            <w:pPr>
              <w:spacing w:after="20" w:line="252" w:lineRule="auto"/>
            </w:pPr>
            <w:r>
              <w:rPr>
                <w:sz w:val="19"/>
              </w:rPr>
              <w:t>Partner wholesale plan /mo</w:t>
            </w:r>
          </w:p>
        </w:tc>
        <w:tc>
          <w:tcPr>
            <w:tcW w:type="dxa" w:w="3628"/>
            <w:shd w:val="clear" w:color="auto" w:fill="FAFAFB"/>
            <w:vAlign w:val="center"/>
          </w:tcPr>
          <w:p>
            <w:pPr>
              <w:spacing w:after="20" w:line="252" w:lineRule="auto"/>
            </w:pPr>
            <w:r>
              <w:rPr>
                <w:sz w:val="19"/>
              </w:rPr>
              <w:t>R6,999</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r>
        <w:trPr>
          <w:cantSplit/>
        </w:trPr>
        <w:tc>
          <w:tcPr>
            <w:tcW w:type="dxa" w:w="567"/>
            <w:vAlign w:val="center"/>
          </w:tcPr>
          <w:p>
            <w:pPr>
              <w:spacing w:after="20" w:line="252" w:lineRule="auto"/>
              <w:jc w:val="center"/>
            </w:pPr>
            <w:r>
              <w:rPr>
                <w:b/>
                <w:sz w:val="19"/>
              </w:rPr>
              <w:t>E</w:t>
            </w:r>
          </w:p>
        </w:tc>
        <w:tc>
          <w:tcPr>
            <w:tcW w:type="dxa" w:w="3175"/>
            <w:vAlign w:val="center"/>
          </w:tcPr>
          <w:p>
            <w:pPr>
              <w:spacing w:after="20" w:line="252" w:lineRule="auto"/>
            </w:pPr>
            <w:r>
              <w:rPr>
                <w:sz w:val="19"/>
              </w:rPr>
              <w:t>Gross spread</w:t>
            </w:r>
          </w:p>
        </w:tc>
        <w:tc>
          <w:tcPr>
            <w:tcW w:type="dxa" w:w="3628"/>
            <w:vAlign w:val="center"/>
          </w:tcPr>
          <w:p>
            <w:pPr>
              <w:spacing w:after="20" w:line="252" w:lineRule="auto"/>
            </w:pPr>
            <w:r>
              <w:rPr>
                <w:sz w:val="19"/>
              </w:rPr>
              <w:t>C − D</w:t>
            </w:r>
          </w:p>
        </w:tc>
        <w:tc>
          <w:tcPr>
            <w:tcW w:type="dxa" w:w="2268"/>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AFAFB"/>
            <w:vAlign w:val="center"/>
          </w:tcPr>
          <w:p>
            <w:pPr>
              <w:spacing w:after="20" w:line="252" w:lineRule="auto"/>
              <w:jc w:val="center"/>
            </w:pPr>
            <w:r>
              <w:rPr>
                <w:b/>
                <w:sz w:val="19"/>
              </w:rPr>
              <w:t>F</w:t>
            </w:r>
          </w:p>
        </w:tc>
        <w:tc>
          <w:tcPr>
            <w:tcW w:type="dxa" w:w="3175"/>
            <w:shd w:val="clear" w:color="auto" w:fill="FAFAFB"/>
            <w:vAlign w:val="center"/>
          </w:tcPr>
          <w:p>
            <w:pPr>
              <w:spacing w:after="20" w:line="252" w:lineRule="auto"/>
            </w:pPr>
            <w:r>
              <w:rPr>
                <w:sz w:val="19"/>
              </w:rPr>
              <w:t>Your service costs /mo</w:t>
            </w:r>
          </w:p>
        </w:tc>
        <w:tc>
          <w:tcPr>
            <w:tcW w:type="dxa" w:w="3628"/>
            <w:shd w:val="clear" w:color="auto" w:fill="FAFAFB"/>
            <w:vAlign w:val="center"/>
          </w:tcPr>
          <w:p>
            <w:pPr>
              <w:spacing w:after="20" w:line="252" w:lineRule="auto"/>
            </w:pPr>
            <w:r>
              <w:rPr>
                <w:sz w:val="19"/>
              </w:rPr>
              <w:t>Team hours, design, ad management</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FF4EB"/>
            <w:vAlign w:val="center"/>
          </w:tcPr>
          <w:p>
            <w:pPr>
              <w:spacing w:after="20" w:line="252" w:lineRule="auto"/>
              <w:jc w:val="center"/>
            </w:pPr>
            <w:r>
              <w:rPr>
                <w:b/>
                <w:sz w:val="19"/>
              </w:rPr>
              <w:t>G</w:t>
            </w:r>
          </w:p>
        </w:tc>
        <w:tc>
          <w:tcPr>
            <w:tcW w:type="dxa" w:w="3175"/>
            <w:shd w:val="clear" w:color="auto" w:fill="FFF4EB"/>
            <w:vAlign w:val="center"/>
          </w:tcPr>
          <w:p>
            <w:pPr>
              <w:spacing w:after="20" w:line="252" w:lineRule="auto"/>
            </w:pPr>
            <w:r>
              <w:rPr>
                <w:b/>
                <w:sz w:val="19"/>
              </w:rPr>
              <w:t>Net contribution /mo</w:t>
            </w:r>
          </w:p>
        </w:tc>
        <w:tc>
          <w:tcPr>
            <w:tcW w:type="dxa" w:w="3628"/>
            <w:shd w:val="clear" w:color="auto" w:fill="FFF4EB"/>
            <w:vAlign w:val="center"/>
          </w:tcPr>
          <w:p>
            <w:pPr>
              <w:spacing w:after="20" w:line="252" w:lineRule="auto"/>
            </w:pPr>
            <w:r>
              <w:rPr>
                <w:b/>
                <w:sz w:val="19"/>
              </w:rPr>
              <w:t>E − F</w:t>
            </w:r>
          </w:p>
        </w:tc>
        <w:tc>
          <w:tcPr>
            <w:tcW w:type="dxa" w:w="2268"/>
            <w:shd w:val="clear" w:color="auto" w:fill="FFF4EB"/>
            <w:vAlign w:val="center"/>
          </w:tcPr>
          <w:p>
            <w:pPr>
              <w:spacing w:after="20" w:line="252" w:lineRule="auto"/>
              <w:jc w:val="right"/>
            </w:pPr>
            <w:r>
              <w:rPr>
                <w:b/>
                <w:color w:val="20242B"/>
                <w:sz w:val="19"/>
                <w:shd w:val="clear" w:color="auto" w:fill="FFF1A8"/>
              </w:rPr>
              <w:t>[[R ]]</w:t>
            </w:r>
          </w:p>
        </w:tc>
      </w:tr>
      <w:tr>
        <w:trPr>
          <w:cantSplit/>
        </w:trPr>
        <w:tc>
          <w:tcPr>
            <w:tcW w:type="dxa" w:w="567"/>
            <w:shd w:val="clear" w:color="auto" w:fill="FAFAFB"/>
            <w:vAlign w:val="center"/>
          </w:tcPr>
          <w:p>
            <w:pPr>
              <w:spacing w:after="20" w:line="252" w:lineRule="auto"/>
              <w:jc w:val="center"/>
            </w:pPr>
            <w:r>
              <w:rPr>
                <w:b/>
                <w:sz w:val="19"/>
              </w:rPr>
              <w:t>H</w:t>
            </w:r>
          </w:p>
        </w:tc>
        <w:tc>
          <w:tcPr>
            <w:tcW w:type="dxa" w:w="3175"/>
            <w:shd w:val="clear" w:color="auto" w:fill="FAFAFB"/>
            <w:vAlign w:val="center"/>
          </w:tcPr>
          <w:p>
            <w:pPr>
              <w:spacing w:after="20" w:line="252" w:lineRule="auto"/>
            </w:pPr>
            <w:r>
              <w:rPr>
                <w:sz w:val="19"/>
              </w:rPr>
              <w:t>Net contribution per client</w:t>
            </w:r>
          </w:p>
        </w:tc>
        <w:tc>
          <w:tcPr>
            <w:tcW w:type="dxa" w:w="3628"/>
            <w:shd w:val="clear" w:color="auto" w:fill="FAFAFB"/>
            <w:vAlign w:val="center"/>
          </w:tcPr>
          <w:p>
            <w:pPr>
              <w:spacing w:after="20" w:line="252" w:lineRule="auto"/>
            </w:pPr>
            <w:r>
              <w:rPr>
                <w:sz w:val="19"/>
              </w:rPr>
              <w:t>G ÷ A</w:t>
            </w:r>
          </w:p>
        </w:tc>
        <w:tc>
          <w:tcPr>
            <w:tcW w:type="dxa" w:w="2268"/>
            <w:shd w:val="clear" w:color="auto" w:fill="FAFAFB"/>
            <w:vAlign w:val="center"/>
          </w:tcPr>
          <w:p>
            <w:pPr>
              <w:spacing w:after="20" w:line="252" w:lineRule="auto"/>
              <w:jc w:val="right"/>
            </w:pPr>
            <w:r>
              <w:rPr>
                <w:b/>
                <w:color w:val="20242B"/>
                <w:sz w:val="19"/>
                <w:shd w:val="clear" w:color="auto" w:fill="FFF1A8"/>
              </w:rPr>
              <w:t>[[R ]]</w:t>
            </w:r>
          </w:p>
        </w:tc>
      </w:tr>
    </w:tbl>
    <w:p>
      <w:pPr>
        <w:spacing w:after="0" w:line="120" w:lineRule="exact"/>
      </w:pPr>
    </w:p>
    <w:p>
      <w:pPr>
        <w:pStyle w:val="Heading1"/>
      </w:pPr>
      <w:r>
        <w:rPr/>
        <w:t>5. Onboarding plan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30-day partner onboarding plan"/>
      </w:tblPr>
      <w:tblGrid>
        <w:gridCol w:w="907"/>
        <w:gridCol w:w="1927"/>
        <w:gridCol w:w="4762"/>
        <w:gridCol w:w="2040"/>
      </w:tblGrid>
      <w:tr>
        <w:trPr>
          <w:cantSplit/>
          <w:tblHeader/>
        </w:trPr>
        <w:tc>
          <w:tcPr>
            <w:tcW w:type="dxa" w:w="907"/>
            <w:shd w:val="clear" w:color="auto" w:fill="FF6A00"/>
            <w:vAlign w:val="center"/>
          </w:tcPr>
          <w:p>
            <w:pPr>
              <w:keepNext/>
              <w:spacing w:after="20" w:line="252" w:lineRule="auto"/>
            </w:pPr>
            <w:r>
              <w:rPr>
                <w:rFonts w:ascii="Poppins" w:hAnsi="Poppins" w:cs="Poppins" w:eastAsia="Poppins"/>
                <w:b/>
                <w:color w:val="20242B"/>
                <w:sz w:val="18"/>
              </w:rPr>
              <w:t>Days</w:t>
            </w:r>
          </w:p>
        </w:tc>
        <w:tc>
          <w:tcPr>
            <w:tcW w:type="dxa" w:w="1928"/>
            <w:shd w:val="clear" w:color="auto" w:fill="FF6A00"/>
            <w:vAlign w:val="center"/>
          </w:tcPr>
          <w:p>
            <w:pPr>
              <w:keepNext/>
              <w:spacing w:after="20" w:line="252" w:lineRule="auto"/>
            </w:pPr>
            <w:r>
              <w:rPr>
                <w:rFonts w:ascii="Poppins" w:hAnsi="Poppins" w:cs="Poppins" w:eastAsia="Poppins"/>
                <w:b/>
                <w:color w:val="20242B"/>
                <w:sz w:val="18"/>
              </w:rPr>
              <w:t>Focus</w:t>
            </w:r>
          </w:p>
        </w:tc>
        <w:tc>
          <w:tcPr>
            <w:tcW w:type="dxa" w:w="4762"/>
            <w:shd w:val="clear" w:color="auto" w:fill="FF6A00"/>
            <w:vAlign w:val="center"/>
          </w:tcPr>
          <w:p>
            <w:pPr>
              <w:keepNext/>
              <w:spacing w:after="20" w:line="252" w:lineRule="auto"/>
            </w:pPr>
            <w:r>
              <w:rPr>
                <w:rFonts w:ascii="Poppins" w:hAnsi="Poppins" w:cs="Poppins" w:eastAsia="Poppins"/>
                <w:b/>
                <w:color w:val="20242B"/>
                <w:sz w:val="18"/>
              </w:rPr>
              <w:t>Activities</w:t>
            </w:r>
          </w:p>
        </w:tc>
        <w:tc>
          <w:tcPr>
            <w:tcW w:type="dxa" w:w="2041"/>
            <w:shd w:val="clear" w:color="auto" w:fill="FF6A00"/>
            <w:vAlign w:val="center"/>
          </w:tcPr>
          <w:p>
            <w:pPr>
              <w:keepNext/>
              <w:spacing w:after="20" w:line="252" w:lineRule="auto"/>
            </w:pPr>
            <w:r>
              <w:rPr>
                <w:rFonts w:ascii="Poppins" w:hAnsi="Poppins" w:cs="Poppins" w:eastAsia="Poppins"/>
                <w:b/>
                <w:color w:val="20242B"/>
                <w:sz w:val="18"/>
              </w:rPr>
              <w:t>Output</w:t>
            </w:r>
          </w:p>
        </w:tc>
      </w:tr>
      <w:tr>
        <w:trPr>
          <w:cantSplit/>
        </w:trPr>
        <w:tc>
          <w:tcPr>
            <w:tcW w:type="dxa" w:w="907"/>
            <w:vAlign w:val="center"/>
          </w:tcPr>
          <w:p>
            <w:pPr>
              <w:spacing w:after="20" w:line="252" w:lineRule="auto"/>
            </w:pPr>
            <w:r>
              <w:rPr>
                <w:b/>
                <w:sz w:val="18"/>
              </w:rPr>
              <w:t>1–5</w:t>
            </w:r>
          </w:p>
        </w:tc>
        <w:tc>
          <w:tcPr>
            <w:tcW w:type="dxa" w:w="1928"/>
            <w:vAlign w:val="center"/>
          </w:tcPr>
          <w:p>
            <w:pPr>
              <w:spacing w:after="20" w:line="252" w:lineRule="auto"/>
            </w:pPr>
            <w:r>
              <w:rPr>
                <w:sz w:val="18"/>
              </w:rPr>
              <w:t>Kickoff and white-label</w:t>
            </w:r>
          </w:p>
        </w:tc>
        <w:tc>
          <w:tcPr>
            <w:tcW w:type="dxa" w:w="4762"/>
            <w:vAlign w:val="center"/>
          </w:tcPr>
          <w:p>
            <w:pPr>
              <w:spacing w:after="20" w:line="252" w:lineRule="auto"/>
            </w:pPr>
            <w:r>
              <w:rPr>
                <w:sz w:val="18"/>
              </w:rPr>
              <w:t xml:space="preserve">Partner workspace; white-label set-up (logo, colours, </w:t>
            </w:r>
            <w:r>
              <w:rPr>
                <w:b/>
                <w:color w:val="20242B"/>
                <w:sz w:val="18"/>
                <w:shd w:val="clear" w:color="auto" w:fill="FFF1A8"/>
              </w:rPr>
              <w:t>[[DOMAIN]]</w:t>
            </w:r>
            <w:r>
              <w:rPr>
                <w:sz w:val="18"/>
              </w:rPr>
              <w:t>); your retail price list</w:t>
            </w:r>
          </w:p>
        </w:tc>
        <w:tc>
          <w:tcPr>
            <w:tcW w:type="dxa" w:w="2041"/>
            <w:vAlign w:val="center"/>
          </w:tcPr>
          <w:p>
            <w:pPr>
              <w:spacing w:after="20" w:line="252" w:lineRule="auto"/>
            </w:pPr>
            <w:r>
              <w:rPr>
                <w:sz w:val="18"/>
              </w:rPr>
              <w:t>Branded workspace ready</w:t>
            </w:r>
          </w:p>
        </w:tc>
      </w:tr>
      <w:tr>
        <w:trPr>
          <w:cantSplit/>
        </w:trPr>
        <w:tc>
          <w:tcPr>
            <w:tcW w:type="dxa" w:w="907"/>
            <w:shd w:val="clear" w:color="auto" w:fill="FAFAFB"/>
            <w:vAlign w:val="center"/>
          </w:tcPr>
          <w:p>
            <w:pPr>
              <w:spacing w:after="20" w:line="252" w:lineRule="auto"/>
            </w:pPr>
            <w:r>
              <w:rPr>
                <w:b/>
                <w:sz w:val="18"/>
              </w:rPr>
              <w:t>6–10</w:t>
            </w:r>
          </w:p>
        </w:tc>
        <w:tc>
          <w:tcPr>
            <w:tcW w:type="dxa" w:w="1928"/>
            <w:shd w:val="clear" w:color="auto" w:fill="FAFAFB"/>
            <w:vAlign w:val="center"/>
          </w:tcPr>
          <w:p>
            <w:pPr>
              <w:spacing w:after="20" w:line="252" w:lineRule="auto"/>
            </w:pPr>
            <w:r>
              <w:rPr>
                <w:sz w:val="18"/>
              </w:rPr>
              <w:t>Team training</w:t>
            </w:r>
          </w:p>
        </w:tc>
        <w:tc>
          <w:tcPr>
            <w:tcW w:type="dxa" w:w="4762"/>
            <w:shd w:val="clear" w:color="auto" w:fill="FAFAFB"/>
            <w:vAlign w:val="center"/>
          </w:tcPr>
          <w:p>
            <w:pPr>
              <w:spacing w:after="20" w:line="252" w:lineRule="auto"/>
            </w:pPr>
            <w:r>
              <w:rPr>
                <w:sz w:val="18"/>
              </w:rPr>
              <w:t>WhatsApp set-up for clients; WhatsApp Concierge and shop links; POST captions and images; broadcasts</w:t>
            </w:r>
          </w:p>
        </w:tc>
        <w:tc>
          <w:tcPr>
            <w:tcW w:type="dxa" w:w="2041"/>
            <w:shd w:val="clear" w:color="auto" w:fill="FAFAFB"/>
            <w:vAlign w:val="center"/>
          </w:tcPr>
          <w:p>
            <w:pPr>
              <w:spacing w:after="20" w:line="252" w:lineRule="auto"/>
            </w:pPr>
            <w:r>
              <w:rPr>
                <w:b/>
                <w:color w:val="20242B"/>
                <w:sz w:val="18"/>
                <w:shd w:val="clear" w:color="auto" w:fill="FFF1A8"/>
              </w:rPr>
              <w:t>[[N]]</w:t>
            </w:r>
            <w:r>
              <w:rPr>
                <w:sz w:val="18"/>
              </w:rPr>
              <w:t xml:space="preserve"> team members trained</w:t>
            </w:r>
          </w:p>
        </w:tc>
      </w:tr>
      <w:tr>
        <w:trPr>
          <w:cantSplit/>
        </w:trPr>
        <w:tc>
          <w:tcPr>
            <w:tcW w:type="dxa" w:w="907"/>
            <w:vAlign w:val="center"/>
          </w:tcPr>
          <w:p>
            <w:pPr>
              <w:spacing w:after="20" w:line="252" w:lineRule="auto"/>
            </w:pPr>
            <w:r>
              <w:rPr>
                <w:b/>
                <w:sz w:val="18"/>
              </w:rPr>
              <w:t>11–20</w:t>
            </w:r>
          </w:p>
        </w:tc>
        <w:tc>
          <w:tcPr>
            <w:tcW w:type="dxa" w:w="1928"/>
            <w:vAlign w:val="center"/>
          </w:tcPr>
          <w:p>
            <w:pPr>
              <w:spacing w:after="20" w:line="252" w:lineRule="auto"/>
            </w:pPr>
            <w:r>
              <w:rPr>
                <w:sz w:val="18"/>
              </w:rPr>
              <w:t>First client</w:t>
            </w:r>
          </w:p>
        </w:tc>
        <w:tc>
          <w:tcPr>
            <w:tcW w:type="dxa" w:w="4762"/>
            <w:vAlign w:val="center"/>
          </w:tcPr>
          <w:p>
            <w:pPr>
              <w:spacing w:after="20" w:line="252" w:lineRule="auto"/>
            </w:pPr>
            <w:r>
              <w:rPr>
                <w:sz w:val="18"/>
              </w:rPr>
              <w:t xml:space="preserve">Workspace for </w:t>
            </w:r>
            <w:r>
              <w:rPr>
                <w:b/>
                <w:color w:val="20242B"/>
                <w:sz w:val="18"/>
                <w:shd w:val="clear" w:color="auto" w:fill="FFF1A8"/>
              </w:rPr>
              <w:t>[[FIRST CLIENT]]</w:t>
            </w:r>
            <w:r>
              <w:rPr>
                <w:sz w:val="18"/>
              </w:rPr>
              <w:t>; WhatsApp number, shop, first posts; targets agreed</w:t>
            </w:r>
          </w:p>
        </w:tc>
        <w:tc>
          <w:tcPr>
            <w:tcW w:type="dxa" w:w="2041"/>
            <w:vAlign w:val="center"/>
          </w:tcPr>
          <w:p>
            <w:pPr>
              <w:spacing w:after="20" w:line="252" w:lineRule="auto"/>
            </w:pPr>
            <w:r>
              <w:rPr>
                <w:sz w:val="18"/>
              </w:rPr>
              <w:t>First client live</w:t>
            </w:r>
          </w:p>
        </w:tc>
      </w:tr>
      <w:tr>
        <w:trPr>
          <w:cantSplit/>
        </w:trPr>
        <w:tc>
          <w:tcPr>
            <w:tcW w:type="dxa" w:w="907"/>
            <w:shd w:val="clear" w:color="auto" w:fill="FAFAFB"/>
            <w:vAlign w:val="center"/>
          </w:tcPr>
          <w:p>
            <w:pPr>
              <w:spacing w:after="20" w:line="252" w:lineRule="auto"/>
            </w:pPr>
            <w:r>
              <w:rPr>
                <w:b/>
                <w:sz w:val="18"/>
              </w:rPr>
              <w:t>21–30</w:t>
            </w:r>
          </w:p>
        </w:tc>
        <w:tc>
          <w:tcPr>
            <w:tcW w:type="dxa" w:w="1928"/>
            <w:shd w:val="clear" w:color="auto" w:fill="FAFAFB"/>
            <w:vAlign w:val="center"/>
          </w:tcPr>
          <w:p>
            <w:pPr>
              <w:spacing w:after="20" w:line="252" w:lineRule="auto"/>
            </w:pPr>
            <w:r>
              <w:rPr>
                <w:sz w:val="18"/>
              </w:rPr>
              <w:t>Report and plan</w:t>
            </w:r>
          </w:p>
        </w:tc>
        <w:tc>
          <w:tcPr>
            <w:tcW w:type="dxa" w:w="4762"/>
            <w:shd w:val="clear" w:color="auto" w:fill="FAFAFB"/>
            <w:vAlign w:val="center"/>
          </w:tcPr>
          <w:p>
            <w:pPr>
              <w:spacing w:after="20" w:line="252" w:lineRule="auto"/>
            </w:pPr>
            <w:r>
              <w:rPr>
                <w:sz w:val="18"/>
              </w:rPr>
              <w:t xml:space="preserve">Review with FluxMuse, including the lead guarantee count; plan for the next </w:t>
            </w:r>
            <w:r>
              <w:rPr>
                <w:b/>
                <w:color w:val="20242B"/>
                <w:sz w:val="18"/>
                <w:shd w:val="clear" w:color="auto" w:fill="FFF1A8"/>
              </w:rPr>
              <w:t>[[N]]</w:t>
            </w:r>
            <w:r>
              <w:rPr>
                <w:sz w:val="18"/>
              </w:rPr>
              <w:t xml:space="preserve"> clients</w:t>
            </w:r>
          </w:p>
        </w:tc>
        <w:tc>
          <w:tcPr>
            <w:tcW w:type="dxa" w:w="2041"/>
            <w:shd w:val="clear" w:color="auto" w:fill="FAFAFB"/>
            <w:vAlign w:val="center"/>
          </w:tcPr>
          <w:p>
            <w:pPr>
              <w:spacing w:after="20" w:line="252" w:lineRule="auto"/>
            </w:pPr>
            <w:r>
              <w:rPr>
                <w:sz w:val="18"/>
              </w:rPr>
              <w:t>Partner growth plan</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Lead guarantee for each client you bring live</w:t>
            </w:r>
          </w:p>
          <w:p>
            <w:pPr>
              <w:spacing w:after="80"/>
            </w:pPr>
            <w:r>
              <w:rPr>
                <w:b/>
                <w:sz w:val="19"/>
              </w:rPr>
              <w:t>Lead guarantee:</w:t>
            </w:r>
            <w:r>
              <w:rPr>
                <w:sz w:val="19"/>
              </w:rPr>
              <w:t xml:space="preserve"> 3 qualified leads in the client's first 30 days after go-live. A qualified lead is a unique WhatsApp number that starts a conversation through a FluxMuse-tracked link or QR code. If fewer than 3 arrive and the client held up their side (shared the link and posted at least weekly), we keep working with you and the client at no extra charge until they have 3. It is extra support, not a cash payment.</w:t>
            </w:r>
          </w:p>
        </w:tc>
      </w:tr>
    </w:tbl>
    <w:p>
      <w:pPr>
        <w:spacing w:after="0" w:line="160" w:lineRule="exact"/>
      </w:pPr>
    </w:p>
    <w:p>
      <w:pPr>
        <w:pStyle w:val="Heading1"/>
      </w:pPr>
      <w:r>
        <w:rPr/>
        <w:t>6. Co-marketing</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arketing activities"/>
      </w:tblPr>
      <w:tblGrid>
        <w:gridCol w:w="2040"/>
        <w:gridCol w:w="2834"/>
        <w:gridCol w:w="2721"/>
        <w:gridCol w:w="2040"/>
      </w:tblGrid>
      <w:tr>
        <w:trPr>
          <w:cantSplit/>
          <w:tblHeader/>
        </w:trPr>
        <w:tc>
          <w:tcPr>
            <w:tcW w:type="dxa" w:w="2041"/>
            <w:shd w:val="clear" w:color="auto" w:fill="FF6A00"/>
            <w:vAlign w:val="center"/>
          </w:tcPr>
          <w:p>
            <w:pPr>
              <w:keepNext/>
              <w:spacing w:after="20" w:line="252" w:lineRule="auto"/>
            </w:pPr>
            <w:r>
              <w:rPr>
                <w:rFonts w:ascii="Poppins" w:hAnsi="Poppins" w:cs="Poppins" w:eastAsia="Poppins"/>
                <w:b/>
                <w:color w:val="20242B"/>
                <w:sz w:val="18"/>
              </w:rPr>
              <w:t>Activity</w:t>
            </w:r>
          </w:p>
        </w:tc>
        <w:tc>
          <w:tcPr>
            <w:tcW w:type="dxa" w:w="2835"/>
            <w:shd w:val="clear" w:color="auto" w:fill="FF6A00"/>
            <w:vAlign w:val="center"/>
          </w:tcPr>
          <w:p>
            <w:pPr>
              <w:keepNext/>
              <w:spacing w:after="20" w:line="252" w:lineRule="auto"/>
            </w:pPr>
            <w:r>
              <w:rPr>
                <w:rFonts w:ascii="Poppins" w:hAnsi="Poppins" w:cs="Poppins" w:eastAsia="Poppins"/>
                <w:b/>
                <w:color w:val="20242B"/>
                <w:sz w:val="18"/>
              </w:rPr>
              <w:t>FluxMuse provides</w:t>
            </w:r>
          </w:p>
        </w:tc>
        <w:tc>
          <w:tcPr>
            <w:tcW w:type="dxa" w:w="2721"/>
            <w:shd w:val="clear" w:color="auto" w:fill="FF6A00"/>
            <w:vAlign w:val="center"/>
          </w:tcPr>
          <w:p>
            <w:pPr>
              <w:keepNext/>
              <w:spacing w:after="20" w:line="252" w:lineRule="auto"/>
            </w:pPr>
            <w:r>
              <w:rPr>
                <w:rFonts w:ascii="Poppins" w:hAnsi="Poppins" w:cs="Poppins" w:eastAsia="Poppins"/>
                <w:b/>
                <w:color w:val="20242B"/>
                <w:sz w:val="18"/>
                <w:shd w:val="clear" w:color="auto" w:fill="FFF1A8"/>
              </w:rPr>
              <w:t>[[AGENCY NAME]]</w:t>
            </w:r>
            <w:r>
              <w:rPr>
                <w:rFonts w:ascii="Poppins" w:hAnsi="Poppins" w:cs="Poppins" w:eastAsia="Poppins"/>
                <w:b/>
                <w:color w:val="20242B"/>
                <w:sz w:val="18"/>
              </w:rPr>
              <w:t xml:space="preserve"> provides</w:t>
            </w:r>
          </w:p>
        </w:tc>
        <w:tc>
          <w:tcPr>
            <w:tcW w:type="dxa" w:w="2041"/>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2041"/>
            <w:vAlign w:val="center"/>
          </w:tcPr>
          <w:p>
            <w:pPr>
              <w:spacing w:after="20" w:line="252" w:lineRule="auto"/>
            </w:pPr>
            <w:r>
              <w:rPr>
                <w:b/>
                <w:sz w:val="18"/>
              </w:rPr>
              <w:t>Partner directory listing</w:t>
            </w:r>
          </w:p>
        </w:tc>
        <w:tc>
          <w:tcPr>
            <w:tcW w:type="dxa" w:w="2835"/>
            <w:vAlign w:val="center"/>
          </w:tcPr>
          <w:p>
            <w:pPr>
              <w:spacing w:after="20" w:line="252" w:lineRule="auto"/>
            </w:pPr>
            <w:r>
              <w:rPr>
                <w:sz w:val="18"/>
              </w:rPr>
              <w:t>Listing and profile</w:t>
            </w:r>
          </w:p>
        </w:tc>
        <w:tc>
          <w:tcPr>
            <w:tcW w:type="dxa" w:w="2721"/>
            <w:vAlign w:val="center"/>
          </w:tcPr>
          <w:p>
            <w:pPr>
              <w:spacing w:after="20" w:line="252" w:lineRule="auto"/>
            </w:pPr>
            <w:r>
              <w:rPr>
                <w:sz w:val="18"/>
              </w:rPr>
              <w:t>Services, areas, contact</w:t>
            </w:r>
          </w:p>
        </w:tc>
        <w:tc>
          <w:tcPr>
            <w:tcW w:type="dxa" w:w="2041"/>
            <w:vAlign w:val="center"/>
          </w:tcPr>
          <w:p>
            <w:pPr>
              <w:spacing w:after="20" w:line="252" w:lineRule="auto"/>
            </w:pPr>
            <w:r>
              <w:rPr>
                <w:b/>
                <w:color w:val="20242B"/>
                <w:sz w:val="18"/>
                <w:shd w:val="clear" w:color="auto" w:fill="FFF1A8"/>
              </w:rPr>
              <w:t>[[FOUNDER TO CONFIRM]]</w:t>
            </w:r>
          </w:p>
        </w:tc>
      </w:tr>
      <w:tr>
        <w:trPr>
          <w:cantSplit/>
        </w:trPr>
        <w:tc>
          <w:tcPr>
            <w:tcW w:type="dxa" w:w="2041"/>
            <w:shd w:val="clear" w:color="auto" w:fill="FAFAFB"/>
            <w:vAlign w:val="center"/>
          </w:tcPr>
          <w:p>
            <w:pPr>
              <w:spacing w:after="20" w:line="252" w:lineRule="auto"/>
            </w:pPr>
            <w:r>
              <w:rPr>
                <w:b/>
                <w:sz w:val="18"/>
              </w:rPr>
              <w:t>Sales materials</w:t>
            </w:r>
          </w:p>
        </w:tc>
        <w:tc>
          <w:tcPr>
            <w:tcW w:type="dxa" w:w="2835"/>
            <w:shd w:val="clear" w:color="auto" w:fill="FAFAFB"/>
            <w:vAlign w:val="center"/>
          </w:tcPr>
          <w:p>
            <w:pPr>
              <w:spacing w:after="20" w:line="252" w:lineRule="auto"/>
            </w:pPr>
            <w:r>
              <w:rPr>
                <w:sz w:val="18"/>
              </w:rPr>
              <w:t xml:space="preserve">Brand kit, pitch deck and proposal templates (white-label versions </w:t>
            </w:r>
            <w:r>
              <w:rPr>
                <w:b/>
                <w:color w:val="20242B"/>
                <w:sz w:val="18"/>
                <w:shd w:val="clear" w:color="auto" w:fill="FFF1A8"/>
              </w:rPr>
              <w:t>[[TBC]]</w:t>
            </w:r>
            <w:r>
              <w:rPr>
                <w:sz w:val="18"/>
              </w:rPr>
              <w:t>)</w:t>
            </w:r>
          </w:p>
        </w:tc>
        <w:tc>
          <w:tcPr>
            <w:tcW w:type="dxa" w:w="2721"/>
            <w:shd w:val="clear" w:color="auto" w:fill="FAFAFB"/>
            <w:vAlign w:val="center"/>
          </w:tcPr>
          <w:p>
            <w:pPr>
              <w:spacing w:after="20" w:line="252" w:lineRule="auto"/>
            </w:pPr>
            <w:r>
              <w:rPr>
                <w:sz w:val="18"/>
              </w:rPr>
              <w:t>Your branding and offer</w:t>
            </w:r>
          </w:p>
        </w:tc>
        <w:tc>
          <w:tcPr>
            <w:tcW w:type="dxa" w:w="2041"/>
            <w:shd w:val="clear" w:color="auto" w:fill="FAFAFB"/>
            <w:vAlign w:val="center"/>
          </w:tcPr>
          <w:p>
            <w:pPr>
              <w:spacing w:after="20" w:line="252" w:lineRule="auto"/>
            </w:pPr>
            <w:r>
              <w:rPr>
                <w:b/>
                <w:color w:val="20242B"/>
                <w:sz w:val="18"/>
                <w:shd w:val="clear" w:color="auto" w:fill="FFF1A8"/>
              </w:rPr>
              <w:t>[[TBC]]</w:t>
            </w:r>
          </w:p>
        </w:tc>
      </w:tr>
      <w:tr>
        <w:trPr>
          <w:cantSplit/>
        </w:trPr>
        <w:tc>
          <w:tcPr>
            <w:tcW w:type="dxa" w:w="2041"/>
            <w:vAlign w:val="center"/>
          </w:tcPr>
          <w:p>
            <w:pPr>
              <w:spacing w:after="20" w:line="252" w:lineRule="auto"/>
            </w:pPr>
            <w:r>
              <w:rPr>
                <w:b/>
                <w:sz w:val="18"/>
              </w:rPr>
              <w:t>Joint case study</w:t>
            </w:r>
          </w:p>
        </w:tc>
        <w:tc>
          <w:tcPr>
            <w:tcW w:type="dxa" w:w="2835"/>
            <w:vAlign w:val="center"/>
          </w:tcPr>
          <w:p>
            <w:pPr>
              <w:spacing w:after="20" w:line="252" w:lineRule="auto"/>
            </w:pPr>
            <w:r>
              <w:rPr>
                <w:sz w:val="18"/>
              </w:rPr>
              <w:t>Case-study format and design</w:t>
            </w:r>
          </w:p>
        </w:tc>
        <w:tc>
          <w:tcPr>
            <w:tcW w:type="dxa" w:w="2721"/>
            <w:vAlign w:val="center"/>
          </w:tcPr>
          <w:p>
            <w:pPr>
              <w:spacing w:after="20" w:line="252" w:lineRule="auto"/>
            </w:pPr>
            <w:r>
              <w:rPr>
                <w:sz w:val="18"/>
              </w:rPr>
              <w:t>First client's written consent</w:t>
            </w:r>
          </w:p>
        </w:tc>
        <w:tc>
          <w:tcPr>
            <w:tcW w:type="dxa" w:w="2041"/>
            <w:vAlign w:val="center"/>
          </w:tcPr>
          <w:p>
            <w:pPr>
              <w:spacing w:after="20" w:line="252" w:lineRule="auto"/>
            </w:pPr>
            <w:r>
              <w:rPr>
                <w:sz w:val="18"/>
              </w:rPr>
              <w:t>Later, consent only</w:t>
            </w:r>
          </w:p>
        </w:tc>
      </w:tr>
      <w:tr>
        <w:trPr>
          <w:cantSplit/>
        </w:trPr>
        <w:tc>
          <w:tcPr>
            <w:tcW w:type="dxa" w:w="2041"/>
            <w:shd w:val="clear" w:color="auto" w:fill="FAFAFB"/>
            <w:vAlign w:val="center"/>
          </w:tcPr>
          <w:p>
            <w:pPr>
              <w:spacing w:after="20" w:line="252" w:lineRule="auto"/>
            </w:pPr>
            <w:r>
              <w:rPr>
                <w:b/>
                <w:sz w:val="18"/>
              </w:rPr>
              <w:t>Webinar or workshop</w:t>
            </w:r>
          </w:p>
        </w:tc>
        <w:tc>
          <w:tcPr>
            <w:tcW w:type="dxa" w:w="2835"/>
            <w:shd w:val="clear" w:color="auto" w:fill="FAFAFB"/>
            <w:vAlign w:val="center"/>
          </w:tcPr>
          <w:p>
            <w:pPr>
              <w:spacing w:after="20" w:line="252" w:lineRule="auto"/>
            </w:pPr>
            <w:r>
              <w:rPr>
                <w:sz w:val="18"/>
              </w:rPr>
              <w:t>Speaker and demo</w:t>
            </w:r>
          </w:p>
        </w:tc>
        <w:tc>
          <w:tcPr>
            <w:tcW w:type="dxa" w:w="2721"/>
            <w:shd w:val="clear" w:color="auto" w:fill="FAFAFB"/>
            <w:vAlign w:val="center"/>
          </w:tcPr>
          <w:p>
            <w:pPr>
              <w:spacing w:after="20" w:line="252" w:lineRule="auto"/>
            </w:pPr>
            <w:r>
              <w:rPr>
                <w:sz w:val="18"/>
              </w:rPr>
              <w:t>Audience and venue</w:t>
            </w:r>
          </w:p>
        </w:tc>
        <w:tc>
          <w:tcPr>
            <w:tcW w:type="dxa" w:w="2041"/>
            <w:shd w:val="clear" w:color="auto" w:fill="FAFAFB"/>
            <w:vAlign w:val="center"/>
          </w:tcPr>
          <w:p>
            <w:pPr>
              <w:spacing w:after="20" w:line="252" w:lineRule="auto"/>
            </w:pPr>
            <w:r>
              <w:rPr>
                <w:b/>
                <w:color w:val="20242B"/>
                <w:sz w:val="18"/>
                <w:shd w:val="clear" w:color="auto" w:fill="FFF1A8"/>
              </w:rPr>
              <w:t>[[TBC]]</w:t>
            </w:r>
          </w:p>
        </w:tc>
      </w:tr>
      <w:tr>
        <w:trPr>
          <w:cantSplit/>
        </w:trPr>
        <w:tc>
          <w:tcPr>
            <w:tcW w:type="dxa" w:w="2041"/>
            <w:vAlign w:val="center"/>
          </w:tcPr>
          <w:p>
            <w:pPr>
              <w:spacing w:after="20" w:line="252" w:lineRule="auto"/>
            </w:pPr>
            <w:r>
              <w:rPr>
                <w:b/>
                <w:sz w:val="18"/>
              </w:rPr>
              <w:t>Referral leads</w:t>
            </w:r>
          </w:p>
        </w:tc>
        <w:tc>
          <w:tcPr>
            <w:tcW w:type="dxa" w:w="2835"/>
            <w:vAlign w:val="center"/>
          </w:tcPr>
          <w:p>
            <w:pPr>
              <w:spacing w:after="20" w:line="252" w:lineRule="auto"/>
            </w:pPr>
            <w:r>
              <w:rPr>
                <w:sz w:val="18"/>
              </w:rPr>
              <w:t>Leads that need an agency</w:t>
            </w:r>
          </w:p>
        </w:tc>
        <w:tc>
          <w:tcPr>
            <w:tcW w:type="dxa" w:w="2721"/>
            <w:vAlign w:val="center"/>
          </w:tcPr>
          <w:p>
            <w:pPr>
              <w:spacing w:after="20" w:line="252" w:lineRule="auto"/>
            </w:pPr>
            <w:r>
              <w:rPr>
                <w:sz w:val="18"/>
              </w:rPr>
              <w:t xml:space="preserve">Follow-up within </w:t>
            </w:r>
            <w:r>
              <w:rPr>
                <w:b/>
                <w:color w:val="20242B"/>
                <w:sz w:val="18"/>
                <w:shd w:val="clear" w:color="auto" w:fill="FFF1A8"/>
              </w:rPr>
              <w:t>[[N]]</w:t>
            </w:r>
            <w:r>
              <w:rPr>
                <w:sz w:val="18"/>
              </w:rPr>
              <w:t xml:space="preserve"> days</w:t>
            </w:r>
          </w:p>
        </w:tc>
        <w:tc>
          <w:tcPr>
            <w:tcW w:type="dxa" w:w="2041"/>
            <w:vAlign w:val="center"/>
          </w:tcPr>
          <w:p>
            <w:pPr>
              <w:spacing w:after="20" w:line="252" w:lineRule="auto"/>
            </w:pPr>
            <w:r>
              <w:rPr>
                <w:b/>
                <w:color w:val="20242B"/>
                <w:sz w:val="18"/>
                <w:shd w:val="clear" w:color="auto" w:fill="FFF1A8"/>
              </w:rPr>
              <w:t>[[FOUNDER DECISION]]</w:t>
            </w:r>
          </w:p>
        </w:tc>
      </w:tr>
      <w:tr>
        <w:trPr>
          <w:cantSplit/>
        </w:trPr>
        <w:tc>
          <w:tcPr>
            <w:tcW w:type="dxa" w:w="2041"/>
            <w:shd w:val="clear" w:color="auto" w:fill="FAFAFB"/>
            <w:vAlign w:val="center"/>
          </w:tcPr>
          <w:p>
            <w:pPr>
              <w:spacing w:after="20" w:line="252" w:lineRule="auto"/>
            </w:pPr>
            <w:r>
              <w:rPr>
                <w:b/>
                <w:sz w:val="18"/>
              </w:rPr>
              <w:t>Launch announcement</w:t>
            </w:r>
          </w:p>
        </w:tc>
        <w:tc>
          <w:tcPr>
            <w:tcW w:type="dxa" w:w="2835"/>
            <w:shd w:val="clear" w:color="auto" w:fill="FAFAFB"/>
            <w:vAlign w:val="center"/>
          </w:tcPr>
          <w:p>
            <w:pPr>
              <w:spacing w:after="20" w:line="252" w:lineRule="auto"/>
            </w:pPr>
            <w:r>
              <w:rPr>
                <w:sz w:val="18"/>
              </w:rPr>
              <w:t>Social post and newsletter mention</w:t>
            </w:r>
          </w:p>
        </w:tc>
        <w:tc>
          <w:tcPr>
            <w:tcW w:type="dxa" w:w="2721"/>
            <w:shd w:val="clear" w:color="auto" w:fill="FAFAFB"/>
            <w:vAlign w:val="center"/>
          </w:tcPr>
          <w:p>
            <w:pPr>
              <w:spacing w:after="20" w:line="252" w:lineRule="auto"/>
            </w:pPr>
            <w:r>
              <w:rPr>
                <w:sz w:val="18"/>
              </w:rPr>
              <w:t>Joint post</w:t>
            </w:r>
          </w:p>
        </w:tc>
        <w:tc>
          <w:tcPr>
            <w:tcW w:type="dxa" w:w="2041"/>
            <w:shd w:val="clear" w:color="auto" w:fill="FAFAFB"/>
            <w:vAlign w:val="center"/>
          </w:tcPr>
          <w:p>
            <w:pPr>
              <w:spacing w:after="20" w:line="252" w:lineRule="auto"/>
            </w:pPr>
            <w:r>
              <w:rPr>
                <w:b/>
                <w:color w:val="20242B"/>
                <w:sz w:val="18"/>
                <w:shd w:val="clear" w:color="auto" w:fill="FFF1A8"/>
              </w:rPr>
              <w:t>[[TBC]]</w:t>
            </w:r>
          </w:p>
        </w:tc>
      </w:tr>
    </w:tbl>
    <w:p>
      <w:pPr>
        <w:spacing w:after="0" w:line="120" w:lineRule="exact"/>
      </w:pPr>
    </w:p>
    <w:p>
      <w:pPr>
        <w:pStyle w:val="Heading1"/>
      </w:pPr>
      <w:r>
        <w:rPr/>
        <w:t>7. Referral commission</w:t>
      </w:r>
    </w:p>
    <w:p>
      <w:r>
        <w:rPr/>
        <w:t>Some businesses a partner introduces may prefer their own Starter, Growth or Scale subscription instead of a sub-account. For those referrals: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ferral commission terms"/>
      </w:tblPr>
      <w:tblGrid>
        <w:gridCol w:w="2834"/>
        <w:gridCol w:w="6803"/>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9"/>
              </w:rPr>
              <w:t>Item</w:t>
            </w:r>
          </w:p>
        </w:tc>
        <w:tc>
          <w:tcPr>
            <w:tcW w:type="dxa" w:w="6803"/>
            <w:shd w:val="clear" w:color="auto" w:fill="FF6A00"/>
            <w:vAlign w:val="center"/>
          </w:tcPr>
          <w:p>
            <w:pPr>
              <w:keepNext/>
              <w:spacing w:after="20" w:line="252" w:lineRule="auto"/>
            </w:pPr>
            <w:r>
              <w:rPr>
                <w:rFonts w:ascii="Poppins" w:hAnsi="Poppins" w:cs="Poppins" w:eastAsia="Poppins"/>
                <w:b/>
                <w:color w:val="20242B"/>
                <w:sz w:val="19"/>
              </w:rPr>
              <w:t>Position</w:t>
            </w:r>
          </w:p>
        </w:tc>
      </w:tr>
      <w:tr>
        <w:trPr>
          <w:cantSplit/>
        </w:trPr>
        <w:tc>
          <w:tcPr>
            <w:tcW w:type="dxa" w:w="2835"/>
            <w:vAlign w:val="center"/>
          </w:tcPr>
          <w:p>
            <w:pPr>
              <w:spacing w:after="20" w:line="252" w:lineRule="auto"/>
            </w:pPr>
            <w:r>
              <w:rPr>
                <w:b/>
                <w:sz w:val="19"/>
              </w:rPr>
              <w:t>Commission rate</w:t>
            </w:r>
          </w:p>
        </w:tc>
        <w:tc>
          <w:tcPr>
            <w:tcW w:type="dxa" w:w="6803"/>
            <w:vAlign w:val="center"/>
          </w:tcPr>
          <w:p>
            <w:pPr>
              <w:spacing w:after="20" w:line="252" w:lineRule="auto"/>
            </w:pPr>
            <w:r>
              <w:rPr>
                <w:b/>
                <w:color w:val="20242B"/>
                <w:sz w:val="19"/>
                <w:shd w:val="clear" w:color="auto" w:fill="FFF1A8"/>
              </w:rPr>
              <w:t>[[FOUNDER DECISION: referral commission %]]</w:t>
            </w:r>
          </w:p>
        </w:tc>
      </w:tr>
      <w:tr>
        <w:trPr>
          <w:cantSplit/>
        </w:trPr>
        <w:tc>
          <w:tcPr>
            <w:tcW w:type="dxa" w:w="2835"/>
            <w:shd w:val="clear" w:color="auto" w:fill="FAFAFB"/>
            <w:vAlign w:val="center"/>
          </w:tcPr>
          <w:p>
            <w:pPr>
              <w:spacing w:after="20" w:line="252" w:lineRule="auto"/>
            </w:pPr>
            <w:r>
              <w:rPr>
                <w:b/>
                <w:sz w:val="19"/>
              </w:rPr>
              <w:t>Basis and duration</w:t>
            </w:r>
          </w:p>
        </w:tc>
        <w:tc>
          <w:tcPr>
            <w:tcW w:type="dxa" w:w="6803"/>
            <w:shd w:val="clear" w:color="auto" w:fill="FAFAFB"/>
            <w:vAlign w:val="center"/>
          </w:tcPr>
          <w:p>
            <w:pPr>
              <w:spacing w:after="20" w:line="252" w:lineRule="auto"/>
            </w:pPr>
            <w:r>
              <w:rPr>
                <w:b/>
                <w:color w:val="20242B"/>
                <w:sz w:val="19"/>
                <w:shd w:val="clear" w:color="auto" w:fill="FFF1A8"/>
              </w:rPr>
              <w:t>[[FOUNDER DECISION: e.g. first-year subscription fees]]</w:t>
            </w:r>
          </w:p>
        </w:tc>
      </w:tr>
      <w:tr>
        <w:trPr>
          <w:cantSplit/>
        </w:trPr>
        <w:tc>
          <w:tcPr>
            <w:tcW w:type="dxa" w:w="2835"/>
            <w:vAlign w:val="center"/>
          </w:tcPr>
          <w:p>
            <w:pPr>
              <w:spacing w:after="20" w:line="252" w:lineRule="auto"/>
            </w:pPr>
            <w:r>
              <w:rPr>
                <w:b/>
                <w:sz w:val="19"/>
              </w:rPr>
              <w:t>Payout timing and method</w:t>
            </w:r>
          </w:p>
        </w:tc>
        <w:tc>
          <w:tcPr>
            <w:tcW w:type="dxa" w:w="6803"/>
            <w:vAlign w:val="center"/>
          </w:tcPr>
          <w:p>
            <w:pPr>
              <w:spacing w:after="20" w:line="252" w:lineRule="auto"/>
            </w:pPr>
            <w:r>
              <w:rPr>
                <w:b/>
                <w:color w:val="20242B"/>
                <w:sz w:val="19"/>
                <w:shd w:val="clear" w:color="auto" w:fill="FFF1A8"/>
              </w:rPr>
              <w:t>[[FOUNDER DECISION]]</w:t>
            </w:r>
          </w:p>
        </w:tc>
      </w:tr>
      <w:tr>
        <w:trPr>
          <w:cantSplit/>
        </w:trPr>
        <w:tc>
          <w:tcPr>
            <w:tcW w:type="dxa" w:w="2835"/>
            <w:shd w:val="clear" w:color="auto" w:fill="FAFAFB"/>
            <w:vAlign w:val="center"/>
          </w:tcPr>
          <w:p>
            <w:pPr>
              <w:spacing w:after="20" w:line="252" w:lineRule="auto"/>
            </w:pPr>
            <w:r>
              <w:rPr>
                <w:b/>
                <w:sz w:val="19"/>
              </w:rPr>
              <w:t>Tracking</w:t>
            </w:r>
          </w:p>
        </w:tc>
        <w:tc>
          <w:tcPr>
            <w:tcW w:type="dxa" w:w="6803"/>
            <w:shd w:val="clear" w:color="auto" w:fill="FAFAFB"/>
            <w:vAlign w:val="center"/>
          </w:tcPr>
          <w:p>
            <w:pPr>
              <w:spacing w:after="20" w:line="252" w:lineRule="auto"/>
            </w:pPr>
            <w:r>
              <w:rPr>
                <w:sz w:val="19"/>
              </w:rPr>
              <w:t xml:space="preserve">Referral tracking is on the roadmap; interim tracking: </w:t>
            </w:r>
            <w:r>
              <w:rPr>
                <w:b/>
                <w:color w:val="20242B"/>
                <w:sz w:val="19"/>
                <w:shd w:val="clear" w:color="auto" w:fill="FFF1A8"/>
              </w:rPr>
              <w:t>[[TBC]]</w:t>
            </w:r>
          </w:p>
        </w:tc>
      </w:tr>
    </w:tbl>
    <w:p>
      <w:pPr>
        <w:spacing w:after="0" w:line="120" w:lineRule="exact"/>
      </w:pPr>
    </w:p>
    <w:p>
      <w:r>
        <w:rPr>
          <w:sz w:val="19"/>
        </w:rPr>
        <w:t>Referral commission is separate from wholesale pricing and isn't a discount on the partner's own plan.</w:t>
      </w:r>
    </w:p>
    <w:p>
      <w:pPr>
        <w:pStyle w:val="Heading1"/>
      </w:pPr>
      <w:r>
        <w:rPr/>
        <w:t xml:space="preserve">8. Partner obligations </w:t>
      </w:r>
      <w:r>
        <w:rPr>
          <w:b/>
          <w:color w:val="20242B"/>
          <w:shd w:val="clear" w:color="auto" w:fill="FFF1A8"/>
        </w:rPr>
        <w:t>[[TBC]]</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obligation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Obligation</w:t>
            </w:r>
          </w:p>
        </w:tc>
        <w:tc>
          <w:tcPr>
            <w:tcW w:type="dxa" w:w="7030"/>
            <w:shd w:val="clear" w:color="auto" w:fill="FF6A00"/>
            <w:vAlign w:val="center"/>
          </w:tcPr>
          <w:p>
            <w:pPr>
              <w:keepNext/>
              <w:spacing w:after="20" w:line="252" w:lineRule="auto"/>
            </w:pPr>
            <w:r>
              <w:rPr>
                <w:rFonts w:ascii="Poppins" w:hAnsi="Poppins" w:cs="Poppins" w:eastAsia="Poppins"/>
                <w:b/>
                <w:color w:val="20242B"/>
                <w:sz w:val="19"/>
              </w:rPr>
              <w:t>Detail</w:t>
            </w:r>
          </w:p>
        </w:tc>
      </w:tr>
      <w:tr>
        <w:trPr>
          <w:cantSplit/>
        </w:trPr>
        <w:tc>
          <w:tcPr>
            <w:tcW w:type="dxa" w:w="2608"/>
            <w:vAlign w:val="center"/>
          </w:tcPr>
          <w:p>
            <w:pPr>
              <w:spacing w:after="20" w:line="252" w:lineRule="auto"/>
            </w:pPr>
            <w:r>
              <w:rPr>
                <w:b/>
                <w:sz w:val="19"/>
              </w:rPr>
              <w:t>Minimum commitment</w:t>
            </w:r>
          </w:p>
        </w:tc>
        <w:tc>
          <w:tcPr>
            <w:tcW w:type="dxa" w:w="7030"/>
            <w:vAlign w:val="center"/>
          </w:tcPr>
          <w:p>
            <w:pPr>
              <w:spacing w:after="20" w:line="252" w:lineRule="auto"/>
            </w:pPr>
            <w:r>
              <w:rPr>
                <w:b/>
                <w:color w:val="20242B"/>
                <w:sz w:val="19"/>
                <w:shd w:val="clear" w:color="auto" w:fill="FFF1A8"/>
              </w:rPr>
              <w:t>[[TBC: e.g. minimum active client sub-accounts after 90 days]]</w:t>
            </w:r>
          </w:p>
        </w:tc>
      </w:tr>
      <w:tr>
        <w:trPr>
          <w:cantSplit/>
        </w:trPr>
        <w:tc>
          <w:tcPr>
            <w:tcW w:type="dxa" w:w="2608"/>
            <w:shd w:val="clear" w:color="auto" w:fill="FAFAFB"/>
            <w:vAlign w:val="center"/>
          </w:tcPr>
          <w:p>
            <w:pPr>
              <w:spacing w:after="20" w:line="252" w:lineRule="auto"/>
            </w:pPr>
            <w:r>
              <w:rPr>
                <w:b/>
                <w:sz w:val="19"/>
              </w:rPr>
              <w:t>First-line client support</w:t>
            </w:r>
          </w:p>
        </w:tc>
        <w:tc>
          <w:tcPr>
            <w:tcW w:type="dxa" w:w="7030"/>
            <w:shd w:val="clear" w:color="auto" w:fill="FAFAFB"/>
            <w:vAlign w:val="center"/>
          </w:tcPr>
          <w:p>
            <w:pPr>
              <w:spacing w:after="20" w:line="252" w:lineRule="auto"/>
            </w:pPr>
            <w:r>
              <w:rPr>
                <w:b/>
                <w:color w:val="20242B"/>
                <w:sz w:val="19"/>
                <w:shd w:val="clear" w:color="auto" w:fill="FFF1A8"/>
              </w:rPr>
              <w:t>[[TBC]]</w:t>
            </w:r>
          </w:p>
        </w:tc>
      </w:tr>
      <w:tr>
        <w:trPr>
          <w:cantSplit/>
        </w:trPr>
        <w:tc>
          <w:tcPr>
            <w:tcW w:type="dxa" w:w="2608"/>
            <w:vAlign w:val="center"/>
          </w:tcPr>
          <w:p>
            <w:pPr>
              <w:spacing w:after="20" w:line="252" w:lineRule="auto"/>
            </w:pPr>
            <w:r>
              <w:rPr>
                <w:b/>
                <w:sz w:val="19"/>
              </w:rPr>
              <w:t>Training</w:t>
            </w:r>
          </w:p>
        </w:tc>
        <w:tc>
          <w:tcPr>
            <w:tcW w:type="dxa" w:w="7030"/>
            <w:vAlign w:val="center"/>
          </w:tcPr>
          <w:p>
            <w:pPr>
              <w:spacing w:after="20" w:line="252" w:lineRule="auto"/>
            </w:pPr>
            <w:r>
              <w:rPr>
                <w:sz w:val="19"/>
              </w:rPr>
              <w:t xml:space="preserve">Complete onboarding training within 30 days </w:t>
            </w:r>
            <w:r>
              <w:rPr>
                <w:b/>
                <w:color w:val="20242B"/>
                <w:sz w:val="19"/>
                <w:shd w:val="clear" w:color="auto" w:fill="FFF1A8"/>
              </w:rPr>
              <w:t>[[TBC]]</w:t>
            </w:r>
          </w:p>
        </w:tc>
      </w:tr>
      <w:tr>
        <w:trPr>
          <w:cantSplit/>
        </w:trPr>
        <w:tc>
          <w:tcPr>
            <w:tcW w:type="dxa" w:w="2608"/>
            <w:shd w:val="clear" w:color="auto" w:fill="FAFAFB"/>
            <w:vAlign w:val="center"/>
          </w:tcPr>
          <w:p>
            <w:pPr>
              <w:spacing w:after="20" w:line="252" w:lineRule="auto"/>
            </w:pPr>
            <w:r>
              <w:rPr>
                <w:b/>
                <w:sz w:val="19"/>
              </w:rPr>
              <w:t>Messaging compliance</w:t>
            </w:r>
          </w:p>
        </w:tc>
        <w:tc>
          <w:tcPr>
            <w:tcW w:type="dxa" w:w="7030"/>
            <w:shd w:val="clear" w:color="auto" w:fill="FAFAFB"/>
            <w:vAlign w:val="center"/>
          </w:tcPr>
          <w:p>
            <w:pPr>
              <w:spacing w:after="20" w:line="252" w:lineRule="auto"/>
            </w:pPr>
            <w:r>
              <w:rPr>
                <w:sz w:val="19"/>
              </w:rPr>
              <w:t>Follow POPIA and Meta WhatsApp Business policies: approved templates, opted-in contacts, opt-outs honoured</w:t>
            </w:r>
          </w:p>
        </w:tc>
      </w:tr>
      <w:tr>
        <w:trPr>
          <w:cantSplit/>
        </w:trPr>
        <w:tc>
          <w:tcPr>
            <w:tcW w:type="dxa" w:w="2608"/>
            <w:vAlign w:val="center"/>
          </w:tcPr>
          <w:p>
            <w:pPr>
              <w:spacing w:after="20" w:line="252" w:lineRule="auto"/>
            </w:pPr>
            <w:r>
              <w:rPr>
                <w:b/>
                <w:sz w:val="19"/>
              </w:rPr>
              <w:t>Data protection</w:t>
            </w:r>
          </w:p>
        </w:tc>
        <w:tc>
          <w:tcPr>
            <w:tcW w:type="dxa" w:w="7030"/>
            <w:vAlign w:val="center"/>
          </w:tcPr>
          <w:p>
            <w:pPr>
              <w:spacing w:after="20" w:line="252" w:lineRule="auto"/>
            </w:pPr>
            <w:r>
              <w:rPr>
                <w:sz w:val="19"/>
              </w:rPr>
              <w:t xml:space="preserve">POPIA; data processing agreement </w:t>
            </w:r>
            <w:r>
              <w:rPr>
                <w:b/>
                <w:color w:val="20242B"/>
                <w:sz w:val="19"/>
                <w:shd w:val="clear" w:color="auto" w:fill="FFF1A8"/>
              </w:rPr>
              <w:t>[[LEGAL REVIEW REQUIRED]]</w:t>
            </w:r>
          </w:p>
        </w:tc>
      </w:tr>
      <w:tr>
        <w:trPr>
          <w:cantSplit/>
        </w:trPr>
        <w:tc>
          <w:tcPr>
            <w:tcW w:type="dxa" w:w="2608"/>
            <w:shd w:val="clear" w:color="auto" w:fill="FAFAFB"/>
            <w:vAlign w:val="center"/>
          </w:tcPr>
          <w:p>
            <w:pPr>
              <w:spacing w:after="20" w:line="252" w:lineRule="auto"/>
            </w:pPr>
            <w:r>
              <w:rPr>
                <w:b/>
                <w:sz w:val="19"/>
              </w:rPr>
              <w:t>Claims</w:t>
            </w:r>
          </w:p>
        </w:tc>
        <w:tc>
          <w:tcPr>
            <w:tcW w:type="dxa" w:w="7030"/>
            <w:shd w:val="clear" w:color="auto" w:fill="FAFAFB"/>
            <w:vAlign w:val="center"/>
          </w:tcPr>
          <w:p>
            <w:pPr>
              <w:spacing w:after="20" w:line="252" w:lineRule="auto"/>
            </w:pPr>
            <w:r>
              <w:rPr>
                <w:sz w:val="19"/>
              </w:rPr>
              <w:t>Only use approved FluxMuse facts: no invented customer numbers, ratings, testimonials or results</w:t>
            </w:r>
          </w:p>
        </w:tc>
      </w:tr>
      <w:tr>
        <w:trPr>
          <w:cantSplit/>
        </w:trPr>
        <w:tc>
          <w:tcPr>
            <w:tcW w:type="dxa" w:w="2608"/>
            <w:vAlign w:val="center"/>
          </w:tcPr>
          <w:p>
            <w:pPr>
              <w:spacing w:after="20" w:line="252" w:lineRule="auto"/>
            </w:pPr>
            <w:r>
              <w:rPr>
                <w:b/>
                <w:sz w:val="19"/>
              </w:rPr>
              <w:t>Payment</w:t>
            </w:r>
          </w:p>
        </w:tc>
        <w:tc>
          <w:tcPr>
            <w:tcW w:type="dxa" w:w="7030"/>
            <w:vAlign w:val="center"/>
          </w:tcPr>
          <w:p>
            <w:pPr>
              <w:spacing w:after="20" w:line="252" w:lineRule="auto"/>
            </w:pPr>
            <w:r>
              <w:rPr>
                <w:sz w:val="19"/>
              </w:rPr>
              <w:t xml:space="preserve">Wholesale fees paid in advance </w:t>
            </w:r>
            <w:r>
              <w:rPr>
                <w:b/>
                <w:color w:val="20242B"/>
                <w:sz w:val="19"/>
                <w:shd w:val="clear" w:color="auto" w:fill="FFF1A8"/>
              </w:rPr>
              <w:t>[[TBC]]</w:t>
            </w:r>
          </w:p>
        </w:tc>
      </w:tr>
      <w:tr>
        <w:trPr>
          <w:cantSplit/>
        </w:trPr>
        <w:tc>
          <w:tcPr>
            <w:tcW w:type="dxa" w:w="2608"/>
            <w:shd w:val="clear" w:color="auto" w:fill="FAFAFB"/>
            <w:vAlign w:val="center"/>
          </w:tcPr>
          <w:p>
            <w:pPr>
              <w:spacing w:after="20" w:line="252" w:lineRule="auto"/>
            </w:pPr>
            <w:r>
              <w:rPr>
                <w:b/>
                <w:sz w:val="19"/>
              </w:rPr>
              <w:t>Reporting to FluxMuse</w:t>
            </w:r>
          </w:p>
        </w:tc>
        <w:tc>
          <w:tcPr>
            <w:tcW w:type="dxa" w:w="7030"/>
            <w:shd w:val="clear" w:color="auto" w:fill="FAFAFB"/>
            <w:vAlign w:val="center"/>
          </w:tcPr>
          <w:p>
            <w:pPr>
              <w:spacing w:after="20" w:line="252" w:lineRule="auto"/>
            </w:pPr>
            <w:r>
              <w:rPr>
                <w:b/>
                <w:color w:val="20242B"/>
                <w:sz w:val="19"/>
                <w:shd w:val="clear" w:color="auto" w:fill="FFF1A8"/>
              </w:rPr>
              <w:t>[[TBC: e.g. quarterly partner review]]</w:t>
            </w:r>
          </w:p>
        </w:tc>
      </w:tr>
    </w:tbl>
    <w:p>
      <w:pPr>
        <w:spacing w:after="0" w:line="120" w:lineRule="exact"/>
      </w:pPr>
    </w:p>
    <w:p>
      <w:pPr>
        <w:pStyle w:val="Heading1"/>
      </w:pPr>
      <w:r>
        <w:rPr/>
        <w:t>9. Brand usage rules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rand usage rules"/>
      </w:tblPr>
      <w:tblGrid>
        <w:gridCol w:w="4818"/>
        <w:gridCol w:w="4818"/>
      </w:tblGrid>
      <w:tr>
        <w:trPr>
          <w:cantSplit/>
          <w:tblHeader/>
        </w:trPr>
        <w:tc>
          <w:tcPr>
            <w:tcW w:type="dxa" w:w="4819"/>
            <w:shd w:val="clear" w:color="auto" w:fill="FF6A00"/>
            <w:vAlign w:val="center"/>
          </w:tcPr>
          <w:p>
            <w:pPr>
              <w:keepNext/>
              <w:spacing w:after="20" w:line="252" w:lineRule="auto"/>
            </w:pPr>
            <w:r>
              <w:rPr>
                <w:rFonts w:ascii="Poppins" w:hAnsi="Poppins" w:cs="Poppins" w:eastAsia="Poppins"/>
                <w:b/>
                <w:color w:val="20242B"/>
                <w:sz w:val="19"/>
              </w:rPr>
              <w:t>Allowed</w:t>
            </w:r>
          </w:p>
        </w:tc>
        <w:tc>
          <w:tcPr>
            <w:tcW w:type="dxa" w:w="4819"/>
            <w:shd w:val="clear" w:color="auto" w:fill="FF6A00"/>
            <w:vAlign w:val="center"/>
          </w:tcPr>
          <w:p>
            <w:pPr>
              <w:keepNext/>
              <w:spacing w:after="20" w:line="252" w:lineRule="auto"/>
            </w:pPr>
            <w:r>
              <w:rPr>
                <w:rFonts w:ascii="Poppins" w:hAnsi="Poppins" w:cs="Poppins" w:eastAsia="Poppins"/>
                <w:b/>
                <w:color w:val="20242B"/>
                <w:sz w:val="19"/>
              </w:rPr>
              <w:t>Not allowed</w:t>
            </w:r>
          </w:p>
        </w:tc>
      </w:tr>
      <w:tr>
        <w:trPr>
          <w:cantSplit/>
        </w:trPr>
        <w:tc>
          <w:tcPr>
            <w:tcW w:type="dxa" w:w="4819"/>
            <w:vAlign w:val="center"/>
          </w:tcPr>
          <w:p>
            <w:pPr>
              <w:spacing w:after="20" w:line="252" w:lineRule="auto"/>
            </w:pPr>
            <w:r>
              <w:rPr>
                <w:sz w:val="19"/>
              </w:rPr>
              <w:t>Full white-label: your name, logo and colours for clients</w:t>
            </w:r>
          </w:p>
        </w:tc>
        <w:tc>
          <w:tcPr>
            <w:tcW w:type="dxa" w:w="4819"/>
            <w:vAlign w:val="center"/>
          </w:tcPr>
          <w:p>
            <w:pPr>
              <w:spacing w:after="20" w:line="252" w:lineRule="auto"/>
            </w:pPr>
            <w:r>
              <w:rPr>
                <w:sz w:val="19"/>
              </w:rPr>
              <w:t>Changing, recolouring or stretching the FluxMuse logo</w:t>
            </w:r>
          </w:p>
        </w:tc>
      </w:tr>
      <w:tr>
        <w:trPr>
          <w:cantSplit/>
        </w:trPr>
        <w:tc>
          <w:tcPr>
            <w:tcW w:type="dxa" w:w="4819"/>
            <w:shd w:val="clear" w:color="auto" w:fill="FAFAFB"/>
            <w:vAlign w:val="center"/>
          </w:tcPr>
          <w:p>
            <w:pPr>
              <w:spacing w:after="20" w:line="252" w:lineRule="auto"/>
            </w:pPr>
            <w:r>
              <w:rPr>
                <w:sz w:val="19"/>
              </w:rPr>
              <w:t>“Powered by FluxMuse” is optional; use it if you want to</w:t>
            </w:r>
          </w:p>
        </w:tc>
        <w:tc>
          <w:tcPr>
            <w:tcW w:type="dxa" w:w="4819"/>
            <w:shd w:val="clear" w:color="auto" w:fill="FAFAFB"/>
            <w:vAlign w:val="center"/>
          </w:tcPr>
          <w:p>
            <w:pPr>
              <w:spacing w:after="20" w:line="252" w:lineRule="auto"/>
            </w:pPr>
            <w:r>
              <w:rPr>
                <w:sz w:val="19"/>
              </w:rPr>
              <w:t>Presenting FluxMuse customer counts, ratings, testimonials or results that aren't in approved materials</w:t>
            </w:r>
          </w:p>
        </w:tc>
      </w:tr>
      <w:tr>
        <w:trPr>
          <w:cantSplit/>
        </w:trPr>
        <w:tc>
          <w:tcPr>
            <w:tcW w:type="dxa" w:w="4819"/>
            <w:vAlign w:val="center"/>
          </w:tcPr>
          <w:p>
            <w:pPr>
              <w:spacing w:after="20" w:line="252" w:lineRule="auto"/>
            </w:pPr>
            <w:r>
              <w:rPr>
                <w:sz w:val="19"/>
              </w:rPr>
              <w:t>Describing the product as an AI marketing and WhatsApp commerce platform</w:t>
            </w:r>
          </w:p>
        </w:tc>
        <w:tc>
          <w:tcPr>
            <w:tcW w:type="dxa" w:w="4819"/>
            <w:vAlign w:val="center"/>
          </w:tcPr>
          <w:p>
            <w:pPr>
              <w:spacing w:after="20" w:line="252" w:lineRule="auto"/>
            </w:pPr>
            <w:r>
              <w:rPr>
                <w:sz w:val="19"/>
              </w:rPr>
              <w:t>Promising Facebook or Instagram auto-posting, or checkout, before they are switched on</w:t>
            </w:r>
          </w:p>
        </w:tc>
      </w:tr>
      <w:tr>
        <w:trPr>
          <w:cantSplit/>
        </w:trPr>
        <w:tc>
          <w:tcPr>
            <w:tcW w:type="dxa" w:w="4819"/>
            <w:shd w:val="clear" w:color="auto" w:fill="FAFAFB"/>
            <w:vAlign w:val="center"/>
          </w:tcPr>
          <w:p>
            <w:pPr>
              <w:spacing w:after="20" w:line="252" w:lineRule="auto"/>
            </w:pPr>
            <w:r>
              <w:rPr>
                <w:sz w:val="19"/>
              </w:rPr>
              <w:t>Using FluxMuse brand-kit assets unmodified when co-branding</w:t>
            </w:r>
          </w:p>
        </w:tc>
        <w:tc>
          <w:tcPr>
            <w:tcW w:type="dxa" w:w="4819"/>
            <w:shd w:val="clear" w:color="auto" w:fill="FAFAFB"/>
            <w:vAlign w:val="center"/>
          </w:tcPr>
          <w:p>
            <w:pPr>
              <w:spacing w:after="20" w:line="252" w:lineRule="auto"/>
            </w:pPr>
            <w:r>
              <w:rPr>
                <w:sz w:val="19"/>
              </w:rPr>
              <w:t>Promising clients or investors a fixed FluxMuse margin percentage</w:t>
            </w:r>
          </w:p>
        </w:tc>
      </w:tr>
      <w:tr>
        <w:trPr>
          <w:cantSplit/>
        </w:trPr>
        <w:tc>
          <w:tcPr>
            <w:tcW w:type="dxa" w:w="4819"/>
            <w:vAlign w:val="center"/>
          </w:tcPr>
          <w:p>
            <w:pPr>
              <w:spacing w:after="20" w:line="252" w:lineRule="auto"/>
            </w:pPr>
            <w:r>
              <w:rPr>
                <w:sz w:val="19"/>
              </w:rPr>
              <w:t>Quoting FluxMuse list prices from the official price table</w:t>
            </w:r>
          </w:p>
        </w:tc>
        <w:tc>
          <w:tcPr>
            <w:tcW w:type="dxa" w:w="4819"/>
            <w:vAlign w:val="center"/>
          </w:tcPr>
          <w:p>
            <w:pPr>
              <w:spacing w:after="20" w:line="252" w:lineRule="auto"/>
            </w:pPr>
            <w:r>
              <w:rPr>
                <w:sz w:val="19"/>
              </w:rPr>
              <w:t>Offering paid plans outside South Africa, or combining Founding Member with wholesale pricing</w:t>
            </w:r>
          </w:p>
        </w:tc>
      </w:tr>
    </w:tbl>
    <w:p>
      <w:pPr>
        <w:spacing w:after="0" w:line="120" w:lineRule="exact"/>
      </w:pPr>
    </w:p>
    <w:p>
      <w:pPr>
        <w:pStyle w:val="Heading1"/>
      </w:pPr>
      <w:r>
        <w:rPr/>
        <w:t>10. Trust and data protection</w:t>
      </w:r>
    </w:p>
    <w:p>
      <w:pPr>
        <w:pStyle w:val="ListBullet"/>
      </w:pPr>
      <w:r>
        <w:rPr>
          <w:b/>
        </w:rPr>
        <w:t>Fluxmuse (Pty) Ltd</w:t>
      </w:r>
      <w:r>
        <w:rPr/>
        <w:t xml:space="preserve"> (South Africa): a verified Meta Tech Provider (business and access verification, September 2026).</w:t>
      </w:r>
    </w:p>
    <w:p>
      <w:pPr>
        <w:pStyle w:val="ListBullet"/>
      </w:pPr>
      <w:r>
        <w:rPr>
          <w:b/>
        </w:rPr>
        <w:t>Meta permissions approved:</w:t>
      </w:r>
      <w:r>
        <w:rPr/>
        <w:t xml:space="preserve"> WhatsApp Business messaging and management, and Facebook Page messaging.</w:t>
      </w:r>
    </w:p>
    <w:p>
      <w:pPr>
        <w:pStyle w:val="ListBullet"/>
      </w:pPr>
      <w:r>
        <w:rPr>
          <w:b/>
        </w:rPr>
        <w:t>Waiting for Meta approval (not live):</w:t>
      </w:r>
      <w:r>
        <w:rPr/>
        <w:t xml:space="preserve"> posting to Facebook Pages and Instagram, and Instagram comments and DMs. They are switched on only once Meta approves them.</w:t>
      </w:r>
    </w:p>
    <w:p>
      <w:pPr>
        <w:pStyle w:val="ListBullet"/>
      </w:pPr>
      <w:r>
        <w:rPr>
          <w:b/>
        </w:rPr>
        <w:t>Payments:</w:t>
      </w:r>
      <w:r>
        <w:rPr/>
        <w:t xml:space="preserve"> Paystack is live in South Africa. Yoco and Ozow run FluxMuse's own subscription billing.</w:t>
      </w:r>
    </w:p>
    <w:p>
      <w:pPr>
        <w:pStyle w:val="ListBullet"/>
      </w:pPr>
      <w:r>
        <w:rPr>
          <w:b/>
        </w:rPr>
        <w:t>WhatsApp policy:</w:t>
      </w:r>
      <w:r>
        <w:rPr/>
        <w:t xml:space="preserve"> broadcasts use Meta-approved message templates and go only to contacts who opted in.</w:t>
      </w:r>
    </w:p>
    <w:p>
      <w:pPr>
        <w:pStyle w:val="Heading2"/>
      </w:pPr>
      <w:r>
        <w:rPr/>
        <w:t>Protection of personal information (POPIA)</w:t>
      </w:r>
    </w:p>
    <w:p>
      <w:r>
        <w:rPr/>
        <w:t>Fluxmuse (Pty) Ltd processes personal information in line with the Protection of Personal Information Act, 2013 (POPIA). For this proposal:</w:t>
      </w:r>
    </w:p>
    <w:p>
      <w:pPr>
        <w:pStyle w:val="ListBullet"/>
      </w:pPr>
      <w:r>
        <w:rPr/>
        <w:t xml:space="preserve">Each end client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 xml:space="preserve">Where </w:t>
      </w:r>
      <w:r>
        <w:rPr>
          <w:b/>
          <w:color w:val="20242B"/>
          <w:shd w:val="clear" w:color="auto" w:fill="FFF1A8"/>
        </w:rPr>
        <w:t>[[AGENCY NAME]]</w:t>
      </w:r>
      <w:r>
        <w:rPr/>
        <w:t xml:space="preserve"> manages client sub-accounts, the roles of FluxMuse, the partner and each end client are set out in a data processing agreement. </w:t>
      </w:r>
      <w:r>
        <w:rPr>
          <w:b/>
          <w:color w:val="20242B"/>
          <w:shd w:val="clear" w:color="auto" w:fill="FFF1A8"/>
        </w:rPr>
        <w:t>[[LEGAL REVIEW REQUIRED]]</w:t>
      </w:r>
    </w:p>
    <w:p>
      <w:pPr>
        <w:pStyle w:val="ListBullet"/>
      </w:pPr>
      <w:r>
        <w:rPr/>
        <w:t>WhatsApp broadcasts go only to people who have opted in, and every broadcast includes a way to opt out.</w:t>
      </w:r>
    </w:p>
    <w:p>
      <w:pPr>
        <w:pStyle w:val="ListBullet"/>
      </w:pPr>
      <w:r>
        <w:rPr/>
        <w:t>Platform safeguards: row-level security on database tables, encrypted access tokens,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11.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first</w:t>
            </w:r>
          </w:p>
        </w:tc>
        <w:tc>
          <w:tcPr>
            <w:tcW w:type="dxa" w:w="7030"/>
            <w:vAlign w:val="center"/>
          </w:tcPr>
          <w:p>
            <w:pPr>
              <w:spacing w:after="20" w:line="252" w:lineRule="auto"/>
            </w:pPr>
            <w:r>
              <w:rPr>
                <w:sz w:val="18"/>
              </w:rPr>
              <w:t>Every paid plan is paid in advance, from the first month. There is no trial period. The Free plan is a separate permanent plan.</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cancellation of annual plans]]</w:t>
            </w:r>
          </w:p>
          <w:p>
            <w:pPr>
              <w:spacing w:after="20" w:line="252" w:lineRule="auto"/>
            </w:pPr>
            <w:r>
              <w:rPr>
                <w:sz w:val="18"/>
              </w:rPr>
              <w:t xml:space="preserve">Founding Member discount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Lead guarantee</w:t>
            </w:r>
          </w:p>
        </w:tc>
        <w:tc>
          <w:tcPr>
            <w:tcW w:type="dxa" w:w="7030"/>
            <w:vAlign w:val="center"/>
          </w:tcPr>
          <w:p>
            <w:pPr>
              <w:spacing w:after="20" w:line="252" w:lineRule="auto"/>
            </w:pPr>
            <w:r>
              <w:rPr>
                <w:sz w:val="18"/>
              </w:rPr>
              <w:t xml:space="preserve">3 qualified leads in 30 days of go-live, on the conditions in this proposal; remedy is extended support at no extra charge, not a cash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Payment terms</w:t>
            </w:r>
          </w:p>
        </w:tc>
        <w:tc>
          <w:tcPr>
            <w:tcW w:type="dxa" w:w="7030"/>
            <w:shd w:val="clear" w:color="auto" w:fill="FAFAFB"/>
            <w:vAlign w:val="center"/>
          </w:tcPr>
          <w:p>
            <w:pPr>
              <w:spacing w:after="20" w:line="252" w:lineRule="auto"/>
            </w:pPr>
            <w:r>
              <w:rPr>
                <w:sz w:val="18"/>
              </w:rPr>
              <w:t xml:space="preserve">Billed in advance in South African rand by </w:t>
            </w:r>
            <w:r>
              <w:rPr>
                <w:b/>
                <w:color w:val="20242B"/>
                <w:sz w:val="18"/>
                <w:shd w:val="clear" w:color="auto" w:fill="FFF1A8"/>
              </w:rPr>
              <w:t>[[PAYMENT METHOD: Paystack / Yoco / Ozow]]</w:t>
            </w:r>
            <w:r>
              <w:rPr>
                <w:sz w:val="18"/>
              </w:rPr>
              <w:t xml:space="preserve">. Late payment: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Price changes</w:t>
            </w:r>
          </w:p>
        </w:tc>
        <w:tc>
          <w:tcPr>
            <w:tcW w:type="dxa" w:w="7030"/>
            <w:vAlign w:val="center"/>
          </w:tcPr>
          <w:p>
            <w:pPr>
              <w:spacing w:after="20" w:line="252" w:lineRule="auto"/>
            </w:pPr>
            <w:r>
              <w:rPr>
                <w:sz w:val="18"/>
              </w:rPr>
              <w:t xml:space="preserve">Notice of price changes: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costs</w:t>
            </w:r>
          </w:p>
        </w:tc>
        <w:tc>
          <w:tcPr>
            <w:tcW w:type="dxa" w:w="7030"/>
            <w:shd w:val="clear" w:color="auto" w:fill="FAFAFB"/>
            <w:vAlign w:val="center"/>
          </w:tcPr>
          <w:p>
            <w:pPr>
              <w:spacing w:after="20" w:line="252" w:lineRule="auto"/>
            </w:pPr>
            <w:r>
              <w:rPr>
                <w:sz w:val="18"/>
              </w:rPr>
              <w:t xml:space="preserve">Meta WhatsApp message fees, ad spend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Third-party platforms</w:t>
            </w:r>
          </w:p>
        </w:tc>
        <w:tc>
          <w:tcPr>
            <w:tcW w:type="dxa" w:w="7030"/>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shd w:val="clear" w:color="auto" w:fill="FAFAFB"/>
            <w:vAlign w:val="center"/>
          </w:tcPr>
          <w:p>
            <w:pPr>
              <w:spacing w:after="20" w:line="252" w:lineRule="auto"/>
            </w:pPr>
            <w:r>
              <w:rPr>
                <w:b/>
                <w:sz w:val="18"/>
              </w:rPr>
              <w:t>Data protection</w:t>
            </w:r>
          </w:p>
        </w:tc>
        <w:tc>
          <w:tcPr>
            <w:tcW w:type="dxa" w:w="7030"/>
            <w:shd w:val="clear" w:color="auto" w:fill="FAFAFB"/>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Intellectual property</w:t>
            </w:r>
          </w:p>
        </w:tc>
        <w:tc>
          <w:tcPr>
            <w:tcW w:type="dxa" w:w="7030"/>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shd w:val="clear" w:color="auto" w:fill="FAFAFB"/>
            <w:vAlign w:val="center"/>
          </w:tcPr>
          <w:p>
            <w:pPr>
              <w:spacing w:after="20" w:line="252" w:lineRule="auto"/>
            </w:pPr>
            <w:r>
              <w:rPr>
                <w:b/>
                <w:sz w:val="18"/>
              </w:rPr>
              <w:t>Confidentiality</w:t>
            </w:r>
          </w:p>
        </w:tc>
        <w:tc>
          <w:tcPr>
            <w:tcW w:type="dxa" w:w="7030"/>
            <w:shd w:val="clear" w:color="auto" w:fill="FAFAFB"/>
            <w:vAlign w:val="center"/>
          </w:tcPr>
          <w:p>
            <w:pPr>
              <w:spacing w:after="20" w:line="252" w:lineRule="auto"/>
            </w:pP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Support and service levels</w:t>
            </w:r>
          </w:p>
        </w:tc>
        <w:tc>
          <w:tcPr>
            <w:tcW w:type="dxa" w:w="7030"/>
            <w:vAlign w:val="center"/>
          </w:tcPr>
          <w:p>
            <w:pPr>
              <w:spacing w:after="20" w:line="252" w:lineRule="auto"/>
            </w:pPr>
            <w:r>
              <w:rPr>
                <w:sz w:val="18"/>
              </w:rPr>
              <w:t xml:space="preserve">Support channel by plan: </w:t>
            </w:r>
            <w:r>
              <w:rPr>
                <w:b/>
                <w:color w:val="20242B"/>
                <w:sz w:val="18"/>
                <w:shd w:val="clear" w:color="auto" w:fill="FFF1A8"/>
              </w:rPr>
              <w:t>[[CONFIRM]]</w:t>
            </w:r>
            <w:r>
              <w:rPr>
                <w:sz w:val="18"/>
              </w:rPr>
              <w:t xml:space="preserve">. Service levels: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Wholesale pricing</w:t>
            </w:r>
          </w:p>
        </w:tc>
        <w:tc>
          <w:tcPr>
            <w:tcW w:type="dxa" w:w="7030"/>
            <w:shd w:val="clear" w:color="auto" w:fill="FAFAFB"/>
            <w:vAlign w:val="center"/>
          </w:tcPr>
          <w:p>
            <w:pPr>
              <w:spacing w:after="20" w:line="252" w:lineRule="auto"/>
            </w:pPr>
            <w:r>
              <w:rPr>
                <w:sz w:val="18"/>
              </w:rPr>
              <w:t xml:space="preserve">30% off Agency list for as long as the partner agreement is active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White-label and multi-client</w:t>
            </w:r>
          </w:p>
        </w:tc>
        <w:tc>
          <w:tcPr>
            <w:tcW w:type="dxa" w:w="7030"/>
            <w:vAlign w:val="center"/>
          </w:tcPr>
          <w:p>
            <w:pPr>
              <w:spacing w:after="20" w:line="252" w:lineRule="auto"/>
            </w:pPr>
            <w:r>
              <w:rPr>
                <w:sz w:val="18"/>
              </w:rPr>
              <w:t xml:space="preserve">Client data ownership and portability on termination: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Referral commission</w:t>
            </w:r>
          </w:p>
        </w:tc>
        <w:tc>
          <w:tcPr>
            <w:tcW w:type="dxa" w:w="7030"/>
            <w:shd w:val="clear" w:color="auto" w:fill="FAFAFB"/>
            <w:vAlign w:val="center"/>
          </w:tcPr>
          <w:p>
            <w:pPr>
              <w:spacing w:after="20" w:line="252" w:lineRule="auto"/>
            </w:pPr>
            <w:r>
              <w:rPr>
                <w:b/>
                <w:color w:val="20242B"/>
                <w:sz w:val="18"/>
                <w:shd w:val="clear" w:color="auto" w:fill="FFF1A8"/>
              </w:rPr>
              <w:t>[[FOUNDER DECISION]]</w:t>
            </w:r>
            <w:r>
              <w:rPr>
                <w:sz w:val="18"/>
              </w:rPr>
              <w:t xml:space="preserve"> then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Limitation of liability</w:t>
            </w:r>
          </w:p>
        </w:tc>
        <w:tc>
          <w:tcPr>
            <w:tcW w:type="dxa" w:w="7030"/>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Governing law and disputes</w:t>
            </w:r>
          </w:p>
        </w:tc>
        <w:tc>
          <w:tcPr>
            <w:tcW w:type="dxa" w:w="7030"/>
            <w:shd w:val="clear" w:color="auto" w:fill="FAFAFB"/>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12. Acceptance</w:t>
      </w:r>
    </w:p>
    <w:p>
      <w:pPr>
        <w:keepNext/>
      </w:pPr>
      <w:r>
        <w:rPr/>
        <w:t xml:space="preserve">To go ahead, tick your choices, sign below and send a copy to thabo@fluxmuse.com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Partner wholesale, monthly: R6,999/mo</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Partner wholesale, annual: R69,990/yr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30-day onboarding plan starting </w:t>
      </w:r>
      <w:r>
        <w:rPr>
          <w:b/>
          <w:color w:val="20242B"/>
          <w:shd w:val="clear" w:color="auto" w:fill="FFF1A8"/>
        </w:rPr>
        <w:t>[[DATE]]</w:t>
      </w:r>
      <w:r>
        <w:rPr/>
        <w:t xml:space="preserve"> with first client </w:t>
      </w:r>
      <w:r>
        <w:rPr>
          <w:b/>
          <w:color w:val="20242B"/>
          <w:shd w:val="clear" w:color="auto" w:fill="FFF1A8"/>
        </w:rPr>
        <w:t>[[FIRST CLIENT]]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Co-marketing activities: </w:t>
      </w:r>
      <w:r>
        <w:rPr>
          <w:b/>
          <w:color w:val="20242B"/>
          <w:shd w:val="clear" w:color="auto" w:fill="FFF1A8"/>
        </w:rPr>
        <w:t>[[LIST]]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Referral programme (once commission terms are published)</w:t>
      </w:r>
    </w:p>
    <w:p>
      <w:pPr>
        <w:keepNext/>
        <w:spacing w:before="120"/>
      </w:pPr>
      <w:r>
        <w:rPr>
          <w:sz w:val="19"/>
        </w:rPr>
        <w:t xml:space="preserve">By signing, </w:t>
      </w:r>
      <w:r>
        <w:rPr>
          <w:b/>
          <w:color w:val="20242B"/>
          <w:sz w:val="19"/>
          <w:shd w:val="clear" w:color="auto" w:fill="FFF1A8"/>
        </w:rPr>
        <w:t>[[AGENCY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11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[[AGENCY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[[AGENCY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[[AGENCY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Agency partner</dc:title>
  <dc:subject>Flux_Partner programme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