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 · SME GROWTH</w:t>
      </w:r>
    </w:p>
    <w:p>
      <w:pPr>
        <w:pStyle w:val="Title"/>
        <w:spacing w:after="80"/>
      </w:pPr>
      <w:r>
        <w:rPr/>
        <w:t>Sell, get paid and grow on WhatsApp and social</w:t>
      </w:r>
    </w:p>
    <w:p>
      <w:pPr>
        <w:spacing w:after="280"/>
      </w:pPr>
      <w:r>
        <w:rPr>
          <w:color w:val="37474F"/>
          <w:sz w:val="26"/>
        </w:rPr>
        <w:t xml:space="preserve">A 60-day pilot and growth plan for </w:t>
      </w:r>
      <w:r>
        <w:rPr>
          <w:b/>
          <w:color w:val="20242B"/>
          <w:sz w:val="26"/>
          <w:shd w:val="clear" w:color="auto" w:fill="FFF1A8"/>
        </w:rPr>
        <w:t>[[CLIENT NAME]]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[[CLIENT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[[NAME]]</w:t>
            </w:r>
            <w:r>
              <w:rPr>
                <w:sz w:val="20"/>
              </w:rPr>
              <w:t xml:space="preserve">, </w:t>
            </w:r>
            <w:r>
              <w:rPr>
                <w:b/>
                <w:color w:val="20242B"/>
                <w:sz w:val="20"/>
                <w:shd w:val="clear" w:color="auto" w:fill="FFF1A8"/>
              </w:rPr>
              <w:t>[[TITLE]]</w:t>
            </w:r>
            <w:r>
              <w:rPr>
                <w:sz w:val="20"/>
              </w:rPr>
              <w:t>, Fluxmuse Pty Ltd</w:t>
            </w:r>
          </w:p>
          <w:p>
            <w:pPr>
              <w:spacing w:after="20" w:line="252" w:lineRule="auto"/>
            </w:pPr>
            <w:r>
              <w:rPr>
                <w:b/>
                <w:color w:val="20242B"/>
                <w:sz w:val="20"/>
                <w:shd w:val="clear" w:color="auto" w:fill="FFF1A8"/>
              </w:rPr>
              <w:t>[[EMAIL]]</w:t>
            </w:r>
            <w:r>
              <w:rPr>
                <w:sz w:val="20"/>
              </w:rPr>
              <w:t xml:space="preserve">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[[CLIENT NAME]]</w:t>
      </w:r>
      <w:r>
        <w:rPr>
          <w:color w:val="5B6570"/>
          <w:sz w:val="17"/>
        </w:rPr>
        <w:t xml:space="preserve"> only. Prices in South African rand (ZAR) and exclusive of VAT unless stated </w:t>
      </w:r>
      <w:r>
        <w:rPr>
          <w:b/>
          <w:color w:val="20242B"/>
          <w:sz w:val="17"/>
          <w:shd w:val="clear" w:color="auto" w:fill="FFF1A8"/>
        </w:rPr>
        <w:t>[[CONFIRM VAT TREATMENT]]</w:t>
      </w:r>
      <w:r>
        <w:rPr>
          <w:color w:val="5B6570"/>
          <w:sz w:val="17"/>
        </w:rPr>
        <w:t>.</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SME growth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the facts file (00_FACTS_AND_ASSUMPTIONS.md). Founding Member prices (Starter R349, Growth R1,399, Scale R3,499 for the first 2 monthly bills) apply to South African sign-ups from 1 December 2026 to 31 January 2027; in Nigeria, Kenya and Ghana the same 30% applies in the first 60 days after each country's launch. Never on the Agency tier. Say “Founding Member badge and priority support” with no duration.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Gauteng pilot brands get pilot prices instead: Starter R249, Growth R999, Scale R2,499, Agency R3,999 for the first 2 monthly bills from 1 December 2026. Delete the offer that doesn't apply.</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KPI numbers are always “Target (goal)”, never results. No customer counts, ratings, testimonials or pilot results until consented pilot data exists (from December 2026).</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Instagram publishing, comments and DMs are pending Meta approval (in App Review). Never promise them as live.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to businesses in the 23 rail-covered countries. Everyone else, including Botswana and Namibia (coming soon), joins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Integrations: keep only the ones the client uses (Shopify, WooCommerce, Takealot, HubSpot, accounting, Slack, Zapier). Keep Appendix A only if the client trades outside South Africa.</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Optional service fees are </w:t>
            </w:r>
            <w:r>
              <w:rPr>
                <w:b/>
                <w:color w:val="20242B"/>
                <w:sz w:val="19"/>
                <w:shd w:val="clear" w:color="auto" w:fill="FFF1A8"/>
              </w:rPr>
              <w:t>[[TBC]]</w:t>
            </w:r>
            <w:r>
              <w:rPr>
                <w:sz w:val="19"/>
              </w:rPr>
              <w:t xml:space="preserve"> until the founder publishes a services price list.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"1-1" \h \z \u </w:instrText>
      </w:r>
      <w:r>
        <w:fldChar w:fldCharType="separate"/>
      </w:r>
      <w:r>
        <w:rPr>
          <w:sz w:val="21"/>
        </w:rPr>
        <w:t>1. Executive summary</w:t>
      </w:r>
    </w:p>
    <w:p>
      <w:pPr>
        <w:tabs>
          <w:tab w:pos="9638" w:val="right"/>
        </w:tabs>
        <w:spacing w:after="40"/>
      </w:pPr>
      <w:r>
        <w:rPr>
          <w:sz w:val="21"/>
        </w:rPr>
        <w:t>2. About CLIENT NAME and our understanding</w:t>
      </w:r>
    </w:p>
    <w:p>
      <w:pPr>
        <w:tabs>
          <w:tab w:pos="9638" w:val="right"/>
        </w:tabs>
        <w:spacing w:after="40"/>
      </w:pPr>
      <w:r>
        <w:rPr>
          <w:sz w:val="21"/>
        </w:rPr>
        <w:t>3. Objectives and success metrics</w:t>
      </w:r>
    </w:p>
    <w:p>
      <w:pPr>
        <w:tabs>
          <w:tab w:pos="9638" w:val="right"/>
        </w:tabs>
        <w:spacing w:after="40"/>
      </w:pPr>
      <w:r>
        <w:rPr>
          <w:sz w:val="21"/>
        </w:rPr>
        <w:t>4. Recommended solution</w:t>
      </w:r>
    </w:p>
    <w:p>
      <w:pPr>
        <w:tabs>
          <w:tab w:pos="9638" w:val="right"/>
        </w:tabs>
        <w:spacing w:after="40"/>
      </w:pPr>
      <w:r>
        <w:rPr>
          <w:sz w:val="21"/>
        </w:rPr>
        <w:t>5. Scope of work and deliverables</w:t>
      </w:r>
    </w:p>
    <w:p>
      <w:pPr>
        <w:tabs>
          <w:tab w:pos="9638" w:val="right"/>
        </w:tabs>
        <w:spacing w:after="40"/>
      </w:pPr>
      <w:r>
        <w:rPr>
          <w:sz w:val="21"/>
        </w:rPr>
        <w:t>6. 60-day pilot plan</w:t>
      </w:r>
    </w:p>
    <w:p>
      <w:pPr>
        <w:tabs>
          <w:tab w:pos="9638" w:val="right"/>
        </w:tabs>
        <w:spacing w:after="40"/>
      </w:pPr>
      <w:r>
        <w:rPr>
          <w:sz w:val="21"/>
        </w:rPr>
        <w:t>7. Timeline</w:t>
      </w:r>
    </w:p>
    <w:p>
      <w:pPr>
        <w:tabs>
          <w:tab w:pos="9638" w:val="right"/>
        </w:tabs>
        <w:spacing w:after="40"/>
      </w:pPr>
      <w:r>
        <w:rPr>
          <w:sz w:val="21"/>
        </w:rPr>
        <w:t>8. Investment options</w:t>
      </w:r>
    </w:p>
    <w:p>
      <w:pPr>
        <w:tabs>
          <w:tab w:pos="9638" w:val="right"/>
        </w:tabs>
        <w:spacing w:after="40"/>
      </w:pPr>
      <w:r>
        <w:rPr>
          <w:sz w:val="21"/>
        </w:rPr>
        <w:t>9. Payments and markets</w:t>
      </w:r>
    </w:p>
    <w:p>
      <w:pPr>
        <w:tabs>
          <w:tab w:pos="9638" w:val="right"/>
        </w:tabs>
        <w:spacing w:after="40"/>
      </w:pPr>
      <w:r>
        <w:rPr>
          <w:sz w:val="21"/>
        </w:rPr>
        <w:t>10. Reporting and governance</w:t>
      </w:r>
    </w:p>
    <w:p>
      <w:pPr>
        <w:tabs>
          <w:tab w:pos="9638" w:val="right"/>
        </w:tabs>
        <w:spacing w:after="40"/>
      </w:pPr>
      <w:r>
        <w:rPr>
          <w:sz w:val="21"/>
        </w:rPr>
        <w:t>11. Proof</w:t>
      </w:r>
    </w:p>
    <w:p>
      <w:pPr>
        <w:tabs>
          <w:tab w:pos="9638" w:val="right"/>
        </w:tabs>
        <w:spacing w:after="40"/>
      </w:pPr>
      <w:r>
        <w:rPr>
          <w:sz w:val="21"/>
        </w:rPr>
        <w:t>12. Trust and compliance</w:t>
      </w:r>
    </w:p>
    <w:p>
      <w:pPr>
        <w:tabs>
          <w:tab w:pos="9638" w:val="right"/>
        </w:tabs>
        <w:spacing w:after="40"/>
      </w:pPr>
      <w:r>
        <w:rPr>
          <w:sz w:val="21"/>
        </w:rPr>
        <w:t>13. Assumptions and client dependencies</w:t>
      </w:r>
    </w:p>
    <w:p>
      <w:pPr>
        <w:tabs>
          <w:tab w:pos="9638" w:val="right"/>
        </w:tabs>
        <w:spacing w:after="40"/>
      </w:pPr>
      <w:r>
        <w:rPr>
          <w:sz w:val="21"/>
        </w:rPr>
        <w:t>14. Terms</w:t>
      </w:r>
    </w:p>
    <w:p>
      <w:pPr>
        <w:tabs>
          <w:tab w:pos="9638" w:val="right"/>
        </w:tabs>
        <w:spacing w:after="40"/>
      </w:pPr>
      <w:r>
        <w:rPr>
          <w:sz w:val="21"/>
        </w:rPr>
        <w:t>15. Acceptance</w:t>
      </w:r>
    </w:p>
    <w:p>
      <w:pPr>
        <w:tabs>
          <w:tab w:pos="9638" w:val="right"/>
        </w:tabs>
        <w:spacing w:after="40"/>
      </w:pPr>
      <w:r>
        <w:rPr>
          <w:sz w:val="21"/>
        </w:rPr>
        <w:t>Appendix A. Regional pricing (delete if CLIENT NAME only operates in South Africa)</w:t>
      </w:r>
      <w:r>
        <w:fldChar w:fldCharType="end"/>
      </w:r>
    </w:p>
    <w:p>
      <w:pPr>
        <w:spacing w:after="200"/>
      </w:pPr>
      <w:r>
        <w:rPr>
          <w:i/>
          <w:color w:val="5B6570"/>
          <w:sz w:val="17"/>
        </w:rPr>
        <w:t>Word builds page numbers when you open the file (choose Yes to update fields), or right-click the list and choose Update Field.</w:t>
      </w:r>
    </w:p>
    <w:p>
      <w:pPr>
        <w:spacing w:after="0"/>
      </w:pPr>
      <w:r>
        <w:br w:type="page"/>
      </w:r>
    </w:p>
    <w:p>
      <w:pPr>
        <w:pStyle w:val="Heading1"/>
      </w:pPr>
      <w:r>
        <w:rPr/>
        <w:t>1. Executive summary</w:t>
      </w:r>
    </w:p>
    <w:p>
      <w:r>
        <w:rPr>
          <w:b/>
          <w:color w:val="20242B"/>
          <w:shd w:val="clear" w:color="auto" w:fill="FFF1A8"/>
        </w:rPr>
        <w:t>[[CLIENT NAME]]</w:t>
      </w:r>
      <w:r>
        <w:rPr/>
        <w:t xml:space="preserve"> sells to customers who already live on WhatsApp and social media, but </w:t>
      </w:r>
      <w:r>
        <w:rPr>
          <w:b/>
          <w:color w:val="20242B"/>
          <w:shd w:val="clear" w:color="auto" w:fill="FFF1A8"/>
        </w:rPr>
        <w:t>[[SUMMARY OF THE PROBLEM IN ONE SENTENCE, e.g. enquiries are handled manually by staff across several tools, and nobody can see which campaigns bring in sales]]</w:t>
      </w:r>
      <w:r>
        <w:rPr/>
        <w:t>.</w:t>
      </w:r>
    </w:p>
    <w:p>
      <w:r>
        <w:rPr/>
        <w:t xml:space="preserve">FluxMuse proposes a </w:t>
      </w:r>
      <w:r>
        <w:rPr>
          <w:b/>
        </w:rPr>
        <w:t>60-day pilot on the Growth plan</w:t>
      </w:r>
      <w:r>
        <w:rPr/>
        <w:t xml:space="preserve"> that puts an AI marketing team, WhatsApp commerce and local payments on one platform for </w:t>
      </w:r>
      <w:r>
        <w:rPr>
          <w:b/>
          <w:color w:val="20242B"/>
          <w:shd w:val="clear" w:color="auto" w:fill="FFF1A8"/>
        </w:rPr>
        <w:t>[[CLIENT NAME]]</w:t>
      </w:r>
      <w:r>
        <w:rPr/>
        <w:t>. We agree the baseline and targets at kickoff, report weekly, and at day 60 you decide whether to continue on Growth or move to Scale.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Executive summary"/>
      </w:tblPr>
      <w:tblGrid>
        <w:gridCol w:w="2381"/>
        <w:gridCol w:w="7256"/>
      </w:tblGrid>
      <w:tr>
        <w:trPr>
          <w:cantSplit/>
          <w:tblHeader/>
        </w:trPr>
        <w:tc>
          <w:tcPr>
            <w:tcW w:type="dxa" w:w="2381"/>
            <w:shd w:val="clear" w:color="auto" w:fill="FF6A00"/>
            <w:vAlign w:val="center"/>
          </w:tcPr>
          <w:p>
            <w:pPr>
              <w:keepNext/>
              <w:spacing w:after="20" w:line="252" w:lineRule="auto"/>
            </w:pPr>
            <w:r>
              <w:rPr>
                <w:rFonts w:ascii="Poppins" w:hAnsi="Poppins" w:cs="Poppins" w:eastAsia="Poppins"/>
                <w:b/>
                <w:color w:val="20242B"/>
                <w:sz w:val="19"/>
              </w:rPr>
              <w:t>Item</w:t>
            </w:r>
          </w:p>
        </w:tc>
        <w:tc>
          <w:tcPr>
            <w:tcW w:type="dxa" w:w="7257"/>
            <w:shd w:val="clear" w:color="auto" w:fill="FF6A00"/>
            <w:vAlign w:val="center"/>
          </w:tcPr>
          <w:p>
            <w:pPr>
              <w:keepNext/>
              <w:spacing w:after="20" w:line="252" w:lineRule="auto"/>
            </w:pPr>
            <w:r>
              <w:rPr>
                <w:rFonts w:ascii="Poppins" w:hAnsi="Poppins" w:cs="Poppins" w:eastAsia="Poppins"/>
                <w:b/>
                <w:color w:val="20242B"/>
                <w:sz w:val="19"/>
              </w:rPr>
              <w:t>Proposed</w:t>
            </w:r>
          </w:p>
        </w:tc>
      </w:tr>
      <w:tr>
        <w:trPr>
          <w:cantSplit/>
        </w:trPr>
        <w:tc>
          <w:tcPr>
            <w:tcW w:type="dxa" w:w="2381"/>
            <w:vAlign w:val="center"/>
          </w:tcPr>
          <w:p>
            <w:pPr>
              <w:spacing w:after="20" w:line="252" w:lineRule="auto"/>
            </w:pPr>
            <w:r>
              <w:rPr>
                <w:b/>
                <w:sz w:val="19"/>
              </w:rPr>
              <w:t>Recommended plan</w:t>
            </w:r>
          </w:p>
        </w:tc>
        <w:tc>
          <w:tcPr>
            <w:tcW w:type="dxa" w:w="7257"/>
            <w:vAlign w:val="center"/>
          </w:tcPr>
          <w:p>
            <w:pPr>
              <w:spacing w:after="20" w:line="252" w:lineRule="auto"/>
            </w:pPr>
            <w:r>
              <w:rPr>
                <w:sz w:val="19"/>
              </w:rPr>
              <w:t>Growth, R1,999/mo (</w:t>
            </w:r>
            <w:r>
              <w:rPr>
                <w:b/>
                <w:color w:val="20242B"/>
                <w:sz w:val="19"/>
                <w:shd w:val="clear" w:color="auto" w:fill="FFF1A8"/>
              </w:rPr>
              <w:t>[[or Scale, R4,999/mo, for up to 10 brands or API access]]</w:t>
            </w:r>
            <w:r>
              <w:rPr>
                <w:sz w:val="19"/>
              </w:rPr>
              <w:t>)</w:t>
            </w:r>
          </w:p>
        </w:tc>
      </w:tr>
      <w:tr>
        <w:trPr>
          <w:cantSplit/>
        </w:trPr>
        <w:tc>
          <w:tcPr>
            <w:tcW w:type="dxa" w:w="2381"/>
            <w:shd w:val="clear" w:color="auto" w:fill="FAFAFB"/>
            <w:vAlign w:val="center"/>
          </w:tcPr>
          <w:p>
            <w:pPr>
              <w:spacing w:after="20" w:line="252" w:lineRule="auto"/>
            </w:pPr>
            <w:r>
              <w:rPr>
                <w:b/>
                <w:sz w:val="19"/>
              </w:rPr>
              <w:t>Pilot</w:t>
            </w:r>
          </w:p>
        </w:tc>
        <w:tc>
          <w:tcPr>
            <w:tcW w:type="dxa" w:w="7257"/>
            <w:shd w:val="clear" w:color="auto" w:fill="FAFAFB"/>
            <w:vAlign w:val="center"/>
          </w:tcPr>
          <w:p>
            <w:pPr>
              <w:spacing w:after="20" w:line="252" w:lineRule="auto"/>
            </w:pPr>
            <w:r>
              <w:rPr>
                <w:sz w:val="19"/>
              </w:rPr>
              <w:t xml:space="preserve">60 days from </w:t>
            </w:r>
            <w:r>
              <w:rPr>
                <w:b/>
                <w:color w:val="20242B"/>
                <w:sz w:val="19"/>
                <w:shd w:val="clear" w:color="auto" w:fill="FFF1A8"/>
              </w:rPr>
              <w:t>[[START DATE]]</w:t>
            </w:r>
            <w:r>
              <w:rPr>
                <w:sz w:val="19"/>
              </w:rPr>
              <w:t>; optional days 61–90 to scale what works</w:t>
            </w:r>
          </w:p>
        </w:tc>
      </w:tr>
      <w:tr>
        <w:trPr>
          <w:cantSplit/>
        </w:trPr>
        <w:tc>
          <w:tcPr>
            <w:tcW w:type="dxa" w:w="2381"/>
            <w:vAlign w:val="center"/>
          </w:tcPr>
          <w:p>
            <w:pPr>
              <w:spacing w:after="20" w:line="252" w:lineRule="auto"/>
            </w:pPr>
            <w:r>
              <w:rPr>
                <w:b/>
                <w:sz w:val="19"/>
              </w:rPr>
              <w:t>Channels</w:t>
            </w:r>
          </w:p>
        </w:tc>
        <w:tc>
          <w:tcPr>
            <w:tcW w:type="dxa" w:w="7257"/>
            <w:vAlign w:val="center"/>
          </w:tcPr>
          <w:p>
            <w:pPr>
              <w:spacing w:after="20" w:line="252" w:lineRule="auto"/>
            </w:pPr>
            <w:r>
              <w:rPr>
                <w:sz w:val="19"/>
              </w:rPr>
              <w:t xml:space="preserve">WhatsApp, Facebook Page, Messenger, </w:t>
            </w:r>
            <w:r>
              <w:rPr>
                <w:b/>
                <w:color w:val="20242B"/>
                <w:sz w:val="19"/>
                <w:shd w:val="clear" w:color="auto" w:fill="FFF1A8"/>
              </w:rPr>
              <w:t>[[email / SMS / USSD]]</w:t>
            </w:r>
            <w:r>
              <w:rPr>
                <w:sz w:val="19"/>
              </w:rPr>
              <w:t>, link-in-bio and landing pages. Instagram once Meta approves it</w:t>
            </w:r>
          </w:p>
        </w:tc>
      </w:tr>
      <w:tr>
        <w:trPr>
          <w:cantSplit/>
        </w:trPr>
        <w:tc>
          <w:tcPr>
            <w:tcW w:type="dxa" w:w="2381"/>
            <w:shd w:val="clear" w:color="auto" w:fill="FAFAFB"/>
            <w:vAlign w:val="center"/>
          </w:tcPr>
          <w:p>
            <w:pPr>
              <w:spacing w:after="20" w:line="252" w:lineRule="auto"/>
            </w:pPr>
            <w:r>
              <w:rPr>
                <w:b/>
                <w:sz w:val="19"/>
              </w:rPr>
              <w:t>Commerce</w:t>
            </w:r>
          </w:p>
        </w:tc>
        <w:tc>
          <w:tcPr>
            <w:tcW w:type="dxa" w:w="7257"/>
            <w:shd w:val="clear" w:color="auto" w:fill="FAFAFB"/>
            <w:vAlign w:val="center"/>
          </w:tcPr>
          <w:p>
            <w:pPr>
              <w:spacing w:after="20" w:line="252" w:lineRule="auto"/>
            </w:pPr>
            <w:r>
              <w:rPr>
                <w:sz w:val="19"/>
              </w:rPr>
              <w:t>WhatsApp catalog, cart checkout in chat, order updates, abandoned-cart recovery</w:t>
            </w:r>
          </w:p>
        </w:tc>
      </w:tr>
      <w:tr>
        <w:trPr>
          <w:cantSplit/>
        </w:trPr>
        <w:tc>
          <w:tcPr>
            <w:tcW w:type="dxa" w:w="2381"/>
            <w:vAlign w:val="center"/>
          </w:tcPr>
          <w:p>
            <w:pPr>
              <w:spacing w:after="20" w:line="252" w:lineRule="auto"/>
            </w:pPr>
            <w:r>
              <w:rPr>
                <w:b/>
                <w:sz w:val="19"/>
              </w:rPr>
              <w:t>Payments</w:t>
            </w:r>
          </w:p>
        </w:tc>
        <w:tc>
          <w:tcPr>
            <w:tcW w:type="dxa" w:w="7257"/>
            <w:vAlign w:val="center"/>
          </w:tcPr>
          <w:p>
            <w:pPr>
              <w:spacing w:after="20" w:line="252" w:lineRule="auto"/>
            </w:pPr>
            <w:r>
              <w:rPr>
                <w:b/>
                <w:color w:val="20242B"/>
                <w:sz w:val="19"/>
                <w:shd w:val="clear" w:color="auto" w:fill="FFF1A8"/>
              </w:rPr>
              <w:t>[[Yoco card / Ozow instant EFT / Paystack]]</w:t>
            </w:r>
          </w:p>
        </w:tc>
      </w:tr>
      <w:tr>
        <w:trPr>
          <w:cantSplit/>
        </w:trPr>
        <w:tc>
          <w:tcPr>
            <w:tcW w:type="dxa" w:w="2381"/>
            <w:shd w:val="clear" w:color="auto" w:fill="FAFAFB"/>
            <w:vAlign w:val="center"/>
          </w:tcPr>
          <w:p>
            <w:pPr>
              <w:spacing w:after="20" w:line="252" w:lineRule="auto"/>
            </w:pPr>
            <w:r>
              <w:rPr>
                <w:b/>
                <w:sz w:val="19"/>
              </w:rPr>
              <w:t>Integrations</w:t>
            </w:r>
          </w:p>
        </w:tc>
        <w:tc>
          <w:tcPr>
            <w:tcW w:type="dxa" w:w="7257"/>
            <w:shd w:val="clear" w:color="auto" w:fill="FAFAFB"/>
            <w:vAlign w:val="center"/>
          </w:tcPr>
          <w:p>
            <w:pPr>
              <w:spacing w:after="20" w:line="252" w:lineRule="auto"/>
            </w:pPr>
            <w:r>
              <w:rPr>
                <w:b/>
                <w:color w:val="20242B"/>
                <w:sz w:val="19"/>
                <w:shd w:val="clear" w:color="auto" w:fill="FFF1A8"/>
              </w:rPr>
              <w:t>[[Shopify / WooCommerce / Takealot / HubSpot / accounting sync]]</w:t>
            </w:r>
          </w:p>
        </w:tc>
      </w:tr>
      <w:tr>
        <w:trPr>
          <w:cantSplit/>
        </w:trPr>
        <w:tc>
          <w:tcPr>
            <w:tcW w:type="dxa" w:w="2381"/>
            <w:vAlign w:val="center"/>
          </w:tcPr>
          <w:p>
            <w:pPr>
              <w:spacing w:after="20" w:line="252" w:lineRule="auto"/>
            </w:pPr>
            <w:r>
              <w:rPr>
                <w:b/>
                <w:sz w:val="19"/>
              </w:rPr>
              <w:t>Investment</w:t>
            </w:r>
          </w:p>
        </w:tc>
        <w:tc>
          <w:tcPr>
            <w:tcW w:type="dxa" w:w="7257"/>
            <w:vAlign w:val="center"/>
          </w:tcPr>
          <w:p>
            <w:pPr>
              <w:spacing w:after="20" w:line="252" w:lineRule="auto"/>
            </w:pPr>
            <w:r>
              <w:rPr>
                <w:sz w:val="19"/>
              </w:rPr>
              <w:t xml:space="preserve">From R1,999/mo, plus optional services </w:t>
            </w:r>
            <w:r>
              <w:rPr>
                <w:b/>
                <w:color w:val="20242B"/>
                <w:sz w:val="19"/>
                <w:shd w:val="clear" w:color="auto" w:fill="FFF1A8"/>
              </w:rPr>
              <w:t>[[TBC]]</w:t>
            </w:r>
            <w:r>
              <w:rPr>
                <w:sz w:val="19"/>
              </w:rPr>
              <w:t xml:space="preserve"> and third-party pass-through costs (section 8)</w:t>
            </w:r>
          </w:p>
        </w:tc>
      </w:tr>
      <w:tr>
        <w:trPr>
          <w:cantSplit/>
        </w:trPr>
        <w:tc>
          <w:tcPr>
            <w:tcW w:type="dxa" w:w="2381"/>
            <w:shd w:val="clear" w:color="auto" w:fill="FAFAFB"/>
            <w:vAlign w:val="center"/>
          </w:tcPr>
          <w:p>
            <w:pPr>
              <w:spacing w:after="20" w:line="252" w:lineRule="auto"/>
            </w:pPr>
            <w:r>
              <w:rPr>
                <w:b/>
                <w:sz w:val="19"/>
              </w:rPr>
              <w:t>Decision needed by</w:t>
            </w:r>
          </w:p>
        </w:tc>
        <w:tc>
          <w:tcPr>
            <w:tcW w:type="dxa" w:w="7257"/>
            <w:shd w:val="clear" w:color="auto" w:fill="FAFAFB"/>
            <w:vAlign w:val="center"/>
          </w:tcPr>
          <w:p>
            <w:pPr>
              <w:spacing w:after="20" w:line="252" w:lineRule="auto"/>
            </w:pPr>
            <w:r>
              <w:rPr>
                <w:b/>
                <w:color w:val="20242B"/>
                <w:sz w:val="19"/>
                <w:shd w:val="clear" w:color="auto" w:fill="FFF1A8"/>
              </w:rPr>
              <w:t>[[DATE + 30 days]]</w:t>
            </w:r>
          </w:p>
        </w:tc>
      </w:tr>
    </w:tbl>
    <w:p>
      <w:pPr>
        <w:spacing w:after="0" w:line="120" w:lineRule="exact"/>
      </w:pPr>
    </w:p>
    <w:p>
      <w:pPr>
        <w:pStyle w:val="Heading1"/>
      </w:pPr>
      <w:r>
        <w:rPr/>
        <w:t xml:space="preserve">2. About </w:t>
      </w:r>
      <w:r>
        <w:rPr>
          <w:b/>
          <w:color w:val="20242B"/>
          <w:shd w:val="clear" w:color="auto" w:fill="FFF1A8"/>
        </w:rPr>
        <w:t>[[CLIENT NAME]]</w:t>
      </w:r>
      <w:r>
        <w:rPr/>
        <w:t xml:space="preserve"> and our understanding</w:t>
      </w:r>
    </w:p>
    <w:p>
      <w:pPr>
        <w:pStyle w:val="Heading2"/>
      </w:pPr>
      <w:r>
        <w:rPr/>
        <w:t>Business snapshot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lient business snapshot"/>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Area</w:t>
            </w:r>
          </w:p>
        </w:tc>
        <w:tc>
          <w:tcPr>
            <w:tcW w:type="dxa" w:w="7030"/>
            <w:shd w:val="clear" w:color="auto" w:fill="FF6A00"/>
            <w:vAlign w:val="center"/>
          </w:tcPr>
          <w:p>
            <w:pPr>
              <w:keepNext/>
              <w:spacing w:after="20" w:line="252" w:lineRule="auto"/>
            </w:pPr>
            <w:r>
              <w:rPr>
                <w:rFonts w:ascii="Poppins" w:hAnsi="Poppins" w:cs="Poppins" w:eastAsia="Poppins"/>
                <w:b/>
                <w:color w:val="20242B"/>
                <w:sz w:val="19"/>
                <w:shd w:val="clear" w:color="auto" w:fill="FFF1A8"/>
              </w:rPr>
              <w:t>[[CLIENT NAME]]</w:t>
            </w:r>
          </w:p>
        </w:tc>
      </w:tr>
      <w:tr>
        <w:trPr>
          <w:cantSplit/>
        </w:trPr>
        <w:tc>
          <w:tcPr>
            <w:tcW w:type="dxa" w:w="2608"/>
            <w:vAlign w:val="center"/>
          </w:tcPr>
          <w:p>
            <w:pPr>
              <w:spacing w:after="20" w:line="252" w:lineRule="auto"/>
            </w:pPr>
            <w:r>
              <w:rPr>
                <w:b/>
                <w:sz w:val="19"/>
              </w:rPr>
              <w:t>Industry and offer</w:t>
            </w:r>
          </w:p>
        </w:tc>
        <w:tc>
          <w:tcPr>
            <w:tcW w:type="dxa" w:w="7030"/>
            <w:vAlign w:val="center"/>
          </w:tcPr>
          <w:p>
            <w:pPr>
              <w:spacing w:after="20" w:line="252" w:lineRule="auto"/>
            </w:pPr>
            <w:r>
              <w:rPr>
                <w:b/>
                <w:color w:val="20242B"/>
                <w:sz w:val="19"/>
                <w:shd w:val="clear" w:color="auto" w:fill="FFF1A8"/>
              </w:rPr>
              <w:t>[[e.g. restaurant group, online beauty brand, clinic, auto dealer]]</w:t>
            </w:r>
          </w:p>
        </w:tc>
      </w:tr>
      <w:tr>
        <w:trPr>
          <w:cantSplit/>
        </w:trPr>
        <w:tc>
          <w:tcPr>
            <w:tcW w:type="dxa" w:w="2608"/>
            <w:shd w:val="clear" w:color="auto" w:fill="FAFAFB"/>
            <w:vAlign w:val="center"/>
          </w:tcPr>
          <w:p>
            <w:pPr>
              <w:spacing w:after="20" w:line="252" w:lineRule="auto"/>
            </w:pPr>
            <w:r>
              <w:rPr>
                <w:b/>
                <w:sz w:val="19"/>
              </w:rPr>
              <w:t>Locations and team</w:t>
            </w:r>
          </w:p>
        </w:tc>
        <w:tc>
          <w:tcPr>
            <w:tcW w:type="dxa" w:w="7030"/>
            <w:shd w:val="clear" w:color="auto" w:fill="FAFAFB"/>
            <w:vAlign w:val="center"/>
          </w:tcPr>
          <w:p>
            <w:pPr>
              <w:spacing w:after="20" w:line="252" w:lineRule="auto"/>
            </w:pPr>
            <w:r>
              <w:rPr>
                <w:b/>
                <w:color w:val="20242B"/>
                <w:sz w:val="19"/>
                <w:shd w:val="clear" w:color="auto" w:fill="FFF1A8"/>
              </w:rPr>
              <w:t>[[N]]</w:t>
            </w:r>
            <w:r>
              <w:rPr>
                <w:sz w:val="19"/>
              </w:rPr>
              <w:t xml:space="preserve"> branches · </w:t>
            </w:r>
            <w:r>
              <w:rPr>
                <w:b/>
                <w:color w:val="20242B"/>
                <w:sz w:val="19"/>
                <w:shd w:val="clear" w:color="auto" w:fill="FFF1A8"/>
              </w:rPr>
              <w:t>[[N]]</w:t>
            </w:r>
            <w:r>
              <w:rPr>
                <w:sz w:val="19"/>
              </w:rPr>
              <w:t xml:space="preserve"> staff · </w:t>
            </w:r>
            <w:r>
              <w:rPr>
                <w:b/>
                <w:color w:val="20242B"/>
                <w:sz w:val="19"/>
                <w:shd w:val="clear" w:color="auto" w:fill="FFF1A8"/>
              </w:rPr>
              <w:t>[[AREAS]]</w:t>
            </w:r>
          </w:p>
        </w:tc>
      </w:tr>
      <w:tr>
        <w:trPr>
          <w:cantSplit/>
        </w:trPr>
        <w:tc>
          <w:tcPr>
            <w:tcW w:type="dxa" w:w="2608"/>
            <w:vAlign w:val="center"/>
          </w:tcPr>
          <w:p>
            <w:pPr>
              <w:spacing w:after="20" w:line="252" w:lineRule="auto"/>
            </w:pPr>
            <w:r>
              <w:rPr>
                <w:b/>
                <w:sz w:val="19"/>
              </w:rPr>
              <w:t>Customers</w:t>
            </w:r>
          </w:p>
        </w:tc>
        <w:tc>
          <w:tcPr>
            <w:tcW w:type="dxa" w:w="7030"/>
            <w:vAlign w:val="center"/>
          </w:tcPr>
          <w:p>
            <w:pPr>
              <w:spacing w:after="20" w:line="252" w:lineRule="auto"/>
            </w:pPr>
            <w:r>
              <w:rPr>
                <w:b/>
                <w:color w:val="20242B"/>
                <w:sz w:val="19"/>
                <w:shd w:val="clear" w:color="auto" w:fill="FFF1A8"/>
              </w:rPr>
              <w:t>[[WHO THEY ARE, LANGUAGES, WHERE THEY BUY]]</w:t>
            </w:r>
          </w:p>
        </w:tc>
      </w:tr>
      <w:tr>
        <w:trPr>
          <w:cantSplit/>
        </w:trPr>
        <w:tc>
          <w:tcPr>
            <w:tcW w:type="dxa" w:w="2608"/>
            <w:shd w:val="clear" w:color="auto" w:fill="FAFAFB"/>
            <w:vAlign w:val="center"/>
          </w:tcPr>
          <w:p>
            <w:pPr>
              <w:spacing w:after="20" w:line="252" w:lineRule="auto"/>
            </w:pPr>
            <w:r>
              <w:rPr>
                <w:b/>
                <w:sz w:val="19"/>
              </w:rPr>
              <w:t>Channels today</w:t>
            </w:r>
          </w:p>
        </w:tc>
        <w:tc>
          <w:tcPr>
            <w:tcW w:type="dxa" w:w="7030"/>
            <w:shd w:val="clear" w:color="auto" w:fill="FAFAFB"/>
            <w:vAlign w:val="center"/>
          </w:tcPr>
          <w:p>
            <w:pPr>
              <w:spacing w:after="20" w:line="252" w:lineRule="auto"/>
            </w:pPr>
            <w:r>
              <w:rPr>
                <w:b/>
                <w:color w:val="20242B"/>
                <w:sz w:val="19"/>
                <w:shd w:val="clear" w:color="auto" w:fill="FFF1A8"/>
              </w:rPr>
              <w:t>[[e.g. WhatsApp Business app on 3 phones, Facebook, Instagram, website]]</w:t>
            </w:r>
          </w:p>
        </w:tc>
      </w:tr>
      <w:tr>
        <w:trPr>
          <w:cantSplit/>
        </w:trPr>
        <w:tc>
          <w:tcPr>
            <w:tcW w:type="dxa" w:w="2608"/>
            <w:vAlign w:val="center"/>
          </w:tcPr>
          <w:p>
            <w:pPr>
              <w:spacing w:after="20" w:line="252" w:lineRule="auto"/>
            </w:pPr>
            <w:r>
              <w:rPr>
                <w:b/>
                <w:sz w:val="19"/>
              </w:rPr>
              <w:t>Tools today</w:t>
            </w:r>
          </w:p>
        </w:tc>
        <w:tc>
          <w:tcPr>
            <w:tcW w:type="dxa" w:w="7030"/>
            <w:vAlign w:val="center"/>
          </w:tcPr>
          <w:p>
            <w:pPr>
              <w:spacing w:after="20" w:line="252" w:lineRule="auto"/>
            </w:pPr>
            <w:r>
              <w:rPr>
                <w:b/>
                <w:color w:val="20242B"/>
                <w:sz w:val="19"/>
                <w:shd w:val="clear" w:color="auto" w:fill="FFF1A8"/>
              </w:rPr>
              <w:t>[[e.g. separate tools for email, scheduling, chat, CRM and store]]</w:t>
            </w:r>
          </w:p>
        </w:tc>
      </w:tr>
      <w:tr>
        <w:trPr>
          <w:cantSplit/>
        </w:trPr>
        <w:tc>
          <w:tcPr>
            <w:tcW w:type="dxa" w:w="2608"/>
            <w:shd w:val="clear" w:color="auto" w:fill="FAFAFB"/>
            <w:vAlign w:val="center"/>
          </w:tcPr>
          <w:p>
            <w:pPr>
              <w:spacing w:after="20" w:line="252" w:lineRule="auto"/>
            </w:pPr>
            <w:r>
              <w:rPr>
                <w:b/>
                <w:sz w:val="19"/>
              </w:rPr>
              <w:t>Marketing spend today</w:t>
            </w:r>
          </w:p>
        </w:tc>
        <w:tc>
          <w:tcPr>
            <w:tcW w:type="dxa" w:w="7030"/>
            <w:shd w:val="clear" w:color="auto" w:fill="FAFAFB"/>
            <w:vAlign w:val="center"/>
          </w:tcPr>
          <w:p>
            <w:pPr>
              <w:spacing w:after="20" w:line="252" w:lineRule="auto"/>
            </w:pPr>
            <w:r>
              <w:rPr>
                <w:b/>
                <w:color w:val="20242B"/>
                <w:sz w:val="19"/>
                <w:shd w:val="clear" w:color="auto" w:fill="FFF1A8"/>
              </w:rPr>
              <w:t>[[R PER MONTH: agency retainer, ads, tools]]</w:t>
            </w:r>
          </w:p>
        </w:tc>
      </w:tr>
      <w:tr>
        <w:trPr>
          <w:cantSplit/>
        </w:trPr>
        <w:tc>
          <w:tcPr>
            <w:tcW w:type="dxa" w:w="2608"/>
            <w:vAlign w:val="center"/>
          </w:tcPr>
          <w:p>
            <w:pPr>
              <w:spacing w:after="20" w:line="252" w:lineRule="auto"/>
            </w:pPr>
            <w:r>
              <w:rPr>
                <w:b/>
                <w:sz w:val="19"/>
              </w:rPr>
              <w:t>How customers pay today</w:t>
            </w:r>
          </w:p>
        </w:tc>
        <w:tc>
          <w:tcPr>
            <w:tcW w:type="dxa" w:w="7030"/>
            <w:vAlign w:val="center"/>
          </w:tcPr>
          <w:p>
            <w:pPr>
              <w:spacing w:after="20" w:line="252" w:lineRule="auto"/>
            </w:pPr>
            <w:r>
              <w:rPr>
                <w:b/>
                <w:color w:val="20242B"/>
                <w:sz w:val="19"/>
                <w:shd w:val="clear" w:color="auto" w:fill="FFF1A8"/>
              </w:rPr>
              <w:t>[[e.g. card on delivery, EFT with proof of payment, cash]]</w:t>
            </w:r>
          </w:p>
        </w:tc>
      </w:tr>
    </w:tbl>
    <w:p>
      <w:pPr>
        <w:spacing w:after="0" w:line="120" w:lineRule="exact"/>
      </w:pPr>
    </w:p>
    <w:p>
      <w:pPr>
        <w:pStyle w:val="Heading2"/>
      </w:pPr>
      <w:r>
        <w:rPr/>
        <w:t>What we heard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Marketing runs across 6 or more disconnected tools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Agency retainers of R15,000 or more a month, with little visibility of results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No attribution from social posts and ads to sales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WhatsApp is handled manually by staff on personal or shared phones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Slow replies after hours and at peak times; enquiries go cold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Buyers drop off when sent to external payment links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Reporting takes hours each month</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Other: </w:t>
      </w:r>
      <w:r>
        <w:rPr>
          <w:b/>
          <w:color w:val="20242B"/>
          <w:shd w:val="clear" w:color="auto" w:fill="FFF1A8"/>
        </w:rPr>
        <w:t>[[IN THE CLIENT'S WORDS]]</w:t>
      </w:r>
    </w:p>
    <w:p>
      <w:pPr>
        <w:keepNext/>
        <w:spacing w:before="120" w:after="0"/>
        <w:jc w:val="center"/>
      </w:pPr>
      <w:r>
        <w:drawing>
          <wp:inline xmlns:a="http://schemas.openxmlformats.org/drawingml/2006/main" xmlns:pic="http://schemas.openxmlformats.org/drawingml/2006/picture">
            <wp:extent cx="6120000" cy="3442500"/>
            <wp:docPr id="2" name="Picture 2" descr="Segment card for SMEs: disconnected tools, manual WhatsApp handling and no attribution, matched to one platform, WhatsApp commerce and Analyst reporting; Growth at R1,999 a month, Founding Member R1,399 for the first 2 months."/>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42500"/>
                    </a:xfrm>
                    <a:prstGeom prst="rect"/>
                  </pic:spPr>
                </pic:pic>
              </a:graphicData>
            </a:graphic>
          </wp:inline>
        </w:drawing>
      </w:r>
    </w:p>
    <w:p>
      <w:pPr>
        <w:pStyle w:val="Caption"/>
        <w:jc w:val="center"/>
      </w:pPr>
      <w:r>
        <w:rPr>
          <w:b/>
        </w:rPr>
        <w:t>Figure 1.</w:t>
      </w:r>
      <w:r>
        <w:rPr/>
        <w:t xml:space="preserve"> SMEs: today vs with FluxMuse. Founding Member pricing applies to South African sign-ups from 1 December 2026 to 31 January 2027.</w:t>
      </w:r>
    </w:p>
    <w:p>
      <w:pPr>
        <w:pStyle w:val="Heading1"/>
      </w:pPr>
      <w:r>
        <w:rPr/>
        <w:t>3. Objectives and success metrics</w:t>
      </w:r>
    </w:p>
    <w:p>
      <w:r>
        <w:rPr/>
        <w:t xml:space="preserve">Each objective is SMART: specific, measurable, achievable, relevant and time-bound. We confirm the baseline in the first week. </w:t>
      </w:r>
      <w:r>
        <w:rPr>
          <w:b/>
        </w:rPr>
        <w:t>Every number in the target column is a goal agreed at kickoff, not a promised result.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MART objectives and KPI targets (goals)"/>
      </w:tblPr>
      <w:tblGrid>
        <w:gridCol w:w="566"/>
        <w:gridCol w:w="2494"/>
        <w:gridCol w:w="2381"/>
        <w:gridCol w:w="1190"/>
        <w:gridCol w:w="1870"/>
        <w:gridCol w:w="1133"/>
      </w:tblGrid>
      <w:tr>
        <w:trPr>
          <w:cantSplit/>
          <w:tblHeader/>
        </w:trPr>
        <w:tc>
          <w:tcPr>
            <w:tcW w:type="dxa" w:w="567"/>
            <w:shd w:val="clear" w:color="auto" w:fill="FF6A00"/>
            <w:vAlign w:val="center"/>
          </w:tcPr>
          <w:p>
            <w:pPr>
              <w:keepNext/>
              <w:spacing w:after="20" w:line="252" w:lineRule="auto"/>
            </w:pPr>
            <w:r>
              <w:rPr>
                <w:rFonts w:ascii="Poppins" w:hAnsi="Poppins" w:cs="Poppins" w:eastAsia="Poppins"/>
                <w:b/>
                <w:color w:val="20242B"/>
                <w:sz w:val="18"/>
              </w:rPr>
              <w:t>#</w:t>
            </w:r>
          </w:p>
        </w:tc>
        <w:tc>
          <w:tcPr>
            <w:tcW w:type="dxa" w:w="2494"/>
            <w:shd w:val="clear" w:color="auto" w:fill="FF6A00"/>
            <w:vAlign w:val="center"/>
          </w:tcPr>
          <w:p>
            <w:pPr>
              <w:keepNext/>
              <w:spacing w:after="20" w:line="252" w:lineRule="auto"/>
            </w:pPr>
            <w:r>
              <w:rPr>
                <w:rFonts w:ascii="Poppins" w:hAnsi="Poppins" w:cs="Poppins" w:eastAsia="Poppins"/>
                <w:b/>
                <w:color w:val="20242B"/>
                <w:sz w:val="18"/>
              </w:rPr>
              <w:t>Objective</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1191"/>
            <w:shd w:val="clear" w:color="auto" w:fill="FF6A00"/>
            <w:vAlign w:val="center"/>
          </w:tcPr>
          <w:p>
            <w:pPr>
              <w:keepNext/>
              <w:spacing w:after="20" w:line="252" w:lineRule="auto"/>
            </w:pPr>
            <w:r>
              <w:rPr>
                <w:rFonts w:ascii="Poppins" w:hAnsi="Poppins" w:cs="Poppins" w:eastAsia="Poppins"/>
                <w:b/>
                <w:color w:val="20242B"/>
                <w:sz w:val="18"/>
              </w:rPr>
              <w:t>Baseline</w:t>
            </w:r>
          </w:p>
        </w:tc>
        <w:tc>
          <w:tcPr>
            <w:tcW w:type="dxa" w:w="1871"/>
            <w:shd w:val="clear" w:color="auto" w:fill="FF6A00"/>
            <w:vAlign w:val="center"/>
          </w:tcPr>
          <w:p>
            <w:pPr>
              <w:keepNext/>
              <w:spacing w:after="20" w:line="252" w:lineRule="auto"/>
            </w:pPr>
            <w:r>
              <w:rPr>
                <w:rFonts w:ascii="Poppins" w:hAnsi="Poppins" w:cs="Poppins" w:eastAsia="Poppins"/>
                <w:b/>
                <w:color w:val="20242B"/>
                <w:sz w:val="18"/>
              </w:rPr>
              <w:t>Target (goal)</w:t>
            </w:r>
          </w:p>
        </w:tc>
        <w:tc>
          <w:tcPr>
            <w:tcW w:type="dxa" w:w="1134"/>
            <w:shd w:val="clear" w:color="auto" w:fill="FF6A00"/>
            <w:vAlign w:val="center"/>
          </w:tcPr>
          <w:p>
            <w:pPr>
              <w:keepNext/>
              <w:spacing w:after="20" w:line="252" w:lineRule="auto"/>
            </w:pPr>
            <w:r>
              <w:rPr>
                <w:rFonts w:ascii="Poppins" w:hAnsi="Poppins" w:cs="Poppins" w:eastAsia="Poppins"/>
                <w:b/>
                <w:color w:val="20242B"/>
                <w:sz w:val="18"/>
              </w:rPr>
              <w:t>By</w:t>
            </w:r>
          </w:p>
        </w:tc>
      </w:tr>
      <w:tr>
        <w:trPr>
          <w:cantSplit/>
        </w:trPr>
        <w:tc>
          <w:tcPr>
            <w:tcW w:type="dxa" w:w="567"/>
            <w:vAlign w:val="center"/>
          </w:tcPr>
          <w:p>
            <w:pPr>
              <w:spacing w:after="20" w:line="252" w:lineRule="auto"/>
            </w:pPr>
            <w:r>
              <w:rPr>
                <w:b/>
                <w:sz w:val="18"/>
              </w:rPr>
              <w:t>O1</w:t>
            </w:r>
          </w:p>
        </w:tc>
        <w:tc>
          <w:tcPr>
            <w:tcW w:type="dxa" w:w="2494"/>
            <w:vAlign w:val="center"/>
          </w:tcPr>
          <w:p>
            <w:pPr>
              <w:spacing w:after="20" w:line="252" w:lineRule="auto"/>
            </w:pPr>
            <w:r>
              <w:rPr>
                <w:sz w:val="18"/>
              </w:rPr>
              <w:t>Answer every WhatsApp enquiry quickly</w:t>
            </w:r>
          </w:p>
        </w:tc>
        <w:tc>
          <w:tcPr>
            <w:tcW w:type="dxa" w:w="2381"/>
            <w:vAlign w:val="center"/>
          </w:tcPr>
          <w:p>
            <w:pPr>
              <w:spacing w:after="20" w:line="252" w:lineRule="auto"/>
            </w:pPr>
            <w:r>
              <w:rPr>
                <w:sz w:val="18"/>
              </w:rPr>
              <w:t>Median first-reply time</w:t>
            </w:r>
          </w:p>
        </w:tc>
        <w:tc>
          <w:tcPr>
            <w:tcW w:type="dxa" w:w="1191"/>
            <w:vAlign w:val="center"/>
          </w:tcPr>
          <w:p>
            <w:pPr>
              <w:spacing w:after="20" w:line="252" w:lineRule="auto"/>
            </w:pPr>
            <w:r>
              <w:rPr>
                <w:b/>
                <w:color w:val="20242B"/>
                <w:sz w:val="18"/>
                <w:shd w:val="clear" w:color="auto" w:fill="FFF1A8"/>
              </w:rPr>
              <w:t>[[ ]]</w:t>
            </w:r>
          </w:p>
        </w:tc>
        <w:tc>
          <w:tcPr>
            <w:tcW w:type="dxa" w:w="1871"/>
            <w:vAlign w:val="center"/>
          </w:tcPr>
          <w:p>
            <w:pPr>
              <w:spacing w:after="20" w:line="252" w:lineRule="auto"/>
            </w:pPr>
            <w:r>
              <w:rPr>
                <w:b/>
                <w:color w:val="20242B"/>
                <w:sz w:val="18"/>
                <w:shd w:val="clear" w:color="auto" w:fill="FFF1A8"/>
              </w:rPr>
              <w:t>[[e.g. under 2 min]]</w:t>
            </w:r>
          </w:p>
        </w:tc>
        <w:tc>
          <w:tcPr>
            <w:tcW w:type="dxa" w:w="1134"/>
            <w:vAlign w:val="center"/>
          </w:tcPr>
          <w:p>
            <w:pPr>
              <w:spacing w:after="20" w:line="252" w:lineRule="auto"/>
            </w:pPr>
            <w:r>
              <w:rPr>
                <w:sz w:val="18"/>
              </w:rPr>
              <w:t>Day 30</w:t>
            </w:r>
          </w:p>
        </w:tc>
      </w:tr>
      <w:tr>
        <w:trPr>
          <w:cantSplit/>
        </w:trPr>
        <w:tc>
          <w:tcPr>
            <w:tcW w:type="dxa" w:w="567"/>
            <w:shd w:val="clear" w:color="auto" w:fill="FAFAFB"/>
            <w:vAlign w:val="center"/>
          </w:tcPr>
          <w:p>
            <w:pPr>
              <w:spacing w:after="20" w:line="252" w:lineRule="auto"/>
            </w:pPr>
            <w:r>
              <w:rPr>
                <w:b/>
                <w:sz w:val="18"/>
              </w:rPr>
              <w:t>O2</w:t>
            </w:r>
          </w:p>
        </w:tc>
        <w:tc>
          <w:tcPr>
            <w:tcW w:type="dxa" w:w="2494"/>
            <w:shd w:val="clear" w:color="auto" w:fill="FAFAFB"/>
            <w:vAlign w:val="center"/>
          </w:tcPr>
          <w:p>
            <w:pPr>
              <w:spacing w:after="20" w:line="252" w:lineRule="auto"/>
            </w:pPr>
            <w:r>
              <w:rPr>
                <w:sz w:val="18"/>
              </w:rPr>
              <w:t>Turn more chats into orders</w:t>
            </w:r>
          </w:p>
        </w:tc>
        <w:tc>
          <w:tcPr>
            <w:tcW w:type="dxa" w:w="2381"/>
            <w:shd w:val="clear" w:color="auto" w:fill="FAFAFB"/>
            <w:vAlign w:val="center"/>
          </w:tcPr>
          <w:p>
            <w:pPr>
              <w:spacing w:after="20" w:line="252" w:lineRule="auto"/>
            </w:pPr>
            <w:r>
              <w:rPr>
                <w:sz w:val="18"/>
              </w:rPr>
              <w:t>Chat-to-order conversion</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[[e.g. +20%]]</w:t>
            </w:r>
          </w:p>
        </w:tc>
        <w:tc>
          <w:tcPr>
            <w:tcW w:type="dxa" w:w="1134"/>
            <w:shd w:val="clear" w:color="auto" w:fill="FAFAFB"/>
            <w:vAlign w:val="center"/>
          </w:tcPr>
          <w:p>
            <w:pPr>
              <w:spacing w:after="20" w:line="252" w:lineRule="auto"/>
            </w:pPr>
            <w:r>
              <w:rPr>
                <w:sz w:val="18"/>
              </w:rPr>
              <w:t>Day 60</w:t>
            </w:r>
          </w:p>
        </w:tc>
      </w:tr>
      <w:tr>
        <w:trPr>
          <w:cantSplit/>
        </w:trPr>
        <w:tc>
          <w:tcPr>
            <w:tcW w:type="dxa" w:w="567"/>
            <w:vAlign w:val="center"/>
          </w:tcPr>
          <w:p>
            <w:pPr>
              <w:spacing w:after="20" w:line="252" w:lineRule="auto"/>
            </w:pPr>
            <w:r>
              <w:rPr>
                <w:b/>
                <w:sz w:val="18"/>
              </w:rPr>
              <w:t>O3</w:t>
            </w:r>
          </w:p>
        </w:tc>
        <w:tc>
          <w:tcPr>
            <w:tcW w:type="dxa" w:w="2494"/>
            <w:vAlign w:val="center"/>
          </w:tcPr>
          <w:p>
            <w:pPr>
              <w:spacing w:after="20" w:line="252" w:lineRule="auto"/>
            </w:pPr>
            <w:r>
              <w:rPr>
                <w:sz w:val="18"/>
              </w:rPr>
              <w:t>Grow revenue through WhatsApp</w:t>
            </w:r>
          </w:p>
        </w:tc>
        <w:tc>
          <w:tcPr>
            <w:tcW w:type="dxa" w:w="2381"/>
            <w:vAlign w:val="center"/>
          </w:tcPr>
          <w:p>
            <w:pPr>
              <w:spacing w:after="20" w:line="252" w:lineRule="auto"/>
            </w:pPr>
            <w:r>
              <w:rPr>
                <w:sz w:val="18"/>
              </w:rPr>
              <w:t>Orders and GMV via WhatsApp (R)</w:t>
            </w:r>
          </w:p>
        </w:tc>
        <w:tc>
          <w:tcPr>
            <w:tcW w:type="dxa" w:w="1191"/>
            <w:vAlign w:val="center"/>
          </w:tcPr>
          <w:p>
            <w:pPr>
              <w:spacing w:after="20" w:line="252" w:lineRule="auto"/>
            </w:pPr>
            <w:r>
              <w:rPr>
                <w:b/>
                <w:color w:val="20242B"/>
                <w:sz w:val="18"/>
                <w:shd w:val="clear" w:color="auto" w:fill="FFF1A8"/>
              </w:rPr>
              <w:t>[[ ]]</w:t>
            </w:r>
          </w:p>
        </w:tc>
        <w:tc>
          <w:tcPr>
            <w:tcW w:type="dxa" w:w="1871"/>
            <w:vAlign w:val="center"/>
          </w:tcPr>
          <w:p>
            <w:pPr>
              <w:spacing w:after="20" w:line="252" w:lineRule="auto"/>
            </w:pPr>
            <w:r>
              <w:rPr>
                <w:b/>
                <w:color w:val="20242B"/>
                <w:sz w:val="18"/>
                <w:shd w:val="clear" w:color="auto" w:fill="FFF1A8"/>
              </w:rPr>
              <w:t>[[R AMOUNT]]</w:t>
            </w:r>
          </w:p>
        </w:tc>
        <w:tc>
          <w:tcPr>
            <w:tcW w:type="dxa" w:w="1134"/>
            <w:vAlign w:val="center"/>
          </w:tcPr>
          <w:p>
            <w:pPr>
              <w:spacing w:after="20" w:line="252" w:lineRule="auto"/>
            </w:pPr>
            <w:r>
              <w:rPr>
                <w:sz w:val="18"/>
              </w:rPr>
              <w:t>Day 60</w:t>
            </w:r>
          </w:p>
        </w:tc>
      </w:tr>
      <w:tr>
        <w:trPr>
          <w:cantSplit/>
        </w:trPr>
        <w:tc>
          <w:tcPr>
            <w:tcW w:type="dxa" w:w="567"/>
            <w:shd w:val="clear" w:color="auto" w:fill="FAFAFB"/>
            <w:vAlign w:val="center"/>
          </w:tcPr>
          <w:p>
            <w:pPr>
              <w:spacing w:after="20" w:line="252" w:lineRule="auto"/>
            </w:pPr>
            <w:r>
              <w:rPr>
                <w:b/>
                <w:sz w:val="18"/>
              </w:rPr>
              <w:t>O4</w:t>
            </w:r>
          </w:p>
        </w:tc>
        <w:tc>
          <w:tcPr>
            <w:tcW w:type="dxa" w:w="2494"/>
            <w:shd w:val="clear" w:color="auto" w:fill="FAFAFB"/>
            <w:vAlign w:val="center"/>
          </w:tcPr>
          <w:p>
            <w:pPr>
              <w:spacing w:after="20" w:line="252" w:lineRule="auto"/>
            </w:pPr>
            <w:r>
              <w:rPr>
                <w:sz w:val="18"/>
              </w:rPr>
              <w:t>Recover lost sales</w:t>
            </w:r>
          </w:p>
        </w:tc>
        <w:tc>
          <w:tcPr>
            <w:tcW w:type="dxa" w:w="2381"/>
            <w:shd w:val="clear" w:color="auto" w:fill="FAFAFB"/>
            <w:vAlign w:val="center"/>
          </w:tcPr>
          <w:p>
            <w:pPr>
              <w:spacing w:after="20" w:line="252" w:lineRule="auto"/>
            </w:pPr>
            <w:r>
              <w:rPr>
                <w:sz w:val="18"/>
              </w:rPr>
              <w:t>Abandoned carts recovered</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[[e.g. 10% of carts]]</w:t>
            </w:r>
          </w:p>
        </w:tc>
        <w:tc>
          <w:tcPr>
            <w:tcW w:type="dxa" w:w="1134"/>
            <w:shd w:val="clear" w:color="auto" w:fill="FAFAFB"/>
            <w:vAlign w:val="center"/>
          </w:tcPr>
          <w:p>
            <w:pPr>
              <w:spacing w:after="20" w:line="252" w:lineRule="auto"/>
            </w:pPr>
            <w:r>
              <w:rPr>
                <w:sz w:val="18"/>
              </w:rPr>
              <w:t>Day 60</w:t>
            </w:r>
          </w:p>
        </w:tc>
      </w:tr>
      <w:tr>
        <w:trPr>
          <w:cantSplit/>
        </w:trPr>
        <w:tc>
          <w:tcPr>
            <w:tcW w:type="dxa" w:w="567"/>
            <w:vAlign w:val="center"/>
          </w:tcPr>
          <w:p>
            <w:pPr>
              <w:spacing w:after="20" w:line="252" w:lineRule="auto"/>
            </w:pPr>
            <w:r>
              <w:rPr>
                <w:b/>
                <w:sz w:val="18"/>
              </w:rPr>
              <w:t>O5</w:t>
            </w:r>
          </w:p>
        </w:tc>
        <w:tc>
          <w:tcPr>
            <w:tcW w:type="dxa" w:w="2494"/>
            <w:vAlign w:val="center"/>
          </w:tcPr>
          <w:p>
            <w:pPr>
              <w:spacing w:after="20" w:line="252" w:lineRule="auto"/>
            </w:pPr>
            <w:r>
              <w:rPr>
                <w:sz w:val="18"/>
              </w:rPr>
              <w:t>Publish consistently</w:t>
            </w:r>
          </w:p>
        </w:tc>
        <w:tc>
          <w:tcPr>
            <w:tcW w:type="dxa" w:w="2381"/>
            <w:vAlign w:val="center"/>
          </w:tcPr>
          <w:p>
            <w:pPr>
              <w:spacing w:after="20" w:line="252" w:lineRule="auto"/>
            </w:pPr>
            <w:r>
              <w:rPr>
                <w:sz w:val="18"/>
              </w:rPr>
              <w:t>Content pieces published per month</w:t>
            </w:r>
          </w:p>
        </w:tc>
        <w:tc>
          <w:tcPr>
            <w:tcW w:type="dxa" w:w="1191"/>
            <w:vAlign w:val="center"/>
          </w:tcPr>
          <w:p>
            <w:pPr>
              <w:spacing w:after="20" w:line="252" w:lineRule="auto"/>
            </w:pPr>
            <w:r>
              <w:rPr>
                <w:b/>
                <w:color w:val="20242B"/>
                <w:sz w:val="18"/>
                <w:shd w:val="clear" w:color="auto" w:fill="FFF1A8"/>
              </w:rPr>
              <w:t>[[ ]]</w:t>
            </w:r>
          </w:p>
        </w:tc>
        <w:tc>
          <w:tcPr>
            <w:tcW w:type="dxa" w:w="1871"/>
            <w:vAlign w:val="center"/>
          </w:tcPr>
          <w:p>
            <w:pPr>
              <w:spacing w:after="20" w:line="252" w:lineRule="auto"/>
            </w:pPr>
            <w:r>
              <w:rPr>
                <w:b/>
                <w:color w:val="20242B"/>
                <w:sz w:val="18"/>
                <w:shd w:val="clear" w:color="auto" w:fill="FFF1A8"/>
              </w:rPr>
              <w:t>[[e.g. 20+]]</w:t>
            </w:r>
          </w:p>
        </w:tc>
        <w:tc>
          <w:tcPr>
            <w:tcW w:type="dxa" w:w="1134"/>
            <w:vAlign w:val="center"/>
          </w:tcPr>
          <w:p>
            <w:pPr>
              <w:spacing w:after="20" w:line="252" w:lineRule="auto"/>
            </w:pPr>
            <w:r>
              <w:rPr>
                <w:sz w:val="18"/>
              </w:rPr>
              <w:t>Day 30</w:t>
            </w:r>
          </w:p>
        </w:tc>
      </w:tr>
      <w:tr>
        <w:trPr>
          <w:cantSplit/>
        </w:trPr>
        <w:tc>
          <w:tcPr>
            <w:tcW w:type="dxa" w:w="567"/>
            <w:shd w:val="clear" w:color="auto" w:fill="FAFAFB"/>
            <w:vAlign w:val="center"/>
          </w:tcPr>
          <w:p>
            <w:pPr>
              <w:spacing w:after="20" w:line="252" w:lineRule="auto"/>
            </w:pPr>
            <w:r>
              <w:rPr>
                <w:b/>
                <w:sz w:val="18"/>
              </w:rPr>
              <w:t>O6</w:t>
            </w:r>
          </w:p>
        </w:tc>
        <w:tc>
          <w:tcPr>
            <w:tcW w:type="dxa" w:w="2494"/>
            <w:shd w:val="clear" w:color="auto" w:fill="FAFAFB"/>
            <w:vAlign w:val="center"/>
          </w:tcPr>
          <w:p>
            <w:pPr>
              <w:spacing w:after="20" w:line="252" w:lineRule="auto"/>
            </w:pPr>
            <w:r>
              <w:rPr>
                <w:sz w:val="18"/>
              </w:rPr>
              <w:t>Free up staff time</w:t>
            </w:r>
          </w:p>
        </w:tc>
        <w:tc>
          <w:tcPr>
            <w:tcW w:type="dxa" w:w="2381"/>
            <w:shd w:val="clear" w:color="auto" w:fill="FAFAFB"/>
            <w:vAlign w:val="center"/>
          </w:tcPr>
          <w:p>
            <w:pPr>
              <w:spacing w:after="20" w:line="252" w:lineRule="auto"/>
            </w:pPr>
            <w:r>
              <w:rPr>
                <w:sz w:val="18"/>
              </w:rPr>
              <w:t>Staff hours saved per week</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[[e.g. 10+]]</w:t>
            </w:r>
          </w:p>
        </w:tc>
        <w:tc>
          <w:tcPr>
            <w:tcW w:type="dxa" w:w="1134"/>
            <w:shd w:val="clear" w:color="auto" w:fill="FAFAFB"/>
            <w:vAlign w:val="center"/>
          </w:tcPr>
          <w:p>
            <w:pPr>
              <w:spacing w:after="20" w:line="252" w:lineRule="auto"/>
            </w:pPr>
            <w:r>
              <w:rPr>
                <w:sz w:val="18"/>
              </w:rPr>
              <w:t>Day 60</w:t>
            </w:r>
          </w:p>
        </w:tc>
      </w:tr>
      <w:tr>
        <w:trPr>
          <w:cantSplit/>
        </w:trPr>
        <w:tc>
          <w:tcPr>
            <w:tcW w:type="dxa" w:w="567"/>
            <w:vAlign w:val="center"/>
          </w:tcPr>
          <w:p>
            <w:pPr>
              <w:spacing w:after="20" w:line="252" w:lineRule="auto"/>
            </w:pPr>
            <w:r>
              <w:rPr>
                <w:b/>
                <w:sz w:val="18"/>
              </w:rPr>
              <w:t>O7</w:t>
            </w:r>
          </w:p>
        </w:tc>
        <w:tc>
          <w:tcPr>
            <w:tcW w:type="dxa" w:w="2494"/>
            <w:vAlign w:val="center"/>
          </w:tcPr>
          <w:p>
            <w:pPr>
              <w:spacing w:after="20" w:line="252" w:lineRule="auto"/>
            </w:pPr>
            <w:r>
              <w:rPr>
                <w:sz w:val="18"/>
              </w:rPr>
              <w:t>See what drives revenue</w:t>
            </w:r>
          </w:p>
        </w:tc>
        <w:tc>
          <w:tcPr>
            <w:tcW w:type="dxa" w:w="2381"/>
            <w:vAlign w:val="center"/>
          </w:tcPr>
          <w:p>
            <w:pPr>
              <w:spacing w:after="20" w:line="252" w:lineRule="auto"/>
            </w:pPr>
            <w:r>
              <w:rPr>
                <w:sz w:val="18"/>
              </w:rPr>
              <w:t>Campaigns with attributed orders</w:t>
            </w:r>
          </w:p>
        </w:tc>
        <w:tc>
          <w:tcPr>
            <w:tcW w:type="dxa" w:w="1191"/>
            <w:vAlign w:val="center"/>
          </w:tcPr>
          <w:p>
            <w:pPr>
              <w:spacing w:after="20" w:line="252" w:lineRule="auto"/>
            </w:pPr>
            <w:r>
              <w:rPr>
                <w:b/>
                <w:color w:val="20242B"/>
                <w:sz w:val="18"/>
                <w:shd w:val="clear" w:color="auto" w:fill="FFF1A8"/>
              </w:rPr>
              <w:t>[[ ]]</w:t>
            </w:r>
          </w:p>
        </w:tc>
        <w:tc>
          <w:tcPr>
            <w:tcW w:type="dxa" w:w="1871"/>
            <w:vAlign w:val="center"/>
          </w:tcPr>
          <w:p>
            <w:pPr>
              <w:spacing w:after="20" w:line="252" w:lineRule="auto"/>
            </w:pPr>
            <w:r>
              <w:rPr>
                <w:b/>
                <w:color w:val="20242B"/>
                <w:sz w:val="18"/>
                <w:shd w:val="clear" w:color="auto" w:fill="FFF1A8"/>
              </w:rPr>
              <w:t>[[e.g. all campaigns]]</w:t>
            </w:r>
          </w:p>
        </w:tc>
        <w:tc>
          <w:tcPr>
            <w:tcW w:type="dxa" w:w="1134"/>
            <w:vAlign w:val="center"/>
          </w:tcPr>
          <w:p>
            <w:pPr>
              <w:spacing w:after="20" w:line="252" w:lineRule="auto"/>
            </w:pPr>
            <w:r>
              <w:rPr>
                <w:sz w:val="18"/>
              </w:rPr>
              <w:t>Day 45</w:t>
            </w:r>
          </w:p>
        </w:tc>
      </w:tr>
      <w:tr>
        <w:trPr>
          <w:cantSplit/>
        </w:trPr>
        <w:tc>
          <w:tcPr>
            <w:tcW w:type="dxa" w:w="567"/>
            <w:shd w:val="clear" w:color="auto" w:fill="FAFAFB"/>
            <w:vAlign w:val="center"/>
          </w:tcPr>
          <w:p>
            <w:pPr>
              <w:spacing w:after="20" w:line="252" w:lineRule="auto"/>
            </w:pPr>
            <w:r>
              <w:rPr>
                <w:b/>
                <w:sz w:val="18"/>
              </w:rPr>
              <w:t>O8</w:t>
            </w:r>
          </w:p>
        </w:tc>
        <w:tc>
          <w:tcPr>
            <w:tcW w:type="dxa" w:w="2494"/>
            <w:shd w:val="clear" w:color="auto" w:fill="FAFAFB"/>
            <w:vAlign w:val="center"/>
          </w:tcPr>
          <w:p>
            <w:pPr>
              <w:spacing w:after="20" w:line="252" w:lineRule="auto"/>
            </w:pPr>
            <w:r>
              <w:rPr>
                <w:sz w:val="18"/>
              </w:rPr>
              <w:t>Keep customers happy</w:t>
            </w:r>
          </w:p>
        </w:tc>
        <w:tc>
          <w:tcPr>
            <w:tcW w:type="dxa" w:w="2381"/>
            <w:shd w:val="clear" w:color="auto" w:fill="FAFAFB"/>
            <w:vAlign w:val="center"/>
          </w:tcPr>
          <w:p>
            <w:pPr>
              <w:spacing w:after="20" w:line="252" w:lineRule="auto"/>
            </w:pPr>
            <w:r>
              <w:rPr>
                <w:sz w:val="18"/>
              </w:rPr>
              <w:t>NPS</w:t>
            </w:r>
          </w:p>
        </w:tc>
        <w:tc>
          <w:tcPr>
            <w:tcW w:type="dxa" w:w="1191"/>
            <w:shd w:val="clear" w:color="auto" w:fill="FAFAFB"/>
            <w:vAlign w:val="center"/>
          </w:tcPr>
          <w:p>
            <w:pPr>
              <w:spacing w:after="20" w:line="252" w:lineRule="auto"/>
            </w:pPr>
            <w:r>
              <w:rPr>
                <w:b/>
                <w:color w:val="20242B"/>
                <w:sz w:val="18"/>
                <w:shd w:val="clear" w:color="auto" w:fill="FFF1A8"/>
              </w:rPr>
              <w:t>[[ ]]</w:t>
            </w:r>
          </w:p>
        </w:tc>
        <w:tc>
          <w:tcPr>
            <w:tcW w:type="dxa" w:w="1871"/>
            <w:shd w:val="clear" w:color="auto" w:fill="FAFAFB"/>
            <w:vAlign w:val="center"/>
          </w:tcPr>
          <w:p>
            <w:pPr>
              <w:spacing w:after="20" w:line="252" w:lineRule="auto"/>
            </w:pPr>
            <w:r>
              <w:rPr>
                <w:b/>
                <w:color w:val="20242B"/>
                <w:sz w:val="18"/>
                <w:shd w:val="clear" w:color="auto" w:fill="FFF1A8"/>
              </w:rPr>
              <w:t>[[e.g. +10 points]]</w:t>
            </w:r>
          </w:p>
        </w:tc>
        <w:tc>
          <w:tcPr>
            <w:tcW w:type="dxa" w:w="1134"/>
            <w:shd w:val="clear" w:color="auto" w:fill="FAFAFB"/>
            <w:vAlign w:val="center"/>
          </w:tcPr>
          <w:p>
            <w:pPr>
              <w:spacing w:after="20" w:line="252" w:lineRule="auto"/>
            </w:pPr>
            <w:r>
              <w:rPr>
                <w:sz w:val="18"/>
              </w:rPr>
              <w:t>Day 60</w:t>
            </w:r>
          </w:p>
        </w:tc>
      </w:tr>
    </w:tbl>
    <w:p>
      <w:pPr>
        <w:spacing w:after="0" w:line="120" w:lineRule="exact"/>
      </w:pPr>
    </w:p>
    <w:p>
      <w:pPr>
        <w:pStyle w:val="Heading1"/>
      </w:pPr>
      <w:r>
        <w:rPr/>
        <w:t>4. Recommended solution</w:t>
      </w:r>
    </w:p>
    <w:p>
      <w:pPr>
        <w:pStyle w:val="Heading2"/>
      </w:pPr>
      <w:r>
        <w:rPr/>
        <w:t>AI agents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I agents and role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Agent</w:t>
            </w:r>
          </w:p>
        </w:tc>
        <w:tc>
          <w:tcPr>
            <w:tcW w:type="dxa" w:w="7030"/>
            <w:shd w:val="clear" w:color="auto" w:fill="FF6A00"/>
            <w:vAlign w:val="center"/>
          </w:tcPr>
          <w:p>
            <w:pPr>
              <w:keepNext/>
              <w:spacing w:after="20" w:line="252" w:lineRule="auto"/>
            </w:pPr>
            <w:r>
              <w:rPr>
                <w:rFonts w:ascii="Poppins" w:hAnsi="Poppins" w:cs="Poppins" w:eastAsia="Poppins"/>
                <w:b/>
                <w:color w:val="20242B"/>
                <w:sz w:val="19"/>
              </w:rPr>
              <w:t xml:space="preserve">Role for </w:t>
            </w:r>
            <w:r>
              <w:rPr>
                <w:rFonts w:ascii="Poppins" w:hAnsi="Poppins" w:cs="Poppins" w:eastAsia="Poppins"/>
                <w:b/>
                <w:color w:val="20242B"/>
                <w:sz w:val="19"/>
                <w:shd w:val="clear" w:color="auto" w:fill="FFF1A8"/>
              </w:rPr>
              <w:t>[[CLIENT NAME]]</w:t>
            </w:r>
          </w:p>
        </w:tc>
      </w:tr>
      <w:tr>
        <w:trPr>
          <w:cantSplit/>
        </w:trPr>
        <w:tc>
          <w:tcPr>
            <w:tcW w:type="dxa" w:w="2608"/>
            <w:vAlign w:val="center"/>
          </w:tcPr>
          <w:p>
            <w:pPr>
              <w:spacing w:after="20" w:line="252" w:lineRule="auto"/>
            </w:pPr>
            <w:r>
              <w:rPr>
                <w:b/>
                <w:sz w:val="19"/>
              </w:rPr>
              <w:t>Strategist</w:t>
            </w:r>
          </w:p>
        </w:tc>
        <w:tc>
          <w:tcPr>
            <w:tcW w:type="dxa" w:w="7030"/>
            <w:vAlign w:val="center"/>
          </w:tcPr>
          <w:p>
            <w:pPr>
              <w:spacing w:after="20" w:line="252" w:lineRule="auto"/>
            </w:pPr>
            <w:r>
              <w:rPr>
                <w:sz w:val="19"/>
              </w:rPr>
              <w:t>Breaks the goal into campaigns, allocates budget across channels and forecasts ROI.</w:t>
            </w:r>
          </w:p>
        </w:tc>
      </w:tr>
      <w:tr>
        <w:trPr>
          <w:cantSplit/>
        </w:trPr>
        <w:tc>
          <w:tcPr>
            <w:tcW w:type="dxa" w:w="2608"/>
            <w:shd w:val="clear" w:color="auto" w:fill="FAFAFB"/>
            <w:vAlign w:val="center"/>
          </w:tcPr>
          <w:p>
            <w:pPr>
              <w:spacing w:after="20" w:line="252" w:lineRule="auto"/>
            </w:pPr>
            <w:r>
              <w:rPr>
                <w:b/>
                <w:sz w:val="19"/>
              </w:rPr>
              <w:t>Creator</w:t>
            </w:r>
          </w:p>
        </w:tc>
        <w:tc>
          <w:tcPr>
            <w:tcW w:type="dxa" w:w="7030"/>
            <w:shd w:val="clear" w:color="auto" w:fill="FAFAFB"/>
            <w:vAlign w:val="center"/>
          </w:tcPr>
          <w:p>
            <w:pPr>
              <w:spacing w:after="20" w:line="252" w:lineRule="auto"/>
            </w:pPr>
            <w:r>
              <w:rPr>
                <w:sz w:val="19"/>
              </w:rPr>
              <w:t>Writes multilingual copy (</w:t>
            </w:r>
            <w:r>
              <w:rPr>
                <w:b/>
                <w:color w:val="20242B"/>
                <w:sz w:val="19"/>
                <w:shd w:val="clear" w:color="auto" w:fill="FFF1A8"/>
              </w:rPr>
              <w:t>[[LANGUAGES]]</w:t>
            </w:r>
            <w:r>
              <w:rPr>
                <w:sz w:val="19"/>
              </w:rPr>
              <w:t>) and generates images for posts, broadcasts and ads.</w:t>
            </w:r>
          </w:p>
        </w:tc>
      </w:tr>
      <w:tr>
        <w:trPr>
          <w:cantSplit/>
        </w:trPr>
        <w:tc>
          <w:tcPr>
            <w:tcW w:type="dxa" w:w="2608"/>
            <w:vAlign w:val="center"/>
          </w:tcPr>
          <w:p>
            <w:pPr>
              <w:spacing w:after="20" w:line="252" w:lineRule="auto"/>
            </w:pPr>
            <w:r>
              <w:rPr>
                <w:b/>
                <w:sz w:val="19"/>
              </w:rPr>
              <w:t>Publisher</w:t>
            </w:r>
          </w:p>
        </w:tc>
        <w:tc>
          <w:tcPr>
            <w:tcW w:type="dxa" w:w="7030"/>
            <w:vAlign w:val="center"/>
          </w:tcPr>
          <w:p>
            <w:pPr>
              <w:spacing w:after="20" w:line="252" w:lineRule="auto"/>
            </w:pPr>
            <w:r>
              <w:rPr>
                <w:sz w:val="19"/>
              </w:rPr>
              <w:t>Schedules content, runs WhatsApp catalog and checkout flows.</w:t>
            </w:r>
          </w:p>
        </w:tc>
      </w:tr>
      <w:tr>
        <w:trPr>
          <w:cantSplit/>
        </w:trPr>
        <w:tc>
          <w:tcPr>
            <w:tcW w:type="dxa" w:w="2608"/>
            <w:shd w:val="clear" w:color="auto" w:fill="FAFAFB"/>
            <w:vAlign w:val="center"/>
          </w:tcPr>
          <w:p>
            <w:pPr>
              <w:spacing w:after="20" w:line="252" w:lineRule="auto"/>
            </w:pPr>
            <w:r>
              <w:rPr>
                <w:b/>
                <w:sz w:val="19"/>
              </w:rPr>
              <w:t>Analyst</w:t>
            </w:r>
          </w:p>
        </w:tc>
        <w:tc>
          <w:tcPr>
            <w:tcW w:type="dxa" w:w="7030"/>
            <w:shd w:val="clear" w:color="auto" w:fill="FAFAFB"/>
            <w:vAlign w:val="center"/>
          </w:tcPr>
          <w:p>
            <w:pPr>
              <w:spacing w:after="20" w:line="252" w:lineRule="auto"/>
            </w:pPr>
            <w:r>
              <w:rPr>
                <w:sz w:val="19"/>
              </w:rPr>
              <w:t>Keeps campaign memory, runs cohort analysis and optimises what's working.</w:t>
            </w:r>
          </w:p>
        </w:tc>
      </w:tr>
      <w:tr>
        <w:trPr>
          <w:cantSplit/>
        </w:trPr>
        <w:tc>
          <w:tcPr>
            <w:tcW w:type="dxa" w:w="2608"/>
            <w:vAlign w:val="center"/>
          </w:tcPr>
          <w:p>
            <w:pPr>
              <w:spacing w:after="20" w:line="252" w:lineRule="auto"/>
            </w:pPr>
            <w:r>
              <w:rPr>
                <w:b/>
                <w:sz w:val="19"/>
              </w:rPr>
              <w:t>Specialist Flux agents (as needed)</w:t>
            </w:r>
          </w:p>
        </w:tc>
        <w:tc>
          <w:tcPr>
            <w:tcW w:type="dxa" w:w="7030"/>
            <w:vAlign w:val="center"/>
          </w:tcPr>
          <w:p>
            <w:pPr>
              <w:spacing w:after="20" w:line="252" w:lineRule="auto"/>
            </w:pPr>
            <w:r>
              <w:rPr>
                <w:b/>
                <w:color w:val="20242B"/>
                <w:sz w:val="19"/>
                <w:shd w:val="clear" w:color="auto" w:fill="FFF1A8"/>
              </w:rPr>
              <w:t>[[e.g. Flux Sales, Support, Commerce, Nurture, Insights]]</w:t>
            </w:r>
            <w:r>
              <w:rPr>
                <w:sz w:val="19"/>
              </w:rPr>
              <w:t xml:space="preserve"> from the 23 specialist agents and the AI Agent Marketplace.</w:t>
            </w:r>
          </w:p>
        </w:tc>
      </w:tr>
    </w:tbl>
    <w:p>
      <w:pPr>
        <w:spacing w:after="0" w:line="120" w:lineRule="exact"/>
      </w:pPr>
    </w:p>
    <w:p>
      <w:pPr>
        <w:pStyle w:val="Heading2"/>
      </w:pPr>
      <w:r>
        <w:rPr/>
        <w:t>Channels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hannels and status"/>
      </w:tblPr>
      <w:tblGrid>
        <w:gridCol w:w="2607"/>
        <w:gridCol w:w="4988"/>
        <w:gridCol w:w="2040"/>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Channel</w:t>
            </w:r>
          </w:p>
        </w:tc>
        <w:tc>
          <w:tcPr>
            <w:tcW w:type="dxa" w:w="4989"/>
            <w:shd w:val="clear" w:color="auto" w:fill="FF6A00"/>
            <w:vAlign w:val="center"/>
          </w:tcPr>
          <w:p>
            <w:pPr>
              <w:keepNext/>
              <w:spacing w:after="20" w:line="252" w:lineRule="auto"/>
            </w:pPr>
            <w:r>
              <w:rPr>
                <w:rFonts w:ascii="Poppins" w:hAnsi="Poppins" w:cs="Poppins" w:eastAsia="Poppins"/>
                <w:b/>
                <w:color w:val="20242B"/>
                <w:sz w:val="19"/>
              </w:rPr>
              <w:t>Use</w:t>
            </w:r>
          </w:p>
        </w:tc>
        <w:tc>
          <w:tcPr>
            <w:tcW w:type="dxa" w:w="2041"/>
            <w:shd w:val="clear" w:color="auto" w:fill="FF6A00"/>
            <w:vAlign w:val="center"/>
          </w:tcPr>
          <w:p>
            <w:pPr>
              <w:keepNext/>
              <w:spacing w:after="20" w:line="252" w:lineRule="auto"/>
            </w:pPr>
            <w:r>
              <w:rPr>
                <w:rFonts w:ascii="Poppins" w:hAnsi="Poppins" w:cs="Poppins" w:eastAsia="Poppins"/>
                <w:b/>
                <w:color w:val="20242B"/>
                <w:sz w:val="19"/>
              </w:rPr>
              <w:t>Status</w:t>
            </w:r>
          </w:p>
        </w:tc>
      </w:tr>
      <w:tr>
        <w:trPr>
          <w:cantSplit/>
        </w:trPr>
        <w:tc>
          <w:tcPr>
            <w:tcW w:type="dxa" w:w="2608"/>
            <w:vAlign w:val="center"/>
          </w:tcPr>
          <w:p>
            <w:pPr>
              <w:spacing w:after="20" w:line="252" w:lineRule="auto"/>
            </w:pPr>
            <w:r>
              <w:rPr>
                <w:b/>
                <w:sz w:val="19"/>
              </w:rPr>
              <w:t>WhatsApp (Cloud API)</w:t>
            </w:r>
          </w:p>
        </w:tc>
        <w:tc>
          <w:tcPr>
            <w:tcW w:type="dxa" w:w="4989"/>
            <w:vAlign w:val="center"/>
          </w:tcPr>
          <w:p>
            <w:pPr>
              <w:spacing w:after="20" w:line="252" w:lineRule="auto"/>
            </w:pPr>
            <w:r>
              <w:rPr>
                <w:sz w:val="19"/>
              </w:rPr>
              <w:t>Chatbot, WhatsApp Flows, broadcasts with approved templates, catalog and checkout</w:t>
            </w:r>
          </w:p>
        </w:tc>
        <w:tc>
          <w:tcPr>
            <w:tcW w:type="dxa" w:w="2041"/>
            <w:vAlign w:val="center"/>
          </w:tcPr>
          <w:p>
            <w:pPr>
              <w:spacing w:after="20" w:line="252" w:lineRule="auto"/>
            </w:pPr>
            <w:r>
              <w:rPr>
                <w:sz w:val="19"/>
              </w:rPr>
              <w:t>Live</w:t>
            </w:r>
          </w:p>
        </w:tc>
      </w:tr>
      <w:tr>
        <w:trPr>
          <w:cantSplit/>
        </w:trPr>
        <w:tc>
          <w:tcPr>
            <w:tcW w:type="dxa" w:w="2608"/>
            <w:shd w:val="clear" w:color="auto" w:fill="FAFAFB"/>
            <w:vAlign w:val="center"/>
          </w:tcPr>
          <w:p>
            <w:pPr>
              <w:spacing w:after="20" w:line="252" w:lineRule="auto"/>
            </w:pPr>
            <w:r>
              <w:rPr>
                <w:b/>
                <w:sz w:val="19"/>
              </w:rPr>
              <w:t>Facebook Page and Messenger</w:t>
            </w:r>
          </w:p>
        </w:tc>
        <w:tc>
          <w:tcPr>
            <w:tcW w:type="dxa" w:w="4989"/>
            <w:shd w:val="clear" w:color="auto" w:fill="FAFAFB"/>
            <w:vAlign w:val="center"/>
          </w:tcPr>
          <w:p>
            <w:pPr>
              <w:spacing w:after="20" w:line="252" w:lineRule="auto"/>
            </w:pPr>
            <w:r>
              <w:rPr>
                <w:sz w:val="19"/>
              </w:rPr>
              <w:t>Scheduled posts, Messenger bot, social metrics</w:t>
            </w:r>
          </w:p>
        </w:tc>
        <w:tc>
          <w:tcPr>
            <w:tcW w:type="dxa" w:w="2041"/>
            <w:shd w:val="clear" w:color="auto" w:fill="FAFAFB"/>
            <w:vAlign w:val="center"/>
          </w:tcPr>
          <w:p>
            <w:pPr>
              <w:spacing w:after="20" w:line="252" w:lineRule="auto"/>
            </w:pPr>
            <w:r>
              <w:rPr>
                <w:sz w:val="19"/>
              </w:rPr>
              <w:t>Live</w:t>
            </w:r>
          </w:p>
        </w:tc>
      </w:tr>
      <w:tr>
        <w:trPr>
          <w:cantSplit/>
        </w:trPr>
        <w:tc>
          <w:tcPr>
            <w:tcW w:type="dxa" w:w="2608"/>
            <w:vAlign w:val="center"/>
          </w:tcPr>
          <w:p>
            <w:pPr>
              <w:spacing w:after="20" w:line="252" w:lineRule="auto"/>
            </w:pPr>
            <w:r>
              <w:rPr>
                <w:b/>
                <w:sz w:val="19"/>
              </w:rPr>
              <w:t>Instagram</w:t>
            </w:r>
          </w:p>
        </w:tc>
        <w:tc>
          <w:tcPr>
            <w:tcW w:type="dxa" w:w="4989"/>
            <w:vAlign w:val="center"/>
          </w:tcPr>
          <w:p>
            <w:pPr>
              <w:spacing w:after="20" w:line="252" w:lineRule="auto"/>
            </w:pPr>
            <w:r>
              <w:rPr>
                <w:sz w:val="19"/>
              </w:rPr>
              <w:t>Publishing, comments and DMs</w:t>
            </w:r>
          </w:p>
        </w:tc>
        <w:tc>
          <w:tcPr>
            <w:tcW w:type="dxa" w:w="2041"/>
            <w:vAlign w:val="center"/>
          </w:tcPr>
          <w:p>
            <w:pPr>
              <w:spacing w:after="20" w:line="252" w:lineRule="auto"/>
            </w:pPr>
            <w:r>
              <w:rPr>
                <w:sz w:val="19"/>
              </w:rPr>
              <w:t>Pending Meta approval, not live</w:t>
            </w:r>
          </w:p>
        </w:tc>
      </w:tr>
      <w:tr>
        <w:trPr>
          <w:cantSplit/>
        </w:trPr>
        <w:tc>
          <w:tcPr>
            <w:tcW w:type="dxa" w:w="2608"/>
            <w:shd w:val="clear" w:color="auto" w:fill="FAFAFB"/>
            <w:vAlign w:val="center"/>
          </w:tcPr>
          <w:p>
            <w:pPr>
              <w:spacing w:after="20" w:line="252" w:lineRule="auto"/>
            </w:pPr>
            <w:r>
              <w:rPr>
                <w:b/>
                <w:sz w:val="19"/>
              </w:rPr>
              <w:t>Email</w:t>
            </w:r>
          </w:p>
        </w:tc>
        <w:tc>
          <w:tcPr>
            <w:tcW w:type="dxa" w:w="4989"/>
            <w:shd w:val="clear" w:color="auto" w:fill="FAFAFB"/>
            <w:vAlign w:val="center"/>
          </w:tcPr>
          <w:p>
            <w:pPr>
              <w:spacing w:after="20" w:line="252" w:lineRule="auto"/>
            </w:pPr>
            <w:r>
              <w:rPr>
                <w:sz w:val="19"/>
              </w:rPr>
              <w:t>Sending domains, sequences, suppression lists</w:t>
            </w:r>
          </w:p>
        </w:tc>
        <w:tc>
          <w:tcPr>
            <w:tcW w:type="dxa" w:w="2041"/>
            <w:shd w:val="clear" w:color="auto" w:fill="FAFAFB"/>
            <w:vAlign w:val="center"/>
          </w:tcPr>
          <w:p>
            <w:pPr>
              <w:spacing w:after="20" w:line="252" w:lineRule="auto"/>
            </w:pPr>
            <w:r>
              <w:rPr>
                <w:sz w:val="19"/>
              </w:rPr>
              <w:t>Live</w:t>
            </w:r>
          </w:p>
        </w:tc>
      </w:tr>
      <w:tr>
        <w:trPr>
          <w:cantSplit/>
        </w:trPr>
        <w:tc>
          <w:tcPr>
            <w:tcW w:type="dxa" w:w="2608"/>
            <w:vAlign w:val="center"/>
          </w:tcPr>
          <w:p>
            <w:pPr>
              <w:spacing w:after="20" w:line="252" w:lineRule="auto"/>
            </w:pPr>
            <w:r>
              <w:rPr>
                <w:b/>
                <w:sz w:val="19"/>
              </w:rPr>
              <w:t>SMS and USSD</w:t>
            </w:r>
          </w:p>
        </w:tc>
        <w:tc>
          <w:tcPr>
            <w:tcW w:type="dxa" w:w="4989"/>
            <w:vAlign w:val="center"/>
          </w:tcPr>
          <w:p>
            <w:pPr>
              <w:spacing w:after="20" w:line="252" w:lineRule="auto"/>
            </w:pPr>
            <w:r>
              <w:rPr>
                <w:sz w:val="19"/>
              </w:rPr>
              <w:t>SMS broadcasts; USSD menus for feature phones (Growth)</w:t>
            </w:r>
          </w:p>
        </w:tc>
        <w:tc>
          <w:tcPr>
            <w:tcW w:type="dxa" w:w="2041"/>
            <w:vAlign w:val="center"/>
          </w:tcPr>
          <w:p>
            <w:pPr>
              <w:spacing w:after="20" w:line="252" w:lineRule="auto"/>
            </w:pPr>
            <w:r>
              <w:rPr>
                <w:sz w:val="19"/>
              </w:rPr>
              <w:t>Live</w:t>
            </w:r>
          </w:p>
        </w:tc>
      </w:tr>
      <w:tr>
        <w:trPr>
          <w:cantSplit/>
        </w:trPr>
        <w:tc>
          <w:tcPr>
            <w:tcW w:type="dxa" w:w="2608"/>
            <w:shd w:val="clear" w:color="auto" w:fill="FAFAFB"/>
            <w:vAlign w:val="center"/>
          </w:tcPr>
          <w:p>
            <w:pPr>
              <w:spacing w:after="20" w:line="252" w:lineRule="auto"/>
            </w:pPr>
            <w:r>
              <w:rPr>
                <w:b/>
                <w:sz w:val="19"/>
              </w:rPr>
              <w:t>Website chat widget, landing pages, link-in-bio</w:t>
            </w:r>
          </w:p>
        </w:tc>
        <w:tc>
          <w:tcPr>
            <w:tcW w:type="dxa" w:w="4989"/>
            <w:shd w:val="clear" w:color="auto" w:fill="FAFAFB"/>
            <w:vAlign w:val="center"/>
          </w:tcPr>
          <w:p>
            <w:pPr>
              <w:spacing w:after="20" w:line="252" w:lineRule="auto"/>
            </w:pPr>
            <w:r>
              <w:rPr>
                <w:sz w:val="19"/>
              </w:rPr>
              <w:t>Capture and convert traffic into WhatsApp chats</w:t>
            </w:r>
          </w:p>
        </w:tc>
        <w:tc>
          <w:tcPr>
            <w:tcW w:type="dxa" w:w="2041"/>
            <w:shd w:val="clear" w:color="auto" w:fill="FAFAFB"/>
            <w:vAlign w:val="center"/>
          </w:tcPr>
          <w:p>
            <w:pPr>
              <w:spacing w:after="20" w:line="252" w:lineRule="auto"/>
            </w:pPr>
            <w:r>
              <w:rPr>
                <w:sz w:val="19"/>
              </w:rPr>
              <w:t>Live</w:t>
            </w:r>
          </w:p>
        </w:tc>
      </w:tr>
    </w:tbl>
    <w:p>
      <w:pPr>
        <w:spacing w:after="0" w:line="120" w:lineRule="exact"/>
      </w:pPr>
    </w:p>
    <w:p>
      <w:pPr>
        <w:pStyle w:val="Heading2"/>
      </w:pPr>
      <w:r>
        <w:rPr/>
        <w:t>WhatsApp commerce</w:t>
      </w:r>
    </w:p>
    <w:p>
      <w:pPr>
        <w:pStyle w:val="ListBullet"/>
      </w:pPr>
      <w:r>
        <w:rPr/>
        <w:t xml:space="preserve">Catalog of </w:t>
      </w:r>
      <w:r>
        <w:rPr>
          <w:b/>
          <w:color w:val="20242B"/>
          <w:shd w:val="clear" w:color="auto" w:fill="FFF1A8"/>
        </w:rPr>
        <w:t>[[N]]</w:t>
      </w:r>
      <w:r>
        <w:rPr/>
        <w:t xml:space="preserve"> products synced from </w:t>
      </w:r>
      <w:r>
        <w:rPr>
          <w:b/>
          <w:color w:val="20242B"/>
          <w:shd w:val="clear" w:color="auto" w:fill="FFF1A8"/>
        </w:rPr>
        <w:t>[[Shopify / WooCommerce / manual upload]]</w:t>
      </w:r>
      <w:r>
        <w:rPr/>
        <w:t>.</w:t>
      </w:r>
    </w:p>
    <w:p>
      <w:pPr>
        <w:pStyle w:val="ListBullet"/>
      </w:pPr>
      <w:r>
        <w:rPr/>
        <w:t xml:space="preserve">Cart checkout inside the chat, paid through </w:t>
      </w:r>
      <w:r>
        <w:rPr>
          <w:b/>
          <w:color w:val="20242B"/>
          <w:shd w:val="clear" w:color="auto" w:fill="FFF1A8"/>
        </w:rPr>
        <w:t>[[Yoco / Ozow / Paystack]]</w:t>
      </w:r>
      <w:r>
        <w:rPr/>
        <w:t>, with order status notifications.</w:t>
      </w:r>
    </w:p>
    <w:p>
      <w:pPr>
        <w:pStyle w:val="ListBullet"/>
      </w:pPr>
      <w:r>
        <w:rPr/>
        <w:t>Abandoned-cart recovery messages and segments for retargeting.</w:t>
      </w:r>
    </w:p>
    <w:p>
      <w:pPr>
        <w:pStyle w:val="ListBullet"/>
      </w:pPr>
      <w:r>
        <w:rPr/>
        <w:t>wa.me short links and QR codes for ads, packaging, in-store and staff.</w:t>
      </w:r>
    </w:p>
    <w:p>
      <w:pPr>
        <w:pStyle w:val="Heading2"/>
      </w:pPr>
      <w:r>
        <w:rPr/>
        <w:t>Integrations (tick what applies)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Integrations checklist"/>
      </w:tblPr>
      <w:tblGrid>
        <w:gridCol w:w="1020"/>
        <w:gridCol w:w="2267"/>
        <w:gridCol w:w="6349"/>
      </w:tblGrid>
      <w:tr>
        <w:trPr>
          <w:cantSplit/>
          <w:tblHeader/>
        </w:trPr>
        <w:tc>
          <w:tcPr>
            <w:tcW w:type="dxa" w:w="1020"/>
            <w:shd w:val="clear" w:color="auto" w:fill="FF6A00"/>
            <w:vAlign w:val="center"/>
          </w:tcPr>
          <w:p>
            <w:pPr>
              <w:keepNext/>
              <w:spacing w:after="20" w:line="252" w:lineRule="auto"/>
              <w:jc w:val="center"/>
            </w:pPr>
            <w:r>
              <w:rPr>
                <w:rFonts w:ascii="Poppins" w:hAnsi="Poppins" w:cs="Poppins" w:eastAsia="Poppins"/>
                <w:b/>
                <w:color w:val="20242B"/>
                <w:sz w:val="19"/>
              </w:rPr>
              <w:t>Applies</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Integration</w:t>
            </w:r>
          </w:p>
        </w:tc>
        <w:tc>
          <w:tcPr>
            <w:tcW w:type="dxa" w:w="6350"/>
            <w:shd w:val="clear" w:color="auto" w:fill="FF6A00"/>
            <w:vAlign w:val="center"/>
          </w:tcPr>
          <w:p>
            <w:pPr>
              <w:keepNext/>
              <w:spacing w:after="20" w:line="252" w:lineRule="auto"/>
            </w:pPr>
            <w:r>
              <w:rPr>
                <w:rFonts w:ascii="Poppins" w:hAnsi="Poppins" w:cs="Poppins" w:eastAsia="Poppins"/>
                <w:b/>
                <w:color w:val="20242B"/>
                <w:sz w:val="19"/>
              </w:rPr>
              <w:t>What it does for the pilot</w:t>
            </w:r>
          </w:p>
        </w:tc>
      </w:tr>
      <w:tr>
        <w:trPr>
          <w:cantSplit/>
        </w:trPr>
        <w:tc>
          <w:tcPr>
            <w:tcW w:type="dxa" w:w="1020"/>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vAlign w:val="center"/>
          </w:tcPr>
          <w:p>
            <w:pPr>
              <w:spacing w:after="20" w:line="252" w:lineRule="auto"/>
            </w:pPr>
            <w:r>
              <w:rPr>
                <w:sz w:val="19"/>
              </w:rPr>
              <w:t>Shopify</w:t>
            </w:r>
          </w:p>
        </w:tc>
        <w:tc>
          <w:tcPr>
            <w:tcW w:type="dxa" w:w="6350"/>
            <w:vAlign w:val="center"/>
          </w:tcPr>
          <w:p>
            <w:pPr>
              <w:spacing w:after="20" w:line="252" w:lineRule="auto"/>
            </w:pPr>
            <w:r>
              <w:rPr>
                <w:sz w:val="19"/>
              </w:rPr>
              <w:t>Sync products, stock and orders with the WhatsApp catalog</w:t>
            </w:r>
          </w:p>
        </w:tc>
      </w:tr>
      <w:tr>
        <w:trPr>
          <w:cantSplit/>
        </w:trPr>
        <w:tc>
          <w:tcPr>
            <w:tcW w:type="dxa" w:w="1020"/>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shd w:val="clear" w:color="auto" w:fill="FAFAFB"/>
            <w:vAlign w:val="center"/>
          </w:tcPr>
          <w:p>
            <w:pPr>
              <w:spacing w:after="20" w:line="252" w:lineRule="auto"/>
            </w:pPr>
            <w:r>
              <w:rPr>
                <w:sz w:val="19"/>
              </w:rPr>
              <w:t>WooCommerce</w:t>
            </w:r>
          </w:p>
        </w:tc>
        <w:tc>
          <w:tcPr>
            <w:tcW w:type="dxa" w:w="6350"/>
            <w:shd w:val="clear" w:color="auto" w:fill="FAFAFB"/>
            <w:vAlign w:val="center"/>
          </w:tcPr>
          <w:p>
            <w:pPr>
              <w:spacing w:after="20" w:line="252" w:lineRule="auto"/>
            </w:pPr>
            <w:r>
              <w:rPr>
                <w:sz w:val="19"/>
              </w:rPr>
              <w:t>Sync products and orders from the website store</w:t>
            </w:r>
          </w:p>
        </w:tc>
      </w:tr>
      <w:tr>
        <w:trPr>
          <w:cantSplit/>
        </w:trPr>
        <w:tc>
          <w:tcPr>
            <w:tcW w:type="dxa" w:w="1020"/>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vAlign w:val="center"/>
          </w:tcPr>
          <w:p>
            <w:pPr>
              <w:spacing w:after="20" w:line="252" w:lineRule="auto"/>
            </w:pPr>
            <w:r>
              <w:rPr>
                <w:sz w:val="19"/>
              </w:rPr>
              <w:t>Takealot</w:t>
            </w:r>
          </w:p>
        </w:tc>
        <w:tc>
          <w:tcPr>
            <w:tcW w:type="dxa" w:w="6350"/>
            <w:vAlign w:val="center"/>
          </w:tcPr>
          <w:p>
            <w:pPr>
              <w:spacing w:after="20" w:line="252" w:lineRule="auto"/>
            </w:pPr>
            <w:r>
              <w:rPr>
                <w:sz w:val="19"/>
              </w:rPr>
              <w:t xml:space="preserve">Keep marketplace listings and campaigns aligned </w:t>
            </w:r>
            <w:r>
              <w:rPr>
                <w:b/>
                <w:color w:val="20242B"/>
                <w:sz w:val="19"/>
                <w:shd w:val="clear" w:color="auto" w:fill="FFF1A8"/>
              </w:rPr>
              <w:t>[[CONFIRM SCOPE]]</w:t>
            </w:r>
          </w:p>
        </w:tc>
      </w:tr>
      <w:tr>
        <w:trPr>
          <w:cantSplit/>
        </w:trPr>
        <w:tc>
          <w:tcPr>
            <w:tcW w:type="dxa" w:w="1020"/>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shd w:val="clear" w:color="auto" w:fill="FAFAFB"/>
            <w:vAlign w:val="center"/>
          </w:tcPr>
          <w:p>
            <w:pPr>
              <w:spacing w:after="20" w:line="252" w:lineRule="auto"/>
            </w:pPr>
            <w:r>
              <w:rPr>
                <w:sz w:val="19"/>
              </w:rPr>
              <w:t>HubSpot / CRM sync</w:t>
            </w:r>
          </w:p>
        </w:tc>
        <w:tc>
          <w:tcPr>
            <w:tcW w:type="dxa" w:w="6350"/>
            <w:shd w:val="clear" w:color="auto" w:fill="FAFAFB"/>
            <w:vAlign w:val="center"/>
          </w:tcPr>
          <w:p>
            <w:pPr>
              <w:spacing w:after="20" w:line="252" w:lineRule="auto"/>
            </w:pPr>
            <w:r>
              <w:rPr>
                <w:sz w:val="19"/>
              </w:rPr>
              <w:t>Push leads, deals and conversations to the CRM</w:t>
            </w:r>
          </w:p>
        </w:tc>
      </w:tr>
      <w:tr>
        <w:trPr>
          <w:cantSplit/>
        </w:trPr>
        <w:tc>
          <w:tcPr>
            <w:tcW w:type="dxa" w:w="1020"/>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vAlign w:val="center"/>
          </w:tcPr>
          <w:p>
            <w:pPr>
              <w:spacing w:after="20" w:line="252" w:lineRule="auto"/>
            </w:pPr>
            <w:r>
              <w:rPr>
                <w:sz w:val="19"/>
              </w:rPr>
              <w:t>Accounting sync</w:t>
            </w:r>
          </w:p>
        </w:tc>
        <w:tc>
          <w:tcPr>
            <w:tcW w:type="dxa" w:w="6350"/>
            <w:vAlign w:val="center"/>
          </w:tcPr>
          <w:p>
            <w:pPr>
              <w:spacing w:after="20" w:line="252" w:lineRule="auto"/>
            </w:pPr>
            <w:r>
              <w:rPr>
                <w:sz w:val="19"/>
              </w:rPr>
              <w:t xml:space="preserve">Send orders and payments to </w:t>
            </w:r>
            <w:r>
              <w:rPr>
                <w:b/>
                <w:color w:val="20242B"/>
                <w:sz w:val="19"/>
                <w:shd w:val="clear" w:color="auto" w:fill="FFF1A8"/>
              </w:rPr>
              <w:t>[[ACCOUNTING PACKAGE]]</w:t>
            </w:r>
          </w:p>
        </w:tc>
      </w:tr>
      <w:tr>
        <w:trPr>
          <w:cantSplit/>
        </w:trPr>
        <w:tc>
          <w:tcPr>
            <w:tcW w:type="dxa" w:w="1020"/>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shd w:val="clear" w:color="auto" w:fill="FAFAFB"/>
            <w:vAlign w:val="center"/>
          </w:tcPr>
          <w:p>
            <w:pPr>
              <w:spacing w:after="20" w:line="252" w:lineRule="auto"/>
            </w:pPr>
            <w:r>
              <w:rPr>
                <w:sz w:val="19"/>
              </w:rPr>
              <w:t>Slack</w:t>
            </w:r>
          </w:p>
        </w:tc>
        <w:tc>
          <w:tcPr>
            <w:tcW w:type="dxa" w:w="6350"/>
            <w:shd w:val="clear" w:color="auto" w:fill="FAFAFB"/>
            <w:vAlign w:val="center"/>
          </w:tcPr>
          <w:p>
            <w:pPr>
              <w:spacing w:after="20" w:line="252" w:lineRule="auto"/>
            </w:pPr>
            <w:r>
              <w:rPr>
                <w:sz w:val="19"/>
              </w:rPr>
              <w:t>Alerts for escalations, big orders and approvals</w:t>
            </w:r>
          </w:p>
        </w:tc>
      </w:tr>
      <w:tr>
        <w:trPr>
          <w:cantSplit/>
        </w:trPr>
        <w:tc>
          <w:tcPr>
            <w:tcW w:type="dxa" w:w="1020"/>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c>
          <w:tcPr>
            <w:tcW w:type="dxa" w:w="2268"/>
            <w:vAlign w:val="center"/>
          </w:tcPr>
          <w:p>
            <w:pPr>
              <w:spacing w:after="20" w:line="252" w:lineRule="auto"/>
            </w:pPr>
            <w:r>
              <w:rPr>
                <w:sz w:val="19"/>
              </w:rPr>
              <w:t>Zapier and public API</w:t>
            </w:r>
          </w:p>
        </w:tc>
        <w:tc>
          <w:tcPr>
            <w:tcW w:type="dxa" w:w="6350"/>
            <w:vAlign w:val="center"/>
          </w:tcPr>
          <w:p>
            <w:pPr>
              <w:spacing w:after="20" w:line="252" w:lineRule="auto"/>
            </w:pPr>
            <w:r>
              <w:rPr>
                <w:sz w:val="19"/>
              </w:rPr>
              <w:t>Connect other tools (API access is on Scale)</w:t>
            </w:r>
          </w:p>
        </w:tc>
      </w:tr>
    </w:tbl>
    <w:p>
      <w:pPr>
        <w:spacing w:after="0" w:line="120" w:lineRule="exact"/>
      </w:pPr>
    </w:p>
    <w:p>
      <w:pPr>
        <w:pStyle w:val="Heading2"/>
      </w:pPr>
      <w:r>
        <w:rPr/>
        <w:t>Growth and CRM</w:t>
      </w:r>
    </w:p>
    <w:p>
      <w:r>
        <w:rPr/>
        <w:t>Lead scoring, CRM deals, customer segmentation, loyalty programmes, churn-risk scoring, sentiment analysis with escalation, A/B testing, competitor tracking and custom reports. Workflows run in Flux Automate.</w:t>
      </w:r>
    </w:p>
    <w:p>
      <w:pPr>
        <w:keepNext/>
        <w:spacing w:before="120" w:after="0"/>
        <w:jc w:val="center"/>
      </w:pPr>
      <w:r>
        <w:drawing>
          <wp:inline xmlns:a="http://schemas.openxmlformats.org/drawingml/2006/main" xmlns:pic="http://schemas.openxmlformats.org/drawingml/2006/picture">
            <wp:extent cx="6120000" cy="3442500"/>
            <wp:docPr id="3" name="Picture 3" descr="Six-layer platform stack: channels, AI workforce, commerce and payments with five live rails, growth and CRM, integrations, and trust."/>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One platform from channel to checkout. Instagram is pending Meta approval and not live yet.</w:t>
      </w:r>
    </w:p>
    <w:p>
      <w:pPr>
        <w:pStyle w:val="Heading1"/>
      </w:pPr>
      <w:r>
        <w:rPr/>
        <w:t>5. Scope of work and deliverables</w:t>
      </w:r>
    </w:p>
    <w:p>
      <w:r>
        <w:rPr>
          <w:b/>
          <w:sz w:val="19"/>
        </w:rPr>
        <w:t>Included</w:t>
      </w:r>
      <w:r>
        <w:rPr>
          <w:sz w:val="19"/>
        </w:rPr>
        <w:t xml:space="preserve"> = part of the FluxMuse plan. </w:t>
      </w:r>
      <w:r>
        <w:rPr>
          <w:b/>
          <w:sz w:val="19"/>
        </w:rPr>
        <w:t>Optional</w:t>
      </w:r>
      <w:r>
        <w:rPr>
          <w:sz w:val="19"/>
        </w:rPr>
        <w:t xml:space="preserve"> = a FluxMuse service at an extra fee </w:t>
      </w:r>
      <w:r>
        <w:rPr>
          <w:b/>
          <w:color w:val="20242B"/>
          <w:sz w:val="19"/>
          <w:shd w:val="clear" w:color="auto" w:fill="FFF1A8"/>
        </w:rPr>
        <w:t>[[TBC]]</w:t>
      </w:r>
      <w:r>
        <w:rPr>
          <w:sz w:val="19"/>
        </w:rPr>
        <w:t xml:space="preserve">. </w:t>
      </w:r>
      <w:r>
        <w:rPr>
          <w:b/>
          <w:sz w:val="19"/>
        </w:rPr>
        <w:t>Client</w:t>
      </w:r>
      <w:r>
        <w:rPr>
          <w:sz w:val="19"/>
        </w:rPr>
        <w:t xml:space="preserve"> = what </w:t>
      </w:r>
      <w:r>
        <w:rPr>
          <w:b/>
          <w:color w:val="20242B"/>
          <w:sz w:val="19"/>
          <w:shd w:val="clear" w:color="auto" w:fill="FFF1A8"/>
        </w:rPr>
        <w:t>[[CLIENT NAME]]</w:t>
      </w:r>
      <w:r>
        <w:rPr>
          <w:sz w:val="19"/>
        </w:rPr>
        <w:t xml:space="preserve"> provides.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cope of work: included, optional and client responsibilities"/>
      </w:tblPr>
      <w:tblGrid>
        <w:gridCol w:w="1133"/>
        <w:gridCol w:w="2494"/>
        <w:gridCol w:w="1984"/>
        <w:gridCol w:w="1870"/>
        <w:gridCol w:w="2154"/>
      </w:tblGrid>
      <w:tr>
        <w:trPr>
          <w:cantSplit/>
          <w:tblHeader/>
        </w:trPr>
        <w:tc>
          <w:tcPr>
            <w:tcW w:type="dxa" w:w="1134"/>
            <w:shd w:val="clear" w:color="auto" w:fill="FF6A00"/>
            <w:vAlign w:val="center"/>
          </w:tcPr>
          <w:p>
            <w:pPr>
              <w:keepNext/>
              <w:spacing w:after="20" w:line="252" w:lineRule="auto"/>
            </w:pPr>
            <w:r>
              <w:rPr>
                <w:rFonts w:ascii="Poppins" w:hAnsi="Poppins" w:cs="Poppins" w:eastAsia="Poppins"/>
                <w:b/>
                <w:color w:val="20242B"/>
                <w:sz w:val="17"/>
              </w:rPr>
              <w:t>Area</w:t>
            </w:r>
          </w:p>
        </w:tc>
        <w:tc>
          <w:tcPr>
            <w:tcW w:type="dxa" w:w="2494"/>
            <w:shd w:val="clear" w:color="auto" w:fill="FF6A00"/>
            <w:vAlign w:val="center"/>
          </w:tcPr>
          <w:p>
            <w:pPr>
              <w:keepNext/>
              <w:spacing w:after="20" w:line="252" w:lineRule="auto"/>
            </w:pPr>
            <w:r>
              <w:rPr>
                <w:rFonts w:ascii="Poppins" w:hAnsi="Poppins" w:cs="Poppins" w:eastAsia="Poppins"/>
                <w:b/>
                <w:color w:val="20242B"/>
                <w:sz w:val="17"/>
              </w:rPr>
              <w:t>Deliverable</w:t>
            </w:r>
          </w:p>
        </w:tc>
        <w:tc>
          <w:tcPr>
            <w:tcW w:type="dxa" w:w="1984"/>
            <w:shd w:val="clear" w:color="auto" w:fill="FF6A00"/>
            <w:vAlign w:val="center"/>
          </w:tcPr>
          <w:p>
            <w:pPr>
              <w:keepNext/>
              <w:spacing w:after="20" w:line="252" w:lineRule="auto"/>
            </w:pPr>
            <w:r>
              <w:rPr>
                <w:rFonts w:ascii="Poppins" w:hAnsi="Poppins" w:cs="Poppins" w:eastAsia="Poppins"/>
                <w:b/>
                <w:color w:val="20242B"/>
                <w:sz w:val="17"/>
              </w:rPr>
              <w:t>Included</w:t>
            </w:r>
          </w:p>
        </w:tc>
        <w:tc>
          <w:tcPr>
            <w:tcW w:type="dxa" w:w="1871"/>
            <w:shd w:val="clear" w:color="auto" w:fill="FF6A00"/>
            <w:vAlign w:val="center"/>
          </w:tcPr>
          <w:p>
            <w:pPr>
              <w:keepNext/>
              <w:spacing w:after="20" w:line="252" w:lineRule="auto"/>
            </w:pPr>
            <w:r>
              <w:rPr>
                <w:rFonts w:ascii="Poppins" w:hAnsi="Poppins" w:cs="Poppins" w:eastAsia="Poppins"/>
                <w:b/>
                <w:color w:val="20242B"/>
                <w:sz w:val="17"/>
              </w:rPr>
              <w:t xml:space="preserve">Optional </w:t>
            </w:r>
            <w:r>
              <w:rPr>
                <w:rFonts w:ascii="Poppins" w:hAnsi="Poppins" w:cs="Poppins" w:eastAsia="Poppins"/>
                <w:b/>
                <w:color w:val="20242B"/>
                <w:sz w:val="17"/>
                <w:shd w:val="clear" w:color="auto" w:fill="FFF1A8"/>
              </w:rPr>
              <w:t>[[TBC]]</w:t>
            </w:r>
          </w:p>
        </w:tc>
        <w:tc>
          <w:tcPr>
            <w:tcW w:type="dxa" w:w="2154"/>
            <w:shd w:val="clear" w:color="auto" w:fill="FF6A00"/>
            <w:vAlign w:val="center"/>
          </w:tcPr>
          <w:p>
            <w:pPr>
              <w:keepNext/>
              <w:spacing w:after="20" w:line="252" w:lineRule="auto"/>
            </w:pPr>
            <w:r>
              <w:rPr>
                <w:rFonts w:ascii="Poppins" w:hAnsi="Poppins" w:cs="Poppins" w:eastAsia="Poppins"/>
                <w:b/>
                <w:color w:val="20242B"/>
                <w:sz w:val="17"/>
              </w:rPr>
              <w:t>Client responsibility</w:t>
            </w:r>
          </w:p>
        </w:tc>
      </w:tr>
      <w:tr>
        <w:trPr>
          <w:cantSplit/>
        </w:trPr>
        <w:tc>
          <w:tcPr>
            <w:tcW w:type="dxa" w:w="1134"/>
            <w:vAlign w:val="center"/>
          </w:tcPr>
          <w:p>
            <w:pPr>
              <w:spacing w:after="20" w:line="252" w:lineRule="auto"/>
            </w:pPr>
            <w:r>
              <w:rPr>
                <w:b/>
                <w:sz w:val="17"/>
              </w:rPr>
              <w:t>Setup</w:t>
            </w:r>
          </w:p>
        </w:tc>
        <w:tc>
          <w:tcPr>
            <w:tcW w:type="dxa" w:w="2494"/>
            <w:vAlign w:val="center"/>
          </w:tcPr>
          <w:p>
            <w:pPr>
              <w:spacing w:after="20" w:line="252" w:lineRule="auto"/>
            </w:pPr>
            <w:r>
              <w:rPr>
                <w:sz w:val="17"/>
              </w:rPr>
              <w:t>WhatsApp Business number via Embedded Signup and business profile</w:t>
            </w:r>
          </w:p>
        </w:tc>
        <w:tc>
          <w:tcPr>
            <w:tcW w:type="dxa" w:w="1984"/>
            <w:vAlign w:val="center"/>
          </w:tcPr>
          <w:p>
            <w:pPr>
              <w:spacing w:after="20" w:line="252" w:lineRule="auto"/>
            </w:pPr>
            <w:r>
              <w:rPr>
                <w:sz w:val="17"/>
              </w:rPr>
              <w:t>Platform and guided onboarding call</w:t>
            </w:r>
          </w:p>
        </w:tc>
        <w:tc>
          <w:tcPr>
            <w:tcW w:type="dxa" w:w="1871"/>
            <w:vAlign w:val="center"/>
          </w:tcPr>
          <w:p>
            <w:pPr>
              <w:spacing w:after="20" w:line="252" w:lineRule="auto"/>
            </w:pPr>
            <w:r>
              <w:rPr>
                <w:sz w:val="17"/>
              </w:rPr>
              <w:t>Hands-on set-up service</w:t>
            </w:r>
          </w:p>
        </w:tc>
        <w:tc>
          <w:tcPr>
            <w:tcW w:type="dxa" w:w="2154"/>
            <w:vAlign w:val="center"/>
          </w:tcPr>
          <w:p>
            <w:pPr>
              <w:spacing w:after="20" w:line="252" w:lineRule="auto"/>
            </w:pPr>
            <w:r>
              <w:rPr>
                <w:sz w:val="17"/>
              </w:rPr>
              <w:t>Meta Business account access, number, display name</w:t>
            </w:r>
          </w:p>
        </w:tc>
      </w:tr>
      <w:tr>
        <w:trPr>
          <w:cantSplit/>
        </w:trPr>
        <w:tc>
          <w:tcPr>
            <w:tcW w:type="dxa" w:w="1134"/>
            <w:shd w:val="clear" w:color="auto" w:fill="FAFAFB"/>
            <w:vAlign w:val="center"/>
          </w:tcPr>
          <w:p>
            <w:pPr>
              <w:spacing w:after="20" w:line="252" w:lineRule="auto"/>
            </w:pPr>
            <w:r>
              <w:rPr>
                <w:b/>
                <w:sz w:val="17"/>
              </w:rPr>
              <w:t>Setup</w:t>
            </w:r>
          </w:p>
        </w:tc>
        <w:tc>
          <w:tcPr>
            <w:tcW w:type="dxa" w:w="2494"/>
            <w:shd w:val="clear" w:color="auto" w:fill="FAFAFB"/>
            <w:vAlign w:val="center"/>
          </w:tcPr>
          <w:p>
            <w:pPr>
              <w:spacing w:after="20" w:line="252" w:lineRule="auto"/>
            </w:pPr>
            <w:r>
              <w:rPr>
                <w:sz w:val="17"/>
              </w:rPr>
              <w:t xml:space="preserve">Catalog of </w:t>
            </w:r>
            <w:r>
              <w:rPr>
                <w:b/>
                <w:color w:val="20242B"/>
                <w:sz w:val="17"/>
                <w:shd w:val="clear" w:color="auto" w:fill="FFF1A8"/>
              </w:rPr>
              <w:t>[[N]]</w:t>
            </w:r>
            <w:r>
              <w:rPr>
                <w:sz w:val="17"/>
              </w:rPr>
              <w:t xml:space="preserve"> products</w:t>
            </w:r>
          </w:p>
        </w:tc>
        <w:tc>
          <w:tcPr>
            <w:tcW w:type="dxa" w:w="1984"/>
            <w:shd w:val="clear" w:color="auto" w:fill="FAFAFB"/>
            <w:vAlign w:val="center"/>
          </w:tcPr>
          <w:p>
            <w:pPr>
              <w:spacing w:after="20" w:line="252" w:lineRule="auto"/>
            </w:pPr>
            <w:r>
              <w:rPr>
                <w:sz w:val="17"/>
              </w:rPr>
              <w:t>Catalog tools and store sync</w:t>
            </w:r>
          </w:p>
        </w:tc>
        <w:tc>
          <w:tcPr>
            <w:tcW w:type="dxa" w:w="1871"/>
            <w:shd w:val="clear" w:color="auto" w:fill="FAFAFB"/>
            <w:vAlign w:val="center"/>
          </w:tcPr>
          <w:p>
            <w:pPr>
              <w:spacing w:after="20" w:line="252" w:lineRule="auto"/>
            </w:pPr>
            <w:r>
              <w:rPr>
                <w:sz w:val="17"/>
              </w:rPr>
              <w:t>Catalog build by our team</w:t>
            </w:r>
          </w:p>
        </w:tc>
        <w:tc>
          <w:tcPr>
            <w:tcW w:type="dxa" w:w="2154"/>
            <w:shd w:val="clear" w:color="auto" w:fill="FAFAFB"/>
            <w:vAlign w:val="center"/>
          </w:tcPr>
          <w:p>
            <w:pPr>
              <w:spacing w:after="20" w:line="252" w:lineRule="auto"/>
            </w:pPr>
            <w:r>
              <w:rPr>
                <w:sz w:val="17"/>
              </w:rPr>
              <w:t>Product data, images, prices, stock</w:t>
            </w:r>
          </w:p>
        </w:tc>
      </w:tr>
      <w:tr>
        <w:trPr>
          <w:cantSplit/>
        </w:trPr>
        <w:tc>
          <w:tcPr>
            <w:tcW w:type="dxa" w:w="1134"/>
            <w:vAlign w:val="center"/>
          </w:tcPr>
          <w:p>
            <w:pPr>
              <w:spacing w:after="20" w:line="252" w:lineRule="auto"/>
            </w:pPr>
            <w:r>
              <w:rPr>
                <w:b/>
                <w:sz w:val="17"/>
              </w:rPr>
              <w:t>Setup</w:t>
            </w:r>
          </w:p>
        </w:tc>
        <w:tc>
          <w:tcPr>
            <w:tcW w:type="dxa" w:w="2494"/>
            <w:vAlign w:val="center"/>
          </w:tcPr>
          <w:p>
            <w:pPr>
              <w:spacing w:after="20" w:line="252" w:lineRule="auto"/>
            </w:pPr>
            <w:r>
              <w:rPr>
                <w:sz w:val="17"/>
              </w:rPr>
              <w:t>Payment rail for checkout in chat</w:t>
            </w:r>
          </w:p>
        </w:tc>
        <w:tc>
          <w:tcPr>
            <w:tcW w:type="dxa" w:w="1984"/>
            <w:vAlign w:val="center"/>
          </w:tcPr>
          <w:p>
            <w:pPr>
              <w:spacing w:after="20" w:line="252" w:lineRule="auto"/>
            </w:pPr>
            <w:r>
              <w:rPr>
                <w:sz w:val="17"/>
              </w:rPr>
              <w:t>Yoco, Ozow or Paystack connection</w:t>
            </w:r>
          </w:p>
        </w:tc>
        <w:tc>
          <w:tcPr>
            <w:tcW w:type="dxa" w:w="1871"/>
            <w:vAlign w:val="center"/>
          </w:tcPr>
          <w:p>
            <w:pPr>
              <w:spacing w:after="20" w:line="252" w:lineRule="auto"/>
            </w:pPr>
            <w:r>
              <w:rPr>
                <w:sz w:val="17"/>
              </w:rPr>
              <w:t>–</w:t>
            </w:r>
          </w:p>
        </w:tc>
        <w:tc>
          <w:tcPr>
            <w:tcW w:type="dxa" w:w="2154"/>
            <w:vAlign w:val="center"/>
          </w:tcPr>
          <w:p>
            <w:pPr>
              <w:spacing w:after="20" w:line="252" w:lineRule="auto"/>
            </w:pPr>
            <w:r>
              <w:rPr>
                <w:sz w:val="17"/>
              </w:rPr>
              <w:t>Merchant account and provider verification</w:t>
            </w:r>
          </w:p>
        </w:tc>
      </w:tr>
      <w:tr>
        <w:trPr>
          <w:cantSplit/>
        </w:trPr>
        <w:tc>
          <w:tcPr>
            <w:tcW w:type="dxa" w:w="1134"/>
            <w:shd w:val="clear" w:color="auto" w:fill="FAFAFB"/>
            <w:vAlign w:val="center"/>
          </w:tcPr>
          <w:p>
            <w:pPr>
              <w:spacing w:after="20" w:line="252" w:lineRule="auto"/>
            </w:pPr>
            <w:r>
              <w:rPr>
                <w:b/>
                <w:sz w:val="17"/>
              </w:rPr>
              <w:t>Setup</w:t>
            </w:r>
          </w:p>
        </w:tc>
        <w:tc>
          <w:tcPr>
            <w:tcW w:type="dxa" w:w="2494"/>
            <w:shd w:val="clear" w:color="auto" w:fill="FAFAFB"/>
            <w:vAlign w:val="center"/>
          </w:tcPr>
          <w:p>
            <w:pPr>
              <w:spacing w:after="20" w:line="252" w:lineRule="auto"/>
            </w:pPr>
            <w:r>
              <w:rPr>
                <w:sz w:val="17"/>
              </w:rPr>
              <w:t>Integrations</w:t>
            </w:r>
          </w:p>
        </w:tc>
        <w:tc>
          <w:tcPr>
            <w:tcW w:type="dxa" w:w="1984"/>
            <w:shd w:val="clear" w:color="auto" w:fill="FAFAFB"/>
            <w:vAlign w:val="center"/>
          </w:tcPr>
          <w:p>
            <w:pPr>
              <w:spacing w:after="20" w:line="252" w:lineRule="auto"/>
            </w:pPr>
            <w:r>
              <w:rPr>
                <w:sz w:val="17"/>
              </w:rPr>
              <w:t>Native connectors</w:t>
            </w:r>
          </w:p>
        </w:tc>
        <w:tc>
          <w:tcPr>
            <w:tcW w:type="dxa" w:w="1871"/>
            <w:shd w:val="clear" w:color="auto" w:fill="FAFAFB"/>
            <w:vAlign w:val="center"/>
          </w:tcPr>
          <w:p>
            <w:pPr>
              <w:spacing w:after="20" w:line="252" w:lineRule="auto"/>
            </w:pPr>
            <w:r>
              <w:rPr>
                <w:sz w:val="17"/>
              </w:rPr>
              <w:t>Custom API or Zapier work</w:t>
            </w:r>
          </w:p>
        </w:tc>
        <w:tc>
          <w:tcPr>
            <w:tcW w:type="dxa" w:w="2154"/>
            <w:shd w:val="clear" w:color="auto" w:fill="FAFAFB"/>
            <w:vAlign w:val="center"/>
          </w:tcPr>
          <w:p>
            <w:pPr>
              <w:spacing w:after="20" w:line="252" w:lineRule="auto"/>
            </w:pPr>
            <w:r>
              <w:rPr>
                <w:sz w:val="17"/>
              </w:rPr>
              <w:t>Admin access and API keys</w:t>
            </w:r>
          </w:p>
        </w:tc>
      </w:tr>
      <w:tr>
        <w:trPr>
          <w:cantSplit/>
        </w:trPr>
        <w:tc>
          <w:tcPr>
            <w:tcW w:type="dxa" w:w="1134"/>
            <w:vAlign w:val="center"/>
          </w:tcPr>
          <w:p>
            <w:pPr>
              <w:spacing w:after="20" w:line="252" w:lineRule="auto"/>
            </w:pPr>
            <w:r>
              <w:rPr>
                <w:b/>
                <w:sz w:val="17"/>
              </w:rPr>
              <w:t>Content</w:t>
            </w:r>
          </w:p>
        </w:tc>
        <w:tc>
          <w:tcPr>
            <w:tcW w:type="dxa" w:w="2494"/>
            <w:vAlign w:val="center"/>
          </w:tcPr>
          <w:p>
            <w:pPr>
              <w:spacing w:after="20" w:line="252" w:lineRule="auto"/>
            </w:pPr>
            <w:r>
              <w:rPr>
                <w:sz w:val="17"/>
              </w:rPr>
              <w:t xml:space="preserve">Content calendar, copy and images in </w:t>
            </w:r>
            <w:r>
              <w:rPr>
                <w:b/>
                <w:color w:val="20242B"/>
                <w:sz w:val="17"/>
                <w:shd w:val="clear" w:color="auto" w:fill="FFF1A8"/>
              </w:rPr>
              <w:t>[[LANGUAGES]]</w:t>
            </w:r>
          </w:p>
        </w:tc>
        <w:tc>
          <w:tcPr>
            <w:tcW w:type="dxa" w:w="1984"/>
            <w:vAlign w:val="center"/>
          </w:tcPr>
          <w:p>
            <w:pPr>
              <w:spacing w:after="20" w:line="252" w:lineRule="auto"/>
            </w:pPr>
            <w:r>
              <w:rPr>
                <w:sz w:val="17"/>
              </w:rPr>
              <w:t>Creator agent drafts and AI images</w:t>
            </w:r>
          </w:p>
        </w:tc>
        <w:tc>
          <w:tcPr>
            <w:tcW w:type="dxa" w:w="1871"/>
            <w:vAlign w:val="center"/>
          </w:tcPr>
          <w:p>
            <w:pPr>
              <w:spacing w:after="20" w:line="252" w:lineRule="auto"/>
            </w:pPr>
            <w:r>
              <w:rPr>
                <w:sz w:val="17"/>
              </w:rPr>
              <w:t>Human copy and design review</w:t>
            </w:r>
          </w:p>
        </w:tc>
        <w:tc>
          <w:tcPr>
            <w:tcW w:type="dxa" w:w="2154"/>
            <w:vAlign w:val="center"/>
          </w:tcPr>
          <w:p>
            <w:pPr>
              <w:spacing w:after="20" w:line="252" w:lineRule="auto"/>
            </w:pPr>
            <w:r>
              <w:rPr>
                <w:sz w:val="17"/>
              </w:rPr>
              <w:t>Brand guidelines, approvals, product photos</w:t>
            </w:r>
          </w:p>
        </w:tc>
      </w:tr>
      <w:tr>
        <w:trPr>
          <w:cantSplit/>
        </w:trPr>
        <w:tc>
          <w:tcPr>
            <w:tcW w:type="dxa" w:w="1134"/>
            <w:shd w:val="clear" w:color="auto" w:fill="FAFAFB"/>
            <w:vAlign w:val="center"/>
          </w:tcPr>
          <w:p>
            <w:pPr>
              <w:spacing w:after="20" w:line="252" w:lineRule="auto"/>
            </w:pPr>
            <w:r>
              <w:rPr>
                <w:b/>
                <w:sz w:val="17"/>
              </w:rPr>
              <w:t>Automation</w:t>
            </w:r>
          </w:p>
        </w:tc>
        <w:tc>
          <w:tcPr>
            <w:tcW w:type="dxa" w:w="2494"/>
            <w:shd w:val="clear" w:color="auto" w:fill="FAFAFB"/>
            <w:vAlign w:val="center"/>
          </w:tcPr>
          <w:p>
            <w:pPr>
              <w:spacing w:after="20" w:line="252" w:lineRule="auto"/>
            </w:pPr>
            <w:r>
              <w:rPr>
                <w:sz w:val="17"/>
              </w:rPr>
              <w:t>Chatbot, WhatsApp Flows and broadcast templates</w:t>
            </w:r>
          </w:p>
        </w:tc>
        <w:tc>
          <w:tcPr>
            <w:tcW w:type="dxa" w:w="1984"/>
            <w:shd w:val="clear" w:color="auto" w:fill="FAFAFB"/>
            <w:vAlign w:val="center"/>
          </w:tcPr>
          <w:p>
            <w:pPr>
              <w:spacing w:after="20" w:line="252" w:lineRule="auto"/>
            </w:pPr>
            <w:r>
              <w:rPr>
                <w:sz w:val="17"/>
              </w:rPr>
              <w:t>Builders and templates</w:t>
            </w:r>
          </w:p>
        </w:tc>
        <w:tc>
          <w:tcPr>
            <w:tcW w:type="dxa" w:w="1871"/>
            <w:shd w:val="clear" w:color="auto" w:fill="FAFAFB"/>
            <w:vAlign w:val="center"/>
          </w:tcPr>
          <w:p>
            <w:pPr>
              <w:spacing w:after="20" w:line="252" w:lineRule="auto"/>
            </w:pPr>
            <w:r>
              <w:rPr>
                <w:sz w:val="17"/>
              </w:rPr>
              <w:t>Flow design workshop</w:t>
            </w:r>
          </w:p>
        </w:tc>
        <w:tc>
          <w:tcPr>
            <w:tcW w:type="dxa" w:w="2154"/>
            <w:shd w:val="clear" w:color="auto" w:fill="FAFAFB"/>
            <w:vAlign w:val="center"/>
          </w:tcPr>
          <w:p>
            <w:pPr>
              <w:spacing w:after="20" w:line="252" w:lineRule="auto"/>
            </w:pPr>
            <w:r>
              <w:rPr>
                <w:sz w:val="17"/>
              </w:rPr>
              <w:t>FAQs, policies, opted-in contact lists</w:t>
            </w:r>
          </w:p>
        </w:tc>
      </w:tr>
      <w:tr>
        <w:trPr>
          <w:cantSplit/>
        </w:trPr>
        <w:tc>
          <w:tcPr>
            <w:tcW w:type="dxa" w:w="1134"/>
            <w:vAlign w:val="center"/>
          </w:tcPr>
          <w:p>
            <w:pPr>
              <w:spacing w:after="20" w:line="252" w:lineRule="auto"/>
            </w:pPr>
            <w:r>
              <w:rPr>
                <w:b/>
                <w:sz w:val="17"/>
              </w:rPr>
              <w:t>Automation</w:t>
            </w:r>
          </w:p>
        </w:tc>
        <w:tc>
          <w:tcPr>
            <w:tcW w:type="dxa" w:w="2494"/>
            <w:vAlign w:val="center"/>
          </w:tcPr>
          <w:p>
            <w:pPr>
              <w:spacing w:after="20" w:line="252" w:lineRule="auto"/>
            </w:pPr>
            <w:r>
              <w:rPr>
                <w:sz w:val="17"/>
              </w:rPr>
              <w:t>Order updates and abandoned-cart recovery</w:t>
            </w:r>
          </w:p>
        </w:tc>
        <w:tc>
          <w:tcPr>
            <w:tcW w:type="dxa" w:w="1984"/>
            <w:vAlign w:val="center"/>
          </w:tcPr>
          <w:p>
            <w:pPr>
              <w:spacing w:after="20" w:line="252" w:lineRule="auto"/>
            </w:pPr>
            <w:r>
              <w:rPr>
                <w:sz w:val="17"/>
              </w:rPr>
              <w:t>Included on Growth</w:t>
            </w:r>
          </w:p>
        </w:tc>
        <w:tc>
          <w:tcPr>
            <w:tcW w:type="dxa" w:w="1871"/>
            <w:vAlign w:val="center"/>
          </w:tcPr>
          <w:p>
            <w:pPr>
              <w:spacing w:after="20" w:line="252" w:lineRule="auto"/>
            </w:pPr>
            <w:r>
              <w:rPr>
                <w:sz w:val="17"/>
              </w:rPr>
              <w:t>–</w:t>
            </w:r>
          </w:p>
        </w:tc>
        <w:tc>
          <w:tcPr>
            <w:tcW w:type="dxa" w:w="2154"/>
            <w:vAlign w:val="center"/>
          </w:tcPr>
          <w:p>
            <w:pPr>
              <w:spacing w:after="20" w:line="252" w:lineRule="auto"/>
            </w:pPr>
            <w:r>
              <w:rPr>
                <w:sz w:val="17"/>
              </w:rPr>
              <w:t>Approve message wording</w:t>
            </w:r>
          </w:p>
        </w:tc>
      </w:tr>
      <w:tr>
        <w:trPr>
          <w:cantSplit/>
        </w:trPr>
        <w:tc>
          <w:tcPr>
            <w:tcW w:type="dxa" w:w="1134"/>
            <w:shd w:val="clear" w:color="auto" w:fill="FAFAFB"/>
            <w:vAlign w:val="center"/>
          </w:tcPr>
          <w:p>
            <w:pPr>
              <w:spacing w:after="20" w:line="252" w:lineRule="auto"/>
            </w:pPr>
            <w:r>
              <w:rPr>
                <w:b/>
                <w:sz w:val="17"/>
              </w:rPr>
              <w:t>Automation</w:t>
            </w:r>
          </w:p>
        </w:tc>
        <w:tc>
          <w:tcPr>
            <w:tcW w:type="dxa" w:w="2494"/>
            <w:shd w:val="clear" w:color="auto" w:fill="FAFAFB"/>
            <w:vAlign w:val="center"/>
          </w:tcPr>
          <w:p>
            <w:pPr>
              <w:spacing w:after="20" w:line="252" w:lineRule="auto"/>
            </w:pPr>
            <w:r>
              <w:rPr>
                <w:sz w:val="17"/>
              </w:rPr>
              <w:t>Workflows (Flux Automate)</w:t>
            </w:r>
          </w:p>
        </w:tc>
        <w:tc>
          <w:tcPr>
            <w:tcW w:type="dxa" w:w="1984"/>
            <w:shd w:val="clear" w:color="auto" w:fill="FAFAFB"/>
            <w:vAlign w:val="center"/>
          </w:tcPr>
          <w:p>
            <w:pPr>
              <w:spacing w:after="20" w:line="252" w:lineRule="auto"/>
            </w:pPr>
            <w:r>
              <w:rPr>
                <w:sz w:val="17"/>
              </w:rPr>
              <w:t>Workflow builder</w:t>
            </w:r>
          </w:p>
        </w:tc>
        <w:tc>
          <w:tcPr>
            <w:tcW w:type="dxa" w:w="1871"/>
            <w:shd w:val="clear" w:color="auto" w:fill="FAFAFB"/>
            <w:vAlign w:val="center"/>
          </w:tcPr>
          <w:p>
            <w:pPr>
              <w:spacing w:after="20" w:line="252" w:lineRule="auto"/>
            </w:pPr>
            <w:r>
              <w:rPr>
                <w:sz w:val="17"/>
              </w:rPr>
              <w:t>Advanced workflow build</w:t>
            </w:r>
          </w:p>
        </w:tc>
        <w:tc>
          <w:tcPr>
            <w:tcW w:type="dxa" w:w="2154"/>
            <w:shd w:val="clear" w:color="auto" w:fill="FAFAFB"/>
            <w:vAlign w:val="center"/>
          </w:tcPr>
          <w:p>
            <w:pPr>
              <w:spacing w:after="20" w:line="252" w:lineRule="auto"/>
            </w:pPr>
            <w:r>
              <w:rPr>
                <w:sz w:val="17"/>
              </w:rPr>
              <w:t>Process owner</w:t>
            </w:r>
          </w:p>
        </w:tc>
      </w:tr>
      <w:tr>
        <w:trPr>
          <w:cantSplit/>
        </w:trPr>
        <w:tc>
          <w:tcPr>
            <w:tcW w:type="dxa" w:w="1134"/>
            <w:vAlign w:val="center"/>
          </w:tcPr>
          <w:p>
            <w:pPr>
              <w:spacing w:after="20" w:line="252" w:lineRule="auto"/>
            </w:pPr>
            <w:r>
              <w:rPr>
                <w:b/>
                <w:sz w:val="17"/>
              </w:rPr>
              <w:t>Training</w:t>
            </w:r>
          </w:p>
        </w:tc>
        <w:tc>
          <w:tcPr>
            <w:tcW w:type="dxa" w:w="2494"/>
            <w:vAlign w:val="center"/>
          </w:tcPr>
          <w:p>
            <w:pPr>
              <w:spacing w:after="20" w:line="252" w:lineRule="auto"/>
            </w:pPr>
            <w:r>
              <w:rPr>
                <w:sz w:val="17"/>
              </w:rPr>
              <w:t>Team onboarding</w:t>
            </w:r>
          </w:p>
        </w:tc>
        <w:tc>
          <w:tcPr>
            <w:tcW w:type="dxa" w:w="1984"/>
            <w:vAlign w:val="center"/>
          </w:tcPr>
          <w:p>
            <w:pPr>
              <w:spacing w:after="20" w:line="252" w:lineRule="auto"/>
            </w:pPr>
            <w:r>
              <w:rPr>
                <w:sz w:val="17"/>
              </w:rPr>
              <w:t>Guided onboarding call</w:t>
            </w:r>
          </w:p>
        </w:tc>
        <w:tc>
          <w:tcPr>
            <w:tcW w:type="dxa" w:w="1871"/>
            <w:vAlign w:val="center"/>
          </w:tcPr>
          <w:p>
            <w:pPr>
              <w:spacing w:after="20" w:line="252" w:lineRule="auto"/>
            </w:pPr>
            <w:r>
              <w:rPr>
                <w:sz w:val="17"/>
              </w:rPr>
              <w:t>Extra training sessions</w:t>
            </w:r>
          </w:p>
        </w:tc>
        <w:tc>
          <w:tcPr>
            <w:tcW w:type="dxa" w:w="2154"/>
            <w:vAlign w:val="center"/>
          </w:tcPr>
          <w:p>
            <w:pPr>
              <w:spacing w:after="20" w:line="252" w:lineRule="auto"/>
            </w:pPr>
            <w:r>
              <w:rPr>
                <w:b/>
                <w:color w:val="20242B"/>
                <w:sz w:val="17"/>
                <w:shd w:val="clear" w:color="auto" w:fill="FFF1A8"/>
              </w:rPr>
              <w:t>[[N]]</w:t>
            </w:r>
            <w:r>
              <w:rPr>
                <w:sz w:val="17"/>
              </w:rPr>
              <w:t xml:space="preserve"> staff attend</w:t>
            </w:r>
          </w:p>
        </w:tc>
      </w:tr>
      <w:tr>
        <w:trPr>
          <w:cantSplit/>
        </w:trPr>
        <w:tc>
          <w:tcPr>
            <w:tcW w:type="dxa" w:w="1134"/>
            <w:shd w:val="clear" w:color="auto" w:fill="FAFAFB"/>
            <w:vAlign w:val="center"/>
          </w:tcPr>
          <w:p>
            <w:pPr>
              <w:spacing w:after="20" w:line="252" w:lineRule="auto"/>
            </w:pPr>
            <w:r>
              <w:rPr>
                <w:b/>
                <w:sz w:val="17"/>
              </w:rPr>
              <w:t>Reporting</w:t>
            </w:r>
          </w:p>
        </w:tc>
        <w:tc>
          <w:tcPr>
            <w:tcW w:type="dxa" w:w="2494"/>
            <w:shd w:val="clear" w:color="auto" w:fill="FAFAFB"/>
            <w:vAlign w:val="center"/>
          </w:tcPr>
          <w:p>
            <w:pPr>
              <w:spacing w:after="20" w:line="252" w:lineRule="auto"/>
            </w:pPr>
            <w:r>
              <w:rPr>
                <w:sz w:val="17"/>
              </w:rPr>
              <w:t>Dashboards, weekly check-ins, 30- and 60-day reports</w:t>
            </w:r>
          </w:p>
        </w:tc>
        <w:tc>
          <w:tcPr>
            <w:tcW w:type="dxa" w:w="1984"/>
            <w:shd w:val="clear" w:color="auto" w:fill="FAFAFB"/>
            <w:vAlign w:val="center"/>
          </w:tcPr>
          <w:p>
            <w:pPr>
              <w:spacing w:after="20" w:line="252" w:lineRule="auto"/>
            </w:pPr>
            <w:r>
              <w:rPr>
                <w:sz w:val="17"/>
              </w:rPr>
              <w:t>Analyst and custom reports</w:t>
            </w:r>
          </w:p>
        </w:tc>
        <w:tc>
          <w:tcPr>
            <w:tcW w:type="dxa" w:w="1871"/>
            <w:shd w:val="clear" w:color="auto" w:fill="FAFAFB"/>
            <w:vAlign w:val="center"/>
          </w:tcPr>
          <w:p>
            <w:pPr>
              <w:spacing w:after="20" w:line="252" w:lineRule="auto"/>
            </w:pPr>
            <w:r>
              <w:rPr>
                <w:sz w:val="17"/>
              </w:rPr>
              <w:t>Monthly strategy review pack</w:t>
            </w:r>
          </w:p>
        </w:tc>
        <w:tc>
          <w:tcPr>
            <w:tcW w:type="dxa" w:w="2154"/>
            <w:shd w:val="clear" w:color="auto" w:fill="FAFAFB"/>
            <w:vAlign w:val="center"/>
          </w:tcPr>
          <w:p>
            <w:pPr>
              <w:spacing w:after="20" w:line="252" w:lineRule="auto"/>
            </w:pPr>
            <w:r>
              <w:rPr>
                <w:sz w:val="17"/>
              </w:rPr>
              <w:t>Attend reviews, act on actions</w:t>
            </w:r>
          </w:p>
        </w:tc>
      </w:tr>
      <w:tr>
        <w:trPr>
          <w:cantSplit/>
        </w:trPr>
        <w:tc>
          <w:tcPr>
            <w:tcW w:type="dxa" w:w="1134"/>
            <w:vAlign w:val="center"/>
          </w:tcPr>
          <w:p>
            <w:pPr>
              <w:spacing w:after="20" w:line="252" w:lineRule="auto"/>
            </w:pPr>
            <w:r>
              <w:rPr>
                <w:b/>
                <w:sz w:val="17"/>
              </w:rPr>
              <w:t>Paid media</w:t>
            </w:r>
          </w:p>
        </w:tc>
        <w:tc>
          <w:tcPr>
            <w:tcW w:type="dxa" w:w="2494"/>
            <w:vAlign w:val="center"/>
          </w:tcPr>
          <w:p>
            <w:pPr>
              <w:spacing w:after="20" w:line="252" w:lineRule="auto"/>
            </w:pPr>
            <w:r>
              <w:rPr>
                <w:sz w:val="17"/>
              </w:rPr>
              <w:t>Ads for the pilot</w:t>
            </w:r>
          </w:p>
        </w:tc>
        <w:tc>
          <w:tcPr>
            <w:tcW w:type="dxa" w:w="1984"/>
            <w:vAlign w:val="center"/>
          </w:tcPr>
          <w:p>
            <w:pPr>
              <w:spacing w:after="20" w:line="252" w:lineRule="auto"/>
            </w:pPr>
            <w:r>
              <w:rPr>
                <w:sz w:val="17"/>
              </w:rPr>
              <w:t xml:space="preserve">AI ad procurement tools </w:t>
            </w:r>
            <w:r>
              <w:rPr>
                <w:b/>
                <w:color w:val="20242B"/>
                <w:sz w:val="17"/>
                <w:shd w:val="clear" w:color="auto" w:fill="FFF1A8"/>
              </w:rPr>
              <w:t>[[CONFIRM SCOPE]]</w:t>
            </w:r>
          </w:p>
        </w:tc>
        <w:tc>
          <w:tcPr>
            <w:tcW w:type="dxa" w:w="1871"/>
            <w:vAlign w:val="center"/>
          </w:tcPr>
          <w:p>
            <w:pPr>
              <w:spacing w:after="20" w:line="252" w:lineRule="auto"/>
            </w:pPr>
            <w:r>
              <w:rPr>
                <w:sz w:val="17"/>
              </w:rPr>
              <w:t>Campaign management</w:t>
            </w:r>
          </w:p>
        </w:tc>
        <w:tc>
          <w:tcPr>
            <w:tcW w:type="dxa" w:w="2154"/>
            <w:vAlign w:val="center"/>
          </w:tcPr>
          <w:p>
            <w:pPr>
              <w:spacing w:after="20" w:line="252" w:lineRule="auto"/>
            </w:pPr>
            <w:r>
              <w:rPr>
                <w:sz w:val="17"/>
              </w:rPr>
              <w:t>Ad budget (pass-through)</w:t>
            </w:r>
          </w:p>
        </w:tc>
      </w:tr>
    </w:tbl>
    <w:p>
      <w:pPr>
        <w:spacing w:after="0" w:line="120" w:lineRule="exact"/>
      </w:pPr>
    </w:p>
    <w:p>
      <w:r>
        <w:rPr>
          <w:b/>
          <w:sz w:val="19"/>
        </w:rPr>
        <w:t>Out of scope unless agreed in writing:</w:t>
      </w:r>
      <w:r>
        <w:rPr>
          <w:sz w:val="19"/>
        </w:rPr>
        <w:t xml:space="preserve"> </w:t>
      </w:r>
      <w:r>
        <w:rPr>
          <w:b/>
          <w:color w:val="20242B"/>
          <w:sz w:val="19"/>
          <w:shd w:val="clear" w:color="auto" w:fill="FFF1A8"/>
        </w:rPr>
        <w:t>[[e.g. photo or video shoots, website rebuilds, paid influencer fees, printing]]</w:t>
      </w:r>
      <w:r>
        <w:rPr>
          <w:sz w:val="19"/>
        </w:rPr>
        <w:t>.</w:t>
      </w:r>
    </w:p>
    <w:p>
      <w:pPr>
        <w:pStyle w:val="Heading1"/>
      </w:pPr>
      <w:r>
        <w:rPr/>
        <w:t>6. 60-day pilot plan</w:t>
      </w:r>
    </w:p>
    <w:p>
      <w:r>
        <w:rPr/>
        <w:t xml:space="preserve">The pilot follows the same structure as FluxMuse's Gauteng pilot. For </w:t>
      </w:r>
      <w:r>
        <w:rPr>
          <w:b/>
          <w:color w:val="20242B"/>
          <w:shd w:val="clear" w:color="auto" w:fill="FFF1A8"/>
        </w:rPr>
        <w:t>[[CLIENT NAME]]</w:t>
      </w:r>
      <w:r>
        <w:rPr/>
        <w:t xml:space="preserve"> we run days 1–60, with days 61–90 as an optional extension.</w:t>
      </w:r>
    </w:p>
    <w:p>
      <w:pPr>
        <w:keepNext/>
        <w:spacing w:before="120" w:after="0"/>
        <w:jc w:val="center"/>
      </w:pPr>
      <w:r>
        <w:drawing>
          <wp:inline xmlns:a="http://schemas.openxmlformats.org/drawingml/2006/main" xmlns:pic="http://schemas.openxmlformats.org/drawingml/2006/picture">
            <wp:extent cx="6120000" cy="3442500"/>
            <wp:docPr id="4" name="Picture 4" descr="Six-step journey: discovery call, audit and strategy, setup, pilot campaign, report and optimise, convert to a plan, with KPIs tracked from day one."/>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42500"/>
                    </a:xfrm>
                    <a:prstGeom prst="rect"/>
                  </pic:spPr>
                </pic:pic>
              </a:graphicData>
            </a:graphic>
          </wp:inline>
        </w:drawing>
      </w:r>
    </w:p>
    <w:p>
      <w:pPr>
        <w:pStyle w:val="Caption"/>
        <w:jc w:val="center"/>
      </w:pPr>
      <w:r>
        <w:rPr>
          <w:b/>
        </w:rPr>
        <w:t>Figure 3.</w:t>
      </w:r>
      <w:r>
        <w:rPr/>
        <w:t xml:space="preserve"> How we work together, from discovery call to a plan. Timings are typical; KPI targets are goals.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ilot phases"/>
      </w:tblPr>
      <w:tblGrid>
        <w:gridCol w:w="1870"/>
        <w:gridCol w:w="2267"/>
        <w:gridCol w:w="2948"/>
        <w:gridCol w:w="2551"/>
      </w:tblGrid>
      <w:tr>
        <w:trPr>
          <w:cantSplit/>
          <w:tblHeader/>
        </w:trPr>
        <w:tc>
          <w:tcPr>
            <w:tcW w:type="dxa" w:w="1871"/>
            <w:shd w:val="clear" w:color="auto" w:fill="FF6A00"/>
            <w:vAlign w:val="center"/>
          </w:tcPr>
          <w:p>
            <w:pPr>
              <w:keepNext/>
              <w:spacing w:after="20" w:line="252" w:lineRule="auto"/>
            </w:pPr>
            <w:r>
              <w:rPr>
                <w:rFonts w:ascii="Poppins" w:hAnsi="Poppins" w:cs="Poppins" w:eastAsia="Poppins"/>
                <w:b/>
                <w:color w:val="20242B"/>
                <w:sz w:val="18"/>
              </w:rPr>
              <w:t>Phase</w:t>
            </w:r>
          </w:p>
        </w:tc>
        <w:tc>
          <w:tcPr>
            <w:tcW w:type="dxa" w:w="2268"/>
            <w:shd w:val="clear" w:color="auto" w:fill="FF6A00"/>
            <w:vAlign w:val="center"/>
          </w:tcPr>
          <w:p>
            <w:pPr>
              <w:keepNext/>
              <w:spacing w:after="20" w:line="252" w:lineRule="auto"/>
            </w:pPr>
            <w:r>
              <w:rPr>
                <w:rFonts w:ascii="Poppins" w:hAnsi="Poppins" w:cs="Poppins" w:eastAsia="Poppins"/>
                <w:b/>
                <w:color w:val="20242B"/>
                <w:sz w:val="18"/>
              </w:rPr>
              <w:t>Objectives</w:t>
            </w:r>
          </w:p>
        </w:tc>
        <w:tc>
          <w:tcPr>
            <w:tcW w:type="dxa" w:w="2948"/>
            <w:shd w:val="clear" w:color="auto" w:fill="FF6A00"/>
            <w:vAlign w:val="center"/>
          </w:tcPr>
          <w:p>
            <w:pPr>
              <w:keepNext/>
              <w:spacing w:after="20" w:line="252" w:lineRule="auto"/>
            </w:pPr>
            <w:r>
              <w:rPr>
                <w:rFonts w:ascii="Poppins" w:hAnsi="Poppins" w:cs="Poppins" w:eastAsia="Poppins"/>
                <w:b/>
                <w:color w:val="20242B"/>
                <w:sz w:val="18"/>
              </w:rPr>
              <w:t>Deliverables</w:t>
            </w:r>
          </w:p>
        </w:tc>
        <w:tc>
          <w:tcPr>
            <w:tcW w:type="dxa" w:w="2551"/>
            <w:shd w:val="clear" w:color="auto" w:fill="FF6A00"/>
            <w:vAlign w:val="center"/>
          </w:tcPr>
          <w:p>
            <w:pPr>
              <w:keepNext/>
              <w:spacing w:after="20" w:line="252" w:lineRule="auto"/>
            </w:pPr>
            <w:r>
              <w:rPr>
                <w:rFonts w:ascii="Poppins" w:hAnsi="Poppins" w:cs="Poppins" w:eastAsia="Poppins"/>
                <w:b/>
                <w:color w:val="20242B"/>
                <w:sz w:val="18"/>
              </w:rPr>
              <w:t>Metrics tracked</w:t>
            </w:r>
          </w:p>
        </w:tc>
      </w:tr>
      <w:tr>
        <w:trPr>
          <w:cantSplit/>
        </w:trPr>
        <w:tc>
          <w:tcPr>
            <w:tcW w:type="dxa" w:w="1871"/>
            <w:vAlign w:val="center"/>
          </w:tcPr>
          <w:p>
            <w:pPr>
              <w:spacing w:after="20" w:line="252" w:lineRule="auto"/>
            </w:pPr>
            <w:r>
              <w:rPr>
                <w:b/>
                <w:sz w:val="18"/>
              </w:rPr>
              <w:t>Days 1–30</w:t>
            </w:r>
          </w:p>
          <w:p>
            <w:pPr>
              <w:spacing w:after="20" w:line="252" w:lineRule="auto"/>
            </w:pPr>
            <w:r>
              <w:rPr>
                <w:b/>
                <w:sz w:val="18"/>
              </w:rPr>
              <w:t>Launch and baseline</w:t>
            </w:r>
          </w:p>
        </w:tc>
        <w:tc>
          <w:tcPr>
            <w:tcW w:type="dxa" w:w="2268"/>
            <w:vAlign w:val="center"/>
          </w:tcPr>
          <w:p>
            <w:pPr>
              <w:spacing w:after="20" w:line="252" w:lineRule="auto"/>
            </w:pPr>
            <w:r>
              <w:rPr>
                <w:sz w:val="18"/>
              </w:rPr>
              <w:t>Go live on WhatsApp plus one social channel; measure a clean baseline</w:t>
            </w:r>
          </w:p>
        </w:tc>
        <w:tc>
          <w:tcPr>
            <w:tcW w:type="dxa" w:w="2948"/>
            <w:vAlign w:val="center"/>
          </w:tcPr>
          <w:p>
            <w:pPr>
              <w:spacing w:after="20" w:line="252" w:lineRule="auto"/>
            </w:pPr>
            <w:r>
              <w:rPr>
                <w:sz w:val="18"/>
              </w:rPr>
              <w:t>Number and catalog live; payment rail connected; 30-day content calendar; chatbot or FAQ flow; baseline report</w:t>
            </w:r>
          </w:p>
        </w:tc>
        <w:tc>
          <w:tcPr>
            <w:tcW w:type="dxa" w:w="2551"/>
            <w:vAlign w:val="center"/>
          </w:tcPr>
          <w:p>
            <w:pPr>
              <w:spacing w:after="20" w:line="252" w:lineRule="auto"/>
            </w:pPr>
            <w:r>
              <w:rPr>
                <w:sz w:val="18"/>
              </w:rPr>
              <w:t>Conversations started; catalog views and first orders; content published on schedule</w:t>
            </w:r>
          </w:p>
        </w:tc>
      </w:tr>
      <w:tr>
        <w:trPr>
          <w:cantSplit/>
        </w:trPr>
        <w:tc>
          <w:tcPr>
            <w:tcW w:type="dxa" w:w="1871"/>
            <w:shd w:val="clear" w:color="auto" w:fill="FAFAFB"/>
            <w:vAlign w:val="center"/>
          </w:tcPr>
          <w:p>
            <w:pPr>
              <w:spacing w:after="20" w:line="252" w:lineRule="auto"/>
            </w:pPr>
            <w:r>
              <w:rPr>
                <w:b/>
                <w:sz w:val="18"/>
              </w:rPr>
              <w:t>Days 31–60</w:t>
            </w:r>
          </w:p>
          <w:p>
            <w:pPr>
              <w:spacing w:after="20" w:line="252" w:lineRule="auto"/>
            </w:pPr>
            <w:r>
              <w:rPr>
                <w:b/>
                <w:sz w:val="18"/>
              </w:rPr>
              <w:t>Optimise conversion</w:t>
            </w:r>
          </w:p>
        </w:tc>
        <w:tc>
          <w:tcPr>
            <w:tcW w:type="dxa" w:w="2268"/>
            <w:shd w:val="clear" w:color="auto" w:fill="FAFAFB"/>
            <w:vAlign w:val="center"/>
          </w:tcPr>
          <w:p>
            <w:pPr>
              <w:spacing w:after="20" w:line="252" w:lineRule="auto"/>
            </w:pPr>
            <w:r>
              <w:rPr>
                <w:sz w:val="18"/>
              </w:rPr>
              <w:t>Lift chat-to-order conversion; test offers, messages and audiences</w:t>
            </w:r>
          </w:p>
        </w:tc>
        <w:tc>
          <w:tcPr>
            <w:tcW w:type="dxa" w:w="2948"/>
            <w:shd w:val="clear" w:color="auto" w:fill="FAFAFB"/>
            <w:vAlign w:val="center"/>
          </w:tcPr>
          <w:p>
            <w:pPr>
              <w:spacing w:after="20" w:line="252" w:lineRule="auto"/>
            </w:pPr>
            <w:r>
              <w:rPr>
                <w:sz w:val="18"/>
              </w:rPr>
              <w:t>A/B tests; abandoned-cart recovery on; segments and broadcast templates; mid-pilot report</w:t>
            </w:r>
          </w:p>
        </w:tc>
        <w:tc>
          <w:tcPr>
            <w:tcW w:type="dxa" w:w="2551"/>
            <w:shd w:val="clear" w:color="auto" w:fill="FAFAFB"/>
            <w:vAlign w:val="center"/>
          </w:tcPr>
          <w:p>
            <w:pPr>
              <w:spacing w:after="20" w:line="252" w:lineRule="auto"/>
            </w:pPr>
            <w:r>
              <w:rPr>
                <w:sz w:val="18"/>
              </w:rPr>
              <w:t>Chat-to-order conversion; recovered carts; cost per conversation; response time</w:t>
            </w:r>
          </w:p>
        </w:tc>
      </w:tr>
      <w:tr>
        <w:trPr>
          <w:cantSplit/>
        </w:trPr>
        <w:tc>
          <w:tcPr>
            <w:tcW w:type="dxa" w:w="1871"/>
            <w:vAlign w:val="center"/>
          </w:tcPr>
          <w:p>
            <w:pPr>
              <w:spacing w:after="20" w:line="252" w:lineRule="auto"/>
            </w:pPr>
            <w:r>
              <w:rPr>
                <w:b/>
                <w:sz w:val="18"/>
              </w:rPr>
              <w:t>Days 61–90 (optional)</w:t>
            </w:r>
          </w:p>
          <w:p>
            <w:pPr>
              <w:spacing w:after="20" w:line="252" w:lineRule="auto"/>
            </w:pPr>
            <w:r>
              <w:rPr>
                <w:b/>
                <w:sz w:val="18"/>
              </w:rPr>
              <w:t>Scale what works</w:t>
            </w:r>
          </w:p>
        </w:tc>
        <w:tc>
          <w:tcPr>
            <w:tcW w:type="dxa" w:w="2268"/>
            <w:vAlign w:val="center"/>
          </w:tcPr>
          <w:p>
            <w:pPr>
              <w:spacing w:after="20" w:line="252" w:lineRule="auto"/>
            </w:pPr>
            <w:r>
              <w:rPr>
                <w:sz w:val="18"/>
              </w:rPr>
              <w:t>Double down on winning channels; choose a plan</w:t>
            </w:r>
          </w:p>
        </w:tc>
        <w:tc>
          <w:tcPr>
            <w:tcW w:type="dxa" w:w="2948"/>
            <w:vAlign w:val="center"/>
          </w:tcPr>
          <w:p>
            <w:pPr>
              <w:spacing w:after="20" w:line="252" w:lineRule="auto"/>
            </w:pPr>
            <w:r>
              <w:rPr>
                <w:sz w:val="18"/>
              </w:rPr>
              <w:t>Add email, SMS or USSD; loyalty programme; end-of-pilot report and case study (with consent)</w:t>
            </w:r>
          </w:p>
        </w:tc>
        <w:tc>
          <w:tcPr>
            <w:tcW w:type="dxa" w:w="2551"/>
            <w:vAlign w:val="center"/>
          </w:tcPr>
          <w:p>
            <w:pPr>
              <w:spacing w:after="20" w:line="252" w:lineRule="auto"/>
            </w:pPr>
            <w:r>
              <w:rPr>
                <w:sz w:val="18"/>
              </w:rPr>
              <w:t>Orders and GMV; conversion uplift; repeat purchases; hours saved; NPS</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5" name="Picture 5" descr="Three pilot phases (launch and baseline, optimise conversion, scale what works) with objectives, deliverables and metrics tracked for each."/>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120000" cy="3442500"/>
                    </a:xfrm>
                    <a:prstGeom prst="rect"/>
                  </pic:spPr>
                </pic:pic>
              </a:graphicData>
            </a:graphic>
          </wp:inline>
        </w:drawing>
      </w:r>
    </w:p>
    <w:p>
      <w:pPr>
        <w:pStyle w:val="Caption"/>
        <w:jc w:val="center"/>
      </w:pPr>
      <w:r>
        <w:rPr>
          <w:b/>
        </w:rPr>
        <w:t>Figure 4.</w:t>
      </w:r>
      <w:r>
        <w:rPr/>
        <w:t xml:space="preserve"> The 30/60/90-day pilot framework used in the Gauteng pilot (12 brands, September to 30 November 2026). Targets are goals agreed at kickoff.</w:t>
      </w:r>
    </w:p>
    <w:p>
      <w:pPr>
        <w:pStyle w:val="Heading1"/>
      </w:pPr>
      <w:r>
        <w:rPr/>
        <w:t>7. Timeline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ilot timeline (Gantt)"/>
      </w:tblPr>
      <w:tblGrid>
        <w:gridCol w:w="2834"/>
        <w:gridCol w:w="680"/>
        <w:gridCol w:w="680"/>
        <w:gridCol w:w="680"/>
        <w:gridCol w:w="680"/>
        <w:gridCol w:w="680"/>
        <w:gridCol w:w="680"/>
        <w:gridCol w:w="680"/>
        <w:gridCol w:w="680"/>
        <w:gridCol w:w="680"/>
        <w:gridCol w:w="680"/>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7"/>
              </w:rPr>
              <w:t>Activity</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W0</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W3</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W4</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W5</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W6</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W7</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W8</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W9</w:t>
            </w:r>
          </w:p>
        </w:tc>
      </w:tr>
      <w:tr>
        <w:trPr>
          <w:cantSplit/>
        </w:trPr>
        <w:tc>
          <w:tcPr>
            <w:tcW w:type="dxa" w:w="2835"/>
            <w:vAlign w:val="center"/>
          </w:tcPr>
          <w:p>
            <w:pPr>
              <w:spacing w:after="20" w:line="252" w:lineRule="auto"/>
            </w:pPr>
            <w:r>
              <w:rPr>
                <w:b/>
                <w:sz w:val="17"/>
              </w:rPr>
              <w:t>Discovery call and audit</w:t>
            </w: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2835"/>
            <w:vAlign w:val="center"/>
          </w:tcPr>
          <w:p>
            <w:pPr>
              <w:spacing w:after="20" w:line="252" w:lineRule="auto"/>
            </w:pPr>
            <w:r>
              <w:rPr>
                <w:b/>
                <w:sz w:val="17"/>
              </w:rPr>
              <w:t>Setup: WhatsApp, catalog, payments</w:t>
            </w: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2835"/>
            <w:vAlign w:val="center"/>
          </w:tcPr>
          <w:p>
            <w:pPr>
              <w:spacing w:after="20" w:line="252" w:lineRule="auto"/>
            </w:pPr>
            <w:r>
              <w:rPr>
                <w:b/>
                <w:sz w:val="17"/>
              </w:rPr>
              <w:t>Integrations</w:t>
            </w: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2835"/>
            <w:vAlign w:val="center"/>
          </w:tcPr>
          <w:p>
            <w:pPr>
              <w:spacing w:after="20" w:line="252" w:lineRule="auto"/>
            </w:pPr>
            <w:r>
              <w:rPr>
                <w:b/>
                <w:sz w:val="17"/>
              </w:rPr>
              <w:t>Content calendar and chatbot flows</w:t>
            </w: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2835"/>
            <w:vAlign w:val="center"/>
          </w:tcPr>
          <w:p>
            <w:pPr>
              <w:spacing w:after="20" w:line="252" w:lineRule="auto"/>
            </w:pPr>
            <w:r>
              <w:rPr>
                <w:b/>
                <w:sz w:val="17"/>
              </w:rPr>
              <w:t>Launch and baseline (days 1–30)</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2835"/>
            <w:vAlign w:val="center"/>
          </w:tcPr>
          <w:p>
            <w:pPr>
              <w:spacing w:after="20" w:line="252" w:lineRule="auto"/>
            </w:pPr>
            <w:r>
              <w:rPr>
                <w:b/>
                <w:sz w:val="17"/>
              </w:rPr>
              <w:t>Mid-pilot report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2835"/>
            <w:vAlign w:val="center"/>
          </w:tcPr>
          <w:p>
            <w:pPr>
              <w:spacing w:after="20" w:line="252" w:lineRule="auto"/>
            </w:pPr>
            <w:r>
              <w:rPr>
                <w:b/>
                <w:sz w:val="17"/>
              </w:rPr>
              <w:t>Optimise conversion (days 31–60)</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r>
      <w:tr>
        <w:trPr>
          <w:cantSplit/>
        </w:trPr>
        <w:tc>
          <w:tcPr>
            <w:tcW w:type="dxa" w:w="2835"/>
            <w:vAlign w:val="center"/>
          </w:tcPr>
          <w:p>
            <w:pPr>
              <w:spacing w:after="20" w:line="252" w:lineRule="auto"/>
            </w:pPr>
            <w:r>
              <w:rPr>
                <w:b/>
                <w:sz w:val="17"/>
              </w:rPr>
              <w:t>Weekly check-ins</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r>
      <w:tr>
        <w:trPr>
          <w:cantSplit/>
        </w:trPr>
        <w:tc>
          <w:tcPr>
            <w:tcW w:type="dxa" w:w="2835"/>
            <w:vAlign w:val="center"/>
          </w:tcPr>
          <w:p>
            <w:pPr>
              <w:spacing w:after="20" w:line="252" w:lineRule="auto"/>
            </w:pPr>
            <w:r>
              <w:rPr>
                <w:b/>
                <w:sz w:val="17"/>
              </w:rPr>
              <w:t>60-day report and plan decision</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r>
    </w:tbl>
    <w:p>
      <w:pPr>
        <w:spacing w:after="0" w:line="120" w:lineRule="exact"/>
      </w:pPr>
    </w:p>
    <w:p>
      <w:r>
        <w:rPr>
          <w:color w:val="5B6570"/>
          <w:sz w:val="17"/>
        </w:rPr>
        <w:t>● dark = main activity, ● light = supporting activity. W0 = the week before go-live.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ey milestones"/>
      </w:tblPr>
      <w:tblGrid>
        <w:gridCol w:w="5102"/>
        <w:gridCol w:w="4535"/>
      </w:tblGrid>
      <w:tr>
        <w:trPr>
          <w:cantSplit/>
          <w:tblHeader/>
        </w:trPr>
        <w:tc>
          <w:tcPr>
            <w:tcW w:type="dxa" w:w="5102"/>
            <w:shd w:val="clear" w:color="auto" w:fill="FF6A00"/>
            <w:vAlign w:val="center"/>
          </w:tcPr>
          <w:p>
            <w:pPr>
              <w:keepNext/>
              <w:spacing w:after="20" w:line="252" w:lineRule="auto"/>
            </w:pPr>
            <w:r>
              <w:rPr>
                <w:rFonts w:ascii="Poppins" w:hAnsi="Poppins" w:cs="Poppins" w:eastAsia="Poppins"/>
                <w:b/>
                <w:color w:val="20242B"/>
                <w:sz w:val="19"/>
              </w:rPr>
              <w:t>Milestone</w:t>
            </w:r>
          </w:p>
        </w:tc>
        <w:tc>
          <w:tcPr>
            <w:tcW w:type="dxa" w:w="4535"/>
            <w:shd w:val="clear" w:color="auto" w:fill="FF6A00"/>
            <w:vAlign w:val="center"/>
          </w:tcPr>
          <w:p>
            <w:pPr>
              <w:keepNext/>
              <w:spacing w:after="20" w:line="252" w:lineRule="auto"/>
            </w:pPr>
            <w:r>
              <w:rPr>
                <w:rFonts w:ascii="Poppins" w:hAnsi="Poppins" w:cs="Poppins" w:eastAsia="Poppins"/>
                <w:b/>
                <w:color w:val="20242B"/>
                <w:sz w:val="19"/>
              </w:rPr>
              <w:t>Date</w:t>
            </w:r>
          </w:p>
        </w:tc>
      </w:tr>
      <w:tr>
        <w:trPr>
          <w:cantSplit/>
        </w:trPr>
        <w:tc>
          <w:tcPr>
            <w:tcW w:type="dxa" w:w="5102"/>
            <w:vAlign w:val="center"/>
          </w:tcPr>
          <w:p>
            <w:pPr>
              <w:spacing w:after="20" w:line="252" w:lineRule="auto"/>
            </w:pPr>
            <w:r>
              <w:rPr>
                <w:b/>
                <w:sz w:val="19"/>
              </w:rPr>
              <w:t>Proposal accepted</w:t>
            </w:r>
          </w:p>
        </w:tc>
        <w:tc>
          <w:tcPr>
            <w:tcW w:type="dxa" w:w="4535"/>
            <w:vAlign w:val="center"/>
          </w:tcPr>
          <w:p>
            <w:pPr>
              <w:spacing w:after="20" w:line="252" w:lineRule="auto"/>
            </w:pPr>
            <w:r>
              <w:rPr>
                <w:b/>
                <w:color w:val="20242B"/>
                <w:sz w:val="19"/>
                <w:shd w:val="clear" w:color="auto" w:fill="FFF1A8"/>
              </w:rPr>
              <w:t>[[DATE]]</w:t>
            </w:r>
          </w:p>
        </w:tc>
      </w:tr>
      <w:tr>
        <w:trPr>
          <w:cantSplit/>
        </w:trPr>
        <w:tc>
          <w:tcPr>
            <w:tcW w:type="dxa" w:w="5102"/>
            <w:shd w:val="clear" w:color="auto" w:fill="FAFAFB"/>
            <w:vAlign w:val="center"/>
          </w:tcPr>
          <w:p>
            <w:pPr>
              <w:spacing w:after="20" w:line="252" w:lineRule="auto"/>
            </w:pPr>
            <w:r>
              <w:rPr>
                <w:b/>
                <w:sz w:val="19"/>
              </w:rPr>
              <w:t>Kickoff and discovery</w:t>
            </w:r>
          </w:p>
        </w:tc>
        <w:tc>
          <w:tcPr>
            <w:tcW w:type="dxa" w:w="4535"/>
            <w:shd w:val="clear" w:color="auto" w:fill="FAFAFB"/>
            <w:vAlign w:val="center"/>
          </w:tcPr>
          <w:p>
            <w:pPr>
              <w:spacing w:after="20" w:line="252" w:lineRule="auto"/>
            </w:pPr>
            <w:r>
              <w:rPr>
                <w:b/>
                <w:color w:val="20242B"/>
                <w:sz w:val="19"/>
                <w:shd w:val="clear" w:color="auto" w:fill="FFF1A8"/>
              </w:rPr>
              <w:t>[[DATE]]</w:t>
            </w:r>
          </w:p>
        </w:tc>
      </w:tr>
      <w:tr>
        <w:trPr>
          <w:cantSplit/>
        </w:trPr>
        <w:tc>
          <w:tcPr>
            <w:tcW w:type="dxa" w:w="5102"/>
            <w:vAlign w:val="center"/>
          </w:tcPr>
          <w:p>
            <w:pPr>
              <w:spacing w:after="20" w:line="252" w:lineRule="auto"/>
            </w:pPr>
            <w:r>
              <w:rPr>
                <w:b/>
                <w:sz w:val="19"/>
              </w:rPr>
              <w:t>Go-live</w:t>
            </w:r>
          </w:p>
        </w:tc>
        <w:tc>
          <w:tcPr>
            <w:tcW w:type="dxa" w:w="4535"/>
            <w:vAlign w:val="center"/>
          </w:tcPr>
          <w:p>
            <w:pPr>
              <w:spacing w:after="20" w:line="252" w:lineRule="auto"/>
            </w:pPr>
            <w:r>
              <w:rPr>
                <w:b/>
                <w:color w:val="20242B"/>
                <w:sz w:val="19"/>
                <w:shd w:val="clear" w:color="auto" w:fill="FFF1A8"/>
              </w:rPr>
              <w:t>[[DATE]]</w:t>
            </w:r>
          </w:p>
        </w:tc>
      </w:tr>
      <w:tr>
        <w:trPr>
          <w:cantSplit/>
        </w:trPr>
        <w:tc>
          <w:tcPr>
            <w:tcW w:type="dxa" w:w="5102"/>
            <w:shd w:val="clear" w:color="auto" w:fill="FAFAFB"/>
            <w:vAlign w:val="center"/>
          </w:tcPr>
          <w:p>
            <w:pPr>
              <w:spacing w:after="20" w:line="252" w:lineRule="auto"/>
            </w:pPr>
            <w:r>
              <w:rPr>
                <w:b/>
                <w:sz w:val="19"/>
              </w:rPr>
              <w:t>Mid-pilot review (day 30)</w:t>
            </w:r>
          </w:p>
        </w:tc>
        <w:tc>
          <w:tcPr>
            <w:tcW w:type="dxa" w:w="4535"/>
            <w:shd w:val="clear" w:color="auto" w:fill="FAFAFB"/>
            <w:vAlign w:val="center"/>
          </w:tcPr>
          <w:p>
            <w:pPr>
              <w:spacing w:after="20" w:line="252" w:lineRule="auto"/>
            </w:pPr>
            <w:r>
              <w:rPr>
                <w:b/>
                <w:color w:val="20242B"/>
                <w:sz w:val="19"/>
                <w:shd w:val="clear" w:color="auto" w:fill="FFF1A8"/>
              </w:rPr>
              <w:t>[[DATE]]</w:t>
            </w:r>
          </w:p>
        </w:tc>
      </w:tr>
      <w:tr>
        <w:trPr>
          <w:cantSplit/>
        </w:trPr>
        <w:tc>
          <w:tcPr>
            <w:tcW w:type="dxa" w:w="5102"/>
            <w:vAlign w:val="center"/>
          </w:tcPr>
          <w:p>
            <w:pPr>
              <w:spacing w:after="20" w:line="252" w:lineRule="auto"/>
            </w:pPr>
            <w:r>
              <w:rPr>
                <w:b/>
                <w:sz w:val="19"/>
              </w:rPr>
              <w:t>Final review and plan decision (day 60)</w:t>
            </w:r>
          </w:p>
        </w:tc>
        <w:tc>
          <w:tcPr>
            <w:tcW w:type="dxa" w:w="4535"/>
            <w:vAlign w:val="center"/>
          </w:tcPr>
          <w:p>
            <w:pPr>
              <w:spacing w:after="20" w:line="252" w:lineRule="auto"/>
            </w:pPr>
            <w:r>
              <w:rPr>
                <w:b/>
                <w:color w:val="20242B"/>
                <w:sz w:val="19"/>
                <w:shd w:val="clear" w:color="auto" w:fill="FFF1A8"/>
              </w:rPr>
              <w:t>[[DATE]]</w:t>
            </w:r>
          </w:p>
        </w:tc>
      </w:tr>
    </w:tbl>
    <w:p>
      <w:pPr>
        <w:spacing w:after="0" w:line="120" w:lineRule="exact"/>
      </w:pPr>
    </w:p>
    <w:p>
      <w:pPr>
        <w:pStyle w:val="Heading1"/>
      </w:pPr>
      <w:r>
        <w:rPr/>
        <w:t>8. Investment options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lan investment options"/>
      </w:tblPr>
      <w:tblGrid>
        <w:gridCol w:w="1700"/>
        <w:gridCol w:w="1133"/>
        <w:gridCol w:w="1303"/>
        <w:gridCol w:w="1984"/>
        <w:gridCol w:w="3514"/>
      </w:tblGrid>
      <w:tr>
        <w:trPr>
          <w:cantSplit/>
          <w:tblHeader/>
        </w:trPr>
        <w:tc>
          <w:tcPr>
            <w:tcW w:type="dxa" w:w="1701"/>
            <w:shd w:val="clear" w:color="auto" w:fill="FF6A00"/>
            <w:vAlign w:val="center"/>
          </w:tcPr>
          <w:p>
            <w:pPr>
              <w:keepNext/>
              <w:spacing w:after="20" w:line="252" w:lineRule="auto"/>
            </w:pPr>
            <w:r>
              <w:rPr>
                <w:rFonts w:ascii="Poppins" w:hAnsi="Poppins" w:cs="Poppins" w:eastAsia="Poppins"/>
                <w:b/>
                <w:color w:val="20242B"/>
                <w:sz w:val="18"/>
              </w:rPr>
              <w:t>Plan</w:t>
            </w:r>
          </w:p>
        </w:tc>
        <w:tc>
          <w:tcPr>
            <w:tcW w:type="dxa" w:w="1134"/>
            <w:shd w:val="clear" w:color="auto" w:fill="FF6A00"/>
            <w:vAlign w:val="center"/>
          </w:tcPr>
          <w:p>
            <w:pPr>
              <w:keepNext/>
              <w:spacing w:after="20" w:line="252" w:lineRule="auto"/>
            </w:pPr>
            <w:r>
              <w:rPr>
                <w:rFonts w:ascii="Poppins" w:hAnsi="Poppins" w:cs="Poppins" w:eastAsia="Poppins"/>
                <w:b/>
                <w:color w:val="20242B"/>
                <w:sz w:val="18"/>
              </w:rPr>
              <w:t>Monthly</w:t>
            </w:r>
          </w:p>
        </w:tc>
        <w:tc>
          <w:tcPr>
            <w:tcW w:type="dxa" w:w="1304"/>
            <w:shd w:val="clear" w:color="auto" w:fill="FF6A00"/>
            <w:vAlign w:val="center"/>
          </w:tcPr>
          <w:p>
            <w:pPr>
              <w:keepNext/>
              <w:spacing w:after="20" w:line="252" w:lineRule="auto"/>
            </w:pPr>
            <w:r>
              <w:rPr>
                <w:rFonts w:ascii="Poppins" w:hAnsi="Poppins" w:cs="Poppins" w:eastAsia="Poppins"/>
                <w:b/>
                <w:color w:val="20242B"/>
                <w:sz w:val="18"/>
              </w:rPr>
              <w:t>Annual (10×)</w:t>
            </w:r>
          </w:p>
        </w:tc>
        <w:tc>
          <w:tcPr>
            <w:tcW w:type="dxa" w:w="1984"/>
            <w:shd w:val="clear" w:color="auto" w:fill="FF6A00"/>
            <w:vAlign w:val="center"/>
          </w:tcPr>
          <w:p>
            <w:pPr>
              <w:keepNext/>
              <w:spacing w:after="20" w:line="252" w:lineRule="auto"/>
            </w:pPr>
            <w:r>
              <w:rPr>
                <w:rFonts w:ascii="Poppins" w:hAnsi="Poppins" w:cs="Poppins" w:eastAsia="Poppins"/>
                <w:b/>
                <w:color w:val="20242B"/>
                <w:sz w:val="18"/>
              </w:rPr>
              <w:t>Founding Member*</w:t>
            </w:r>
          </w:p>
        </w:tc>
        <w:tc>
          <w:tcPr>
            <w:tcW w:type="dxa" w:w="3515"/>
            <w:shd w:val="clear" w:color="auto" w:fill="FF6A00"/>
            <w:vAlign w:val="center"/>
          </w:tcPr>
          <w:p>
            <w:pPr>
              <w:keepNext/>
              <w:spacing w:after="20" w:line="252" w:lineRule="auto"/>
            </w:pPr>
            <w:r>
              <w:rPr>
                <w:rFonts w:ascii="Poppins" w:hAnsi="Poppins" w:cs="Poppins" w:eastAsia="Poppins"/>
                <w:b/>
                <w:color w:val="20242B"/>
                <w:sz w:val="18"/>
              </w:rPr>
              <w:t>Includes</w:t>
            </w:r>
          </w:p>
        </w:tc>
      </w:tr>
      <w:tr>
        <w:trPr>
          <w:cantSplit/>
        </w:trPr>
        <w:tc>
          <w:tcPr>
            <w:tcW w:type="dxa" w:w="1701"/>
            <w:shd w:val="clear" w:color="auto" w:fill="FFF4EB"/>
            <w:vAlign w:val="center"/>
          </w:tcPr>
          <w:p>
            <w:pPr>
              <w:spacing w:after="20" w:line="252" w:lineRule="auto"/>
            </w:pPr>
            <w:r>
              <w:rPr>
                <w:b/>
                <w:sz w:val="18"/>
              </w:rPr>
              <w:t>Growth (recommended)</w:t>
            </w:r>
          </w:p>
        </w:tc>
        <w:tc>
          <w:tcPr>
            <w:tcW w:type="dxa" w:w="1134"/>
            <w:shd w:val="clear" w:color="auto" w:fill="FFF4EB"/>
            <w:vAlign w:val="center"/>
          </w:tcPr>
          <w:p>
            <w:pPr>
              <w:spacing w:after="20" w:line="252" w:lineRule="auto"/>
            </w:pPr>
            <w:r>
              <w:rPr>
                <w:sz w:val="18"/>
              </w:rPr>
              <w:t>R1,999</w:t>
            </w:r>
          </w:p>
        </w:tc>
        <w:tc>
          <w:tcPr>
            <w:tcW w:type="dxa" w:w="1304"/>
            <w:shd w:val="clear" w:color="auto" w:fill="FFF4EB"/>
            <w:vAlign w:val="center"/>
          </w:tcPr>
          <w:p>
            <w:pPr>
              <w:spacing w:after="20" w:line="252" w:lineRule="auto"/>
            </w:pPr>
            <w:r>
              <w:rPr>
                <w:sz w:val="18"/>
              </w:rPr>
              <w:t>R19,990</w:t>
            </w:r>
          </w:p>
        </w:tc>
        <w:tc>
          <w:tcPr>
            <w:tcW w:type="dxa" w:w="1984"/>
            <w:shd w:val="clear" w:color="auto" w:fill="FFF4EB"/>
            <w:vAlign w:val="center"/>
          </w:tcPr>
          <w:p>
            <w:pPr>
              <w:spacing w:after="20" w:line="252" w:lineRule="auto"/>
            </w:pPr>
            <w:r>
              <w:rPr>
                <w:sz w:val="18"/>
              </w:rPr>
              <w:t>R1,399 for the first 2 monthly bills</w:t>
            </w:r>
          </w:p>
        </w:tc>
        <w:tc>
          <w:tcPr>
            <w:tcW w:type="dxa" w:w="3515"/>
            <w:shd w:val="clear" w:color="auto" w:fill="FFF4EB"/>
            <w:vAlign w:val="center"/>
          </w:tcPr>
          <w:p>
            <w:pPr>
              <w:spacing w:after="20" w:line="252" w:lineRule="auto"/>
            </w:pPr>
            <w:r>
              <w:rPr>
                <w:sz w:val="18"/>
              </w:rPr>
              <w:t>3 brands, 15 channels, 25,000 AI credits/mo; e-commerce and WhatsApp commerce, USSD, integrations; email support</w:t>
            </w:r>
          </w:p>
        </w:tc>
      </w:tr>
      <w:tr>
        <w:trPr>
          <w:cantSplit/>
        </w:trPr>
        <w:tc>
          <w:tcPr>
            <w:tcW w:type="dxa" w:w="1701"/>
            <w:shd w:val="clear" w:color="auto" w:fill="FAFAFB"/>
            <w:vAlign w:val="center"/>
          </w:tcPr>
          <w:p>
            <w:pPr>
              <w:spacing w:after="20" w:line="252" w:lineRule="auto"/>
            </w:pPr>
            <w:r>
              <w:rPr>
                <w:b/>
                <w:sz w:val="18"/>
              </w:rPr>
              <w:t>Scale</w:t>
            </w:r>
          </w:p>
        </w:tc>
        <w:tc>
          <w:tcPr>
            <w:tcW w:type="dxa" w:w="1134"/>
            <w:shd w:val="clear" w:color="auto" w:fill="FAFAFB"/>
            <w:vAlign w:val="center"/>
          </w:tcPr>
          <w:p>
            <w:pPr>
              <w:spacing w:after="20" w:line="252" w:lineRule="auto"/>
            </w:pPr>
            <w:r>
              <w:rPr>
                <w:sz w:val="18"/>
              </w:rPr>
              <w:t>R4,999</w:t>
            </w:r>
          </w:p>
        </w:tc>
        <w:tc>
          <w:tcPr>
            <w:tcW w:type="dxa" w:w="1304"/>
            <w:shd w:val="clear" w:color="auto" w:fill="FAFAFB"/>
            <w:vAlign w:val="center"/>
          </w:tcPr>
          <w:p>
            <w:pPr>
              <w:spacing w:after="20" w:line="252" w:lineRule="auto"/>
            </w:pPr>
            <w:r>
              <w:rPr>
                <w:sz w:val="18"/>
              </w:rPr>
              <w:t>R49,990</w:t>
            </w:r>
          </w:p>
        </w:tc>
        <w:tc>
          <w:tcPr>
            <w:tcW w:type="dxa" w:w="1984"/>
            <w:shd w:val="clear" w:color="auto" w:fill="FAFAFB"/>
            <w:vAlign w:val="center"/>
          </w:tcPr>
          <w:p>
            <w:pPr>
              <w:spacing w:after="20" w:line="252" w:lineRule="auto"/>
            </w:pPr>
            <w:r>
              <w:rPr>
                <w:sz w:val="18"/>
              </w:rPr>
              <w:t>R3,499 for the first 2 monthly bills</w:t>
            </w:r>
          </w:p>
        </w:tc>
        <w:tc>
          <w:tcPr>
            <w:tcW w:type="dxa" w:w="3515"/>
            <w:shd w:val="clear" w:color="auto" w:fill="FAFAFB"/>
            <w:vAlign w:val="center"/>
          </w:tcPr>
          <w:p>
            <w:pPr>
              <w:spacing w:after="20" w:line="252" w:lineRule="auto"/>
            </w:pPr>
            <w:r>
              <w:rPr>
                <w:sz w:val="18"/>
              </w:rPr>
              <w:t>10 brands, 40 channels, 100,000 AI credits/mo; API access, white-label reports, priority support</w:t>
            </w:r>
          </w:p>
        </w:tc>
      </w:tr>
    </w:tbl>
    <w:p>
      <w:pPr>
        <w:spacing w:after="0" w:line="120" w:lineRule="exact"/>
      </w:pPr>
    </w:p>
    <w:p>
      <w:r>
        <w:rPr>
          <w:sz w:val="18"/>
        </w:rPr>
        <w:t xml:space="preserve">*Founding Member: South African sign-ups from 1 December 2026 to 31 January 2027 pay 30% less for the first 2 monthly bills, or get 2 extra months free on an annual plan, plus a Founding Member badge and priority support. </w:t>
      </w:r>
      <w:r>
        <w:rPr>
          <w:b/>
          <w:color w:val="20242B"/>
          <w:sz w:val="18"/>
          <w:shd w:val="clear" w:color="auto" w:fill="FFF1A8"/>
        </w:rPr>
        <w:t>[[DELETE IF NOT ELIGIBLE]]</w:t>
      </w:r>
      <w:r>
        <w:rPr>
          <w:sz w:val="18"/>
        </w:rPr>
        <w:t xml:space="preserve"> Gauteng pilot brands: Growth R999 or Scale R2,499 for the first 2 monthly bills from 1 December 2026. Every plan starts with a 14-day free trial, no card required.</w:t>
      </w:r>
    </w:p>
    <w:p>
      <w:pPr>
        <w:keepNext/>
        <w:spacing w:before="120" w:after="0"/>
        <w:jc w:val="center"/>
      </w:pPr>
      <w:r>
        <w:drawing>
          <wp:inline xmlns:a="http://schemas.openxmlformats.org/drawingml/2006/main" xmlns:pic="http://schemas.openxmlformats.org/drawingml/2006/picture">
            <wp:extent cx="6120000" cy="3442500"/>
            <wp:docPr id="6" name="Picture 6" descr="Pricing tiers: Starter R499, Growth R1,999 (most popular), Scale R4,999 and Agency R7,999 a month, with brands, channels, AI credits and highlights, and the Founding Member ribbon."/>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120000" cy="3442500"/>
                    </a:xfrm>
                    <a:prstGeom prst="rect"/>
                  </pic:spPr>
                </pic:pic>
              </a:graphicData>
            </a:graphic>
          </wp:inline>
        </w:drawing>
      </w:r>
    </w:p>
    <w:p>
      <w:pPr>
        <w:pStyle w:val="Caption"/>
        <w:jc w:val="center"/>
      </w:pPr>
      <w:r>
        <w:rPr>
          <w:b/>
        </w:rPr>
        <w:t>Figure 5.</w:t>
      </w:r>
      <w:r>
        <w:rPr/>
        <w:t xml:space="preserve"> FluxMuse plans in ZAR. Annual = 10× monthly. Enterprise is quoted on request.</w:t>
      </w:r>
    </w:p>
    <w:p>
      <w:pPr>
        <w:pStyle w:val="Heading2"/>
      </w:pPr>
      <w:r>
        <w:rPr/>
        <w:t>Optional FluxMuse services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Optional services fees"/>
      </w:tblPr>
      <w:tblGrid>
        <w:gridCol w:w="2834"/>
        <w:gridCol w:w="1700"/>
        <w:gridCol w:w="5102"/>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Service</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Fee</w:t>
            </w:r>
          </w:p>
        </w:tc>
        <w:tc>
          <w:tcPr>
            <w:tcW w:type="dxa" w:w="5102"/>
            <w:shd w:val="clear" w:color="auto" w:fill="FF6A00"/>
            <w:vAlign w:val="center"/>
          </w:tcPr>
          <w:p>
            <w:pPr>
              <w:keepNext/>
              <w:spacing w:after="20" w:line="252" w:lineRule="auto"/>
            </w:pPr>
            <w:r>
              <w:rPr>
                <w:rFonts w:ascii="Poppins" w:hAnsi="Poppins" w:cs="Poppins" w:eastAsia="Poppins"/>
                <w:b/>
                <w:color w:val="20242B"/>
                <w:sz w:val="19"/>
              </w:rPr>
              <w:t>Notes</w:t>
            </w:r>
          </w:p>
        </w:tc>
      </w:tr>
      <w:tr>
        <w:trPr>
          <w:cantSplit/>
        </w:trPr>
        <w:tc>
          <w:tcPr>
            <w:tcW w:type="dxa" w:w="2835"/>
            <w:vAlign w:val="center"/>
          </w:tcPr>
          <w:p>
            <w:pPr>
              <w:spacing w:after="20" w:line="252" w:lineRule="auto"/>
            </w:pPr>
            <w:r>
              <w:rPr>
                <w:b/>
                <w:sz w:val="19"/>
              </w:rPr>
              <w:t>Guided onboarding call</w:t>
            </w:r>
          </w:p>
        </w:tc>
        <w:tc>
          <w:tcPr>
            <w:tcW w:type="dxa" w:w="1701"/>
            <w:vAlign w:val="center"/>
          </w:tcPr>
          <w:p>
            <w:pPr>
              <w:spacing w:after="20" w:line="252" w:lineRule="auto"/>
            </w:pPr>
            <w:r>
              <w:rPr>
                <w:sz w:val="19"/>
              </w:rPr>
              <w:t>Included</w:t>
            </w:r>
          </w:p>
        </w:tc>
        <w:tc>
          <w:tcPr>
            <w:tcW w:type="dxa" w:w="5102"/>
            <w:vAlign w:val="center"/>
          </w:tcPr>
          <w:p>
            <w:pPr>
              <w:spacing w:after="20" w:line="252" w:lineRule="auto"/>
            </w:pPr>
            <w:r>
              <w:rPr>
                <w:sz w:val="19"/>
              </w:rPr>
              <w:t>Part of every Growth and Scale onboarding</w:t>
            </w:r>
          </w:p>
        </w:tc>
      </w:tr>
      <w:tr>
        <w:trPr>
          <w:cantSplit/>
        </w:trPr>
        <w:tc>
          <w:tcPr>
            <w:tcW w:type="dxa" w:w="2835"/>
            <w:shd w:val="clear" w:color="auto" w:fill="FAFAFB"/>
            <w:vAlign w:val="center"/>
          </w:tcPr>
          <w:p>
            <w:pPr>
              <w:spacing w:after="20" w:line="252" w:lineRule="auto"/>
            </w:pPr>
            <w:r>
              <w:rPr>
                <w:b/>
                <w:sz w:val="19"/>
              </w:rPr>
              <w:t>Hands-on set-up service</w:t>
            </w:r>
          </w:p>
        </w:tc>
        <w:tc>
          <w:tcPr>
            <w:tcW w:type="dxa" w:w="1701"/>
            <w:shd w:val="clear" w:color="auto" w:fill="FAFAFB"/>
            <w:vAlign w:val="center"/>
          </w:tcPr>
          <w:p>
            <w:pPr>
              <w:spacing w:after="20" w:line="252" w:lineRule="auto"/>
            </w:pPr>
            <w:r>
              <w:rPr>
                <w:b/>
                <w:color w:val="20242B"/>
                <w:sz w:val="19"/>
                <w:shd w:val="clear" w:color="auto" w:fill="FFF1A8"/>
              </w:rPr>
              <w:t>[[TBC]]</w:t>
            </w:r>
          </w:p>
        </w:tc>
        <w:tc>
          <w:tcPr>
            <w:tcW w:type="dxa" w:w="5102"/>
            <w:shd w:val="clear" w:color="auto" w:fill="FAFAFB"/>
            <w:vAlign w:val="center"/>
          </w:tcPr>
          <w:p>
            <w:pPr>
              <w:spacing w:after="20" w:line="252" w:lineRule="auto"/>
            </w:pPr>
            <w:r>
              <w:rPr>
                <w:sz w:val="19"/>
              </w:rPr>
              <w:t>Number, catalog, flows and integrations set up by our team</w:t>
            </w:r>
          </w:p>
        </w:tc>
      </w:tr>
      <w:tr>
        <w:trPr>
          <w:cantSplit/>
        </w:trPr>
        <w:tc>
          <w:tcPr>
            <w:tcW w:type="dxa" w:w="2835"/>
            <w:vAlign w:val="center"/>
          </w:tcPr>
          <w:p>
            <w:pPr>
              <w:spacing w:after="20" w:line="252" w:lineRule="auto"/>
            </w:pPr>
            <w:r>
              <w:rPr>
                <w:b/>
                <w:sz w:val="19"/>
              </w:rPr>
              <w:t>Catalog build</w:t>
            </w:r>
          </w:p>
        </w:tc>
        <w:tc>
          <w:tcPr>
            <w:tcW w:type="dxa" w:w="1701"/>
            <w:vAlign w:val="center"/>
          </w:tcPr>
          <w:p>
            <w:pPr>
              <w:spacing w:after="20" w:line="252" w:lineRule="auto"/>
            </w:pPr>
            <w:r>
              <w:rPr>
                <w:b/>
                <w:color w:val="20242B"/>
                <w:sz w:val="19"/>
                <w:shd w:val="clear" w:color="auto" w:fill="FFF1A8"/>
              </w:rPr>
              <w:t>[[TBC]]</w:t>
            </w:r>
          </w:p>
        </w:tc>
        <w:tc>
          <w:tcPr>
            <w:tcW w:type="dxa" w:w="5102"/>
            <w:vAlign w:val="center"/>
          </w:tcPr>
          <w:p>
            <w:pPr>
              <w:spacing w:after="20" w:line="252" w:lineRule="auto"/>
            </w:pPr>
            <w:r>
              <w:rPr>
                <w:sz w:val="19"/>
              </w:rPr>
              <w:t xml:space="preserve">Up to </w:t>
            </w:r>
            <w:r>
              <w:rPr>
                <w:b/>
                <w:color w:val="20242B"/>
                <w:sz w:val="19"/>
                <w:shd w:val="clear" w:color="auto" w:fill="FFF1A8"/>
              </w:rPr>
              <w:t>[[N]]</w:t>
            </w:r>
            <w:r>
              <w:rPr>
                <w:sz w:val="19"/>
              </w:rPr>
              <w:t xml:space="preserve"> products</w:t>
            </w:r>
          </w:p>
        </w:tc>
      </w:tr>
      <w:tr>
        <w:trPr>
          <w:cantSplit/>
        </w:trPr>
        <w:tc>
          <w:tcPr>
            <w:tcW w:type="dxa" w:w="2835"/>
            <w:shd w:val="clear" w:color="auto" w:fill="FAFAFB"/>
            <w:vAlign w:val="center"/>
          </w:tcPr>
          <w:p>
            <w:pPr>
              <w:spacing w:after="20" w:line="252" w:lineRule="auto"/>
            </w:pPr>
            <w:r>
              <w:rPr>
                <w:b/>
                <w:sz w:val="19"/>
              </w:rPr>
              <w:t>Content and design review</w:t>
            </w:r>
          </w:p>
        </w:tc>
        <w:tc>
          <w:tcPr>
            <w:tcW w:type="dxa" w:w="1701"/>
            <w:shd w:val="clear" w:color="auto" w:fill="FAFAFB"/>
            <w:vAlign w:val="center"/>
          </w:tcPr>
          <w:p>
            <w:pPr>
              <w:spacing w:after="20" w:line="252" w:lineRule="auto"/>
            </w:pPr>
            <w:r>
              <w:rPr>
                <w:b/>
                <w:color w:val="20242B"/>
                <w:sz w:val="19"/>
                <w:shd w:val="clear" w:color="auto" w:fill="FFF1A8"/>
              </w:rPr>
              <w:t>[[TBC]]</w:t>
            </w:r>
            <w:r>
              <w:rPr>
                <w:sz w:val="19"/>
              </w:rPr>
              <w:t xml:space="preserve"> /mo</w:t>
            </w:r>
          </w:p>
        </w:tc>
        <w:tc>
          <w:tcPr>
            <w:tcW w:type="dxa" w:w="5102"/>
            <w:shd w:val="clear" w:color="auto" w:fill="FAFAFB"/>
            <w:vAlign w:val="center"/>
          </w:tcPr>
          <w:p>
            <w:pPr>
              <w:spacing w:after="20" w:line="252" w:lineRule="auto"/>
            </w:pPr>
            <w:r>
              <w:rPr>
                <w:sz w:val="19"/>
              </w:rPr>
              <w:t>Human review of AI drafts</w:t>
            </w:r>
          </w:p>
        </w:tc>
      </w:tr>
      <w:tr>
        <w:trPr>
          <w:cantSplit/>
        </w:trPr>
        <w:tc>
          <w:tcPr>
            <w:tcW w:type="dxa" w:w="2835"/>
            <w:vAlign w:val="center"/>
          </w:tcPr>
          <w:p>
            <w:pPr>
              <w:spacing w:after="20" w:line="252" w:lineRule="auto"/>
            </w:pPr>
            <w:r>
              <w:rPr>
                <w:b/>
                <w:sz w:val="19"/>
              </w:rPr>
              <w:t>Campaign management</w:t>
            </w:r>
          </w:p>
        </w:tc>
        <w:tc>
          <w:tcPr>
            <w:tcW w:type="dxa" w:w="1701"/>
            <w:vAlign w:val="center"/>
          </w:tcPr>
          <w:p>
            <w:pPr>
              <w:spacing w:after="20" w:line="252" w:lineRule="auto"/>
            </w:pPr>
            <w:r>
              <w:rPr>
                <w:b/>
                <w:color w:val="20242B"/>
                <w:sz w:val="19"/>
                <w:shd w:val="clear" w:color="auto" w:fill="FFF1A8"/>
              </w:rPr>
              <w:t>[[TBC]]</w:t>
            </w:r>
            <w:r>
              <w:rPr>
                <w:sz w:val="19"/>
              </w:rPr>
              <w:t xml:space="preserve"> /mo</w:t>
            </w:r>
          </w:p>
        </w:tc>
        <w:tc>
          <w:tcPr>
            <w:tcW w:type="dxa" w:w="5102"/>
            <w:vAlign w:val="center"/>
          </w:tcPr>
          <w:p>
            <w:pPr>
              <w:spacing w:after="20" w:line="252" w:lineRule="auto"/>
            </w:pPr>
            <w:r>
              <w:rPr>
                <w:sz w:val="19"/>
              </w:rPr>
              <w:t>Planning, launch and optimisation of paid campaigns</w:t>
            </w:r>
          </w:p>
        </w:tc>
      </w:tr>
      <w:tr>
        <w:trPr>
          <w:cantSplit/>
        </w:trPr>
        <w:tc>
          <w:tcPr>
            <w:tcW w:type="dxa" w:w="2835"/>
            <w:shd w:val="clear" w:color="auto" w:fill="FAFAFB"/>
            <w:vAlign w:val="center"/>
          </w:tcPr>
          <w:p>
            <w:pPr>
              <w:spacing w:after="20" w:line="252" w:lineRule="auto"/>
            </w:pPr>
            <w:r>
              <w:rPr>
                <w:b/>
                <w:sz w:val="19"/>
              </w:rPr>
              <w:t>Extra training</w:t>
            </w:r>
          </w:p>
        </w:tc>
        <w:tc>
          <w:tcPr>
            <w:tcW w:type="dxa" w:w="1701"/>
            <w:shd w:val="clear" w:color="auto" w:fill="FAFAFB"/>
            <w:vAlign w:val="center"/>
          </w:tcPr>
          <w:p>
            <w:pPr>
              <w:spacing w:after="20" w:line="252" w:lineRule="auto"/>
            </w:pPr>
            <w:r>
              <w:rPr>
                <w:b/>
                <w:color w:val="20242B"/>
                <w:sz w:val="19"/>
                <w:shd w:val="clear" w:color="auto" w:fill="FFF1A8"/>
              </w:rPr>
              <w:t>[[TBC]]</w:t>
            </w:r>
            <w:r>
              <w:rPr>
                <w:sz w:val="19"/>
              </w:rPr>
              <w:t xml:space="preserve"> per session</w:t>
            </w:r>
          </w:p>
        </w:tc>
        <w:tc>
          <w:tcPr>
            <w:tcW w:type="dxa" w:w="5102"/>
            <w:shd w:val="clear" w:color="auto" w:fill="FAFAFB"/>
            <w:vAlign w:val="center"/>
          </w:tcPr>
          <w:p>
            <w:pPr>
              <w:spacing w:after="20" w:line="252" w:lineRule="auto"/>
            </w:pPr>
            <w:r>
              <w:rPr>
                <w:sz w:val="19"/>
              </w:rPr>
              <w:t>For additional teams or branches</w:t>
            </w:r>
          </w:p>
        </w:tc>
      </w:tr>
    </w:tbl>
    <w:p>
      <w:pPr>
        <w:spacing w:after="0" w:line="120" w:lineRule="exact"/>
      </w:pPr>
    </w:p>
    <w:p>
      <w:pPr>
        <w:pStyle w:val="Heading2"/>
      </w:pPr>
      <w:r>
        <w:rPr/>
        <w:t>Third-party pass-through costs</w:t>
      </w:r>
    </w:p>
    <w:p>
      <w:r>
        <w:rPr>
          <w:sz w:val="19"/>
        </w:rPr>
        <w:t>These are charged by the provider at their rates, not by FluxMuse. They are estimates until usage is known.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ird-party pass-through costs"/>
      </w:tblPr>
      <w:tblGrid>
        <w:gridCol w:w="3174"/>
        <w:gridCol w:w="2040"/>
        <w:gridCol w:w="1814"/>
        <w:gridCol w:w="2607"/>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9"/>
              </w:rPr>
              <w:t>Cost</w:t>
            </w:r>
          </w:p>
        </w:tc>
        <w:tc>
          <w:tcPr>
            <w:tcW w:type="dxa" w:w="2041"/>
            <w:shd w:val="clear" w:color="auto" w:fill="FF6A00"/>
            <w:vAlign w:val="center"/>
          </w:tcPr>
          <w:p>
            <w:pPr>
              <w:keepNext/>
              <w:spacing w:after="20" w:line="252" w:lineRule="auto"/>
            </w:pPr>
            <w:r>
              <w:rPr>
                <w:rFonts w:ascii="Poppins" w:hAnsi="Poppins" w:cs="Poppins" w:eastAsia="Poppins"/>
                <w:b/>
                <w:color w:val="20242B"/>
                <w:sz w:val="19"/>
              </w:rPr>
              <w:t>Charged by</w:t>
            </w:r>
          </w:p>
        </w:tc>
        <w:tc>
          <w:tcPr>
            <w:tcW w:type="dxa" w:w="1814"/>
            <w:shd w:val="clear" w:color="auto" w:fill="FF6A00"/>
            <w:vAlign w:val="center"/>
          </w:tcPr>
          <w:p>
            <w:pPr>
              <w:keepNext/>
              <w:spacing w:after="20" w:line="252" w:lineRule="auto"/>
            </w:pPr>
            <w:r>
              <w:rPr>
                <w:rFonts w:ascii="Poppins" w:hAnsi="Poppins" w:cs="Poppins" w:eastAsia="Poppins"/>
                <w:b/>
                <w:color w:val="20242B"/>
                <w:sz w:val="19"/>
              </w:rPr>
              <w:t>Estimate</w:t>
            </w:r>
          </w:p>
        </w:tc>
        <w:tc>
          <w:tcPr>
            <w:tcW w:type="dxa" w:w="2608"/>
            <w:shd w:val="clear" w:color="auto" w:fill="FF6A00"/>
            <w:vAlign w:val="center"/>
          </w:tcPr>
          <w:p>
            <w:pPr>
              <w:keepNext/>
              <w:spacing w:after="20" w:line="252" w:lineRule="auto"/>
            </w:pPr>
            <w:r>
              <w:rPr>
                <w:rFonts w:ascii="Poppins" w:hAnsi="Poppins" w:cs="Poppins" w:eastAsia="Poppins"/>
                <w:b/>
                <w:color w:val="20242B"/>
                <w:sz w:val="19"/>
              </w:rPr>
              <w:t>Depends on</w:t>
            </w:r>
          </w:p>
        </w:tc>
      </w:tr>
      <w:tr>
        <w:trPr>
          <w:cantSplit/>
        </w:trPr>
        <w:tc>
          <w:tcPr>
            <w:tcW w:type="dxa" w:w="3175"/>
            <w:vAlign w:val="center"/>
          </w:tcPr>
          <w:p>
            <w:pPr>
              <w:spacing w:after="20" w:line="252" w:lineRule="auto"/>
            </w:pPr>
            <w:r>
              <w:rPr>
                <w:b/>
                <w:sz w:val="19"/>
              </w:rPr>
              <w:t>WhatsApp conversation and template message fees</w:t>
            </w:r>
          </w:p>
        </w:tc>
        <w:tc>
          <w:tcPr>
            <w:tcW w:type="dxa" w:w="2041"/>
            <w:vAlign w:val="center"/>
          </w:tcPr>
          <w:p>
            <w:pPr>
              <w:spacing w:after="20" w:line="252" w:lineRule="auto"/>
            </w:pPr>
            <w:r>
              <w:rPr>
                <w:sz w:val="19"/>
              </w:rPr>
              <w:t>Meta</w:t>
            </w:r>
          </w:p>
        </w:tc>
        <w:tc>
          <w:tcPr>
            <w:tcW w:type="dxa" w:w="1814"/>
            <w:vAlign w:val="center"/>
          </w:tcPr>
          <w:p>
            <w:pPr>
              <w:spacing w:after="20" w:line="252" w:lineRule="auto"/>
            </w:pPr>
            <w:r>
              <w:rPr>
                <w:b/>
                <w:color w:val="20242B"/>
                <w:sz w:val="19"/>
                <w:shd w:val="clear" w:color="auto" w:fill="FFF1A8"/>
              </w:rPr>
              <w:t>[[estimate R/mo]]</w:t>
            </w:r>
          </w:p>
        </w:tc>
        <w:tc>
          <w:tcPr>
            <w:tcW w:type="dxa" w:w="2608"/>
            <w:vAlign w:val="center"/>
          </w:tcPr>
          <w:p>
            <w:pPr>
              <w:spacing w:after="20" w:line="252" w:lineRule="auto"/>
            </w:pPr>
            <w:r>
              <w:rPr>
                <w:sz w:val="19"/>
              </w:rPr>
              <w:t>Message volume and category</w:t>
            </w:r>
          </w:p>
        </w:tc>
      </w:tr>
      <w:tr>
        <w:trPr>
          <w:cantSplit/>
        </w:trPr>
        <w:tc>
          <w:tcPr>
            <w:tcW w:type="dxa" w:w="3175"/>
            <w:shd w:val="clear" w:color="auto" w:fill="FAFAFB"/>
            <w:vAlign w:val="center"/>
          </w:tcPr>
          <w:p>
            <w:pPr>
              <w:spacing w:after="20" w:line="252" w:lineRule="auto"/>
            </w:pPr>
            <w:r>
              <w:rPr>
                <w:b/>
                <w:sz w:val="19"/>
              </w:rPr>
              <w:t>Ad spend</w:t>
            </w:r>
          </w:p>
        </w:tc>
        <w:tc>
          <w:tcPr>
            <w:tcW w:type="dxa" w:w="2041"/>
            <w:shd w:val="clear" w:color="auto" w:fill="FAFAFB"/>
            <w:vAlign w:val="center"/>
          </w:tcPr>
          <w:p>
            <w:pPr>
              <w:spacing w:after="20" w:line="252" w:lineRule="auto"/>
            </w:pPr>
            <w:r>
              <w:rPr>
                <w:sz w:val="19"/>
              </w:rPr>
              <w:t xml:space="preserve">Meta </w:t>
            </w:r>
            <w:r>
              <w:rPr>
                <w:b/>
                <w:color w:val="20242B"/>
                <w:sz w:val="19"/>
                <w:shd w:val="clear" w:color="auto" w:fill="FFF1A8"/>
              </w:rPr>
              <w:t>[[/ other ad platforms]]</w:t>
            </w:r>
          </w:p>
        </w:tc>
        <w:tc>
          <w:tcPr>
            <w:tcW w:type="dxa" w:w="1814"/>
            <w:shd w:val="clear" w:color="auto" w:fill="FAFAFB"/>
            <w:vAlign w:val="center"/>
          </w:tcPr>
          <w:p>
            <w:pPr>
              <w:spacing w:after="20" w:line="252" w:lineRule="auto"/>
            </w:pPr>
            <w:r>
              <w:rPr>
                <w:b/>
                <w:color w:val="20242B"/>
                <w:sz w:val="19"/>
                <w:shd w:val="clear" w:color="auto" w:fill="FFF1A8"/>
              </w:rPr>
              <w:t>[[estimate R/mo]]</w:t>
            </w:r>
          </w:p>
        </w:tc>
        <w:tc>
          <w:tcPr>
            <w:tcW w:type="dxa" w:w="2608"/>
            <w:shd w:val="clear" w:color="auto" w:fill="FAFAFB"/>
            <w:vAlign w:val="center"/>
          </w:tcPr>
          <w:p>
            <w:pPr>
              <w:spacing w:after="20" w:line="252" w:lineRule="auto"/>
            </w:pPr>
            <w:r>
              <w:rPr>
                <w:sz w:val="19"/>
              </w:rPr>
              <w:t xml:space="preserve">Budget set by </w:t>
            </w:r>
            <w:r>
              <w:rPr>
                <w:b/>
                <w:color w:val="20242B"/>
                <w:sz w:val="19"/>
                <w:shd w:val="clear" w:color="auto" w:fill="FFF1A8"/>
              </w:rPr>
              <w:t>[[CLIENT NAME]]</w:t>
            </w:r>
          </w:p>
        </w:tc>
      </w:tr>
      <w:tr>
        <w:trPr>
          <w:cantSplit/>
        </w:trPr>
        <w:tc>
          <w:tcPr>
            <w:tcW w:type="dxa" w:w="3175"/>
            <w:vAlign w:val="center"/>
          </w:tcPr>
          <w:p>
            <w:pPr>
              <w:spacing w:after="20" w:line="252" w:lineRule="auto"/>
            </w:pPr>
            <w:r>
              <w:rPr>
                <w:b/>
                <w:sz w:val="19"/>
              </w:rPr>
              <w:t>SMS sending</w:t>
            </w:r>
          </w:p>
        </w:tc>
        <w:tc>
          <w:tcPr>
            <w:tcW w:type="dxa" w:w="2041"/>
            <w:vAlign w:val="center"/>
          </w:tcPr>
          <w:p>
            <w:pPr>
              <w:spacing w:after="20" w:line="252" w:lineRule="auto"/>
            </w:pPr>
            <w:r>
              <w:rPr>
                <w:sz w:val="19"/>
              </w:rPr>
              <w:t>SMS provider</w:t>
            </w:r>
          </w:p>
        </w:tc>
        <w:tc>
          <w:tcPr>
            <w:tcW w:type="dxa" w:w="1814"/>
            <w:vAlign w:val="center"/>
          </w:tcPr>
          <w:p>
            <w:pPr>
              <w:spacing w:after="20" w:line="252" w:lineRule="auto"/>
            </w:pPr>
            <w:r>
              <w:rPr>
                <w:b/>
                <w:color w:val="20242B"/>
                <w:sz w:val="19"/>
                <w:shd w:val="clear" w:color="auto" w:fill="FFF1A8"/>
              </w:rPr>
              <w:t>[[estimate R/mo]]</w:t>
            </w:r>
          </w:p>
        </w:tc>
        <w:tc>
          <w:tcPr>
            <w:tcW w:type="dxa" w:w="2608"/>
            <w:vAlign w:val="center"/>
          </w:tcPr>
          <w:p>
            <w:pPr>
              <w:spacing w:after="20" w:line="252" w:lineRule="auto"/>
            </w:pPr>
            <w:r>
              <w:rPr>
                <w:sz w:val="19"/>
              </w:rPr>
              <w:t>Number of messages</w:t>
            </w:r>
          </w:p>
        </w:tc>
      </w:tr>
      <w:tr>
        <w:trPr>
          <w:cantSplit/>
        </w:trPr>
        <w:tc>
          <w:tcPr>
            <w:tcW w:type="dxa" w:w="3175"/>
            <w:shd w:val="clear" w:color="auto" w:fill="FAFAFB"/>
            <w:vAlign w:val="center"/>
          </w:tcPr>
          <w:p>
            <w:pPr>
              <w:spacing w:after="20" w:line="252" w:lineRule="auto"/>
            </w:pPr>
            <w:r>
              <w:rPr>
                <w:b/>
                <w:sz w:val="19"/>
              </w:rPr>
              <w:t>Payment processing</w:t>
            </w:r>
          </w:p>
        </w:tc>
        <w:tc>
          <w:tcPr>
            <w:tcW w:type="dxa" w:w="2041"/>
            <w:shd w:val="clear" w:color="auto" w:fill="FAFAFB"/>
            <w:vAlign w:val="center"/>
          </w:tcPr>
          <w:p>
            <w:pPr>
              <w:spacing w:after="20" w:line="252" w:lineRule="auto"/>
            </w:pPr>
            <w:r>
              <w:rPr>
                <w:sz w:val="19"/>
              </w:rPr>
              <w:t>Yoco / Ozow / Paystack</w:t>
            </w:r>
          </w:p>
        </w:tc>
        <w:tc>
          <w:tcPr>
            <w:tcW w:type="dxa" w:w="1814"/>
            <w:shd w:val="clear" w:color="auto" w:fill="FAFAFB"/>
            <w:vAlign w:val="center"/>
          </w:tcPr>
          <w:p>
            <w:pPr>
              <w:spacing w:after="20" w:line="252" w:lineRule="auto"/>
            </w:pPr>
            <w:r>
              <w:rPr>
                <w:b/>
                <w:color w:val="20242B"/>
                <w:sz w:val="19"/>
                <w:shd w:val="clear" w:color="auto" w:fill="FFF1A8"/>
              </w:rPr>
              <w:t>[[provider rates]]</w:t>
            </w:r>
          </w:p>
        </w:tc>
        <w:tc>
          <w:tcPr>
            <w:tcW w:type="dxa" w:w="2608"/>
            <w:shd w:val="clear" w:color="auto" w:fill="FAFAFB"/>
            <w:vAlign w:val="center"/>
          </w:tcPr>
          <w:p>
            <w:pPr>
              <w:spacing w:after="20" w:line="252" w:lineRule="auto"/>
            </w:pPr>
            <w:r>
              <w:rPr>
                <w:sz w:val="19"/>
              </w:rPr>
              <w:t>Transaction value and method</w:t>
            </w:r>
          </w:p>
        </w:tc>
      </w:tr>
    </w:tbl>
    <w:p>
      <w:pPr>
        <w:spacing w:after="0" w:line="120" w:lineRule="exact"/>
      </w:pPr>
    </w:p>
    <w:p>
      <w:pPr>
        <w:pStyle w:val="Heading2"/>
      </w:pPr>
      <w:r>
        <w:rPr/>
        <w:t>First three months at a glance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ree-month investment summary"/>
      </w:tblPr>
      <w:tblGrid>
        <w:gridCol w:w="3968"/>
        <w:gridCol w:w="1870"/>
        <w:gridCol w:w="1870"/>
        <w:gridCol w:w="1927"/>
      </w:tblGrid>
      <w:tr>
        <w:trPr>
          <w:cantSplit/>
          <w:tblHeader/>
        </w:trPr>
        <w:tc>
          <w:tcPr>
            <w:tcW w:type="dxa" w:w="3969"/>
            <w:shd w:val="clear" w:color="auto" w:fill="FF6A00"/>
            <w:vAlign w:val="center"/>
          </w:tcPr>
          <w:p>
            <w:pPr>
              <w:keepNext/>
              <w:spacing w:after="20" w:line="252" w:lineRule="auto"/>
            </w:pPr>
            <w:r>
              <w:rPr>
                <w:rFonts w:ascii="Poppins" w:hAnsi="Poppins" w:cs="Poppins" w:eastAsia="Poppins"/>
                <w:b/>
                <w:color w:val="20242B"/>
                <w:sz w:val="19"/>
              </w:rPr>
              <w:t>Item</w:t>
            </w:r>
          </w:p>
        </w:tc>
        <w:tc>
          <w:tcPr>
            <w:tcW w:type="dxa" w:w="1871"/>
            <w:shd w:val="clear" w:color="auto" w:fill="FF6A00"/>
            <w:vAlign w:val="center"/>
          </w:tcPr>
          <w:p>
            <w:pPr>
              <w:keepNext/>
              <w:spacing w:after="20" w:line="252" w:lineRule="auto"/>
              <w:jc w:val="right"/>
            </w:pPr>
            <w:r>
              <w:rPr>
                <w:rFonts w:ascii="Poppins" w:hAnsi="Poppins" w:cs="Poppins" w:eastAsia="Poppins"/>
                <w:b/>
                <w:color w:val="20242B"/>
                <w:sz w:val="19"/>
              </w:rPr>
              <w:t>Month 1</w:t>
            </w:r>
          </w:p>
        </w:tc>
        <w:tc>
          <w:tcPr>
            <w:tcW w:type="dxa" w:w="1871"/>
            <w:shd w:val="clear" w:color="auto" w:fill="FF6A00"/>
            <w:vAlign w:val="center"/>
          </w:tcPr>
          <w:p>
            <w:pPr>
              <w:keepNext/>
              <w:spacing w:after="20" w:line="252" w:lineRule="auto"/>
              <w:jc w:val="right"/>
            </w:pPr>
            <w:r>
              <w:rPr>
                <w:rFonts w:ascii="Poppins" w:hAnsi="Poppins" w:cs="Poppins" w:eastAsia="Poppins"/>
                <w:b/>
                <w:color w:val="20242B"/>
                <w:sz w:val="19"/>
              </w:rPr>
              <w:t>Month 2</w:t>
            </w:r>
          </w:p>
        </w:tc>
        <w:tc>
          <w:tcPr>
            <w:tcW w:type="dxa" w:w="1928"/>
            <w:shd w:val="clear" w:color="auto" w:fill="FF6A00"/>
            <w:vAlign w:val="center"/>
          </w:tcPr>
          <w:p>
            <w:pPr>
              <w:keepNext/>
              <w:spacing w:after="20" w:line="252" w:lineRule="auto"/>
              <w:jc w:val="right"/>
            </w:pPr>
            <w:r>
              <w:rPr>
                <w:rFonts w:ascii="Poppins" w:hAnsi="Poppins" w:cs="Poppins" w:eastAsia="Poppins"/>
                <w:b/>
                <w:color w:val="20242B"/>
                <w:sz w:val="19"/>
              </w:rPr>
              <w:t>Month 3</w:t>
            </w:r>
          </w:p>
        </w:tc>
      </w:tr>
      <w:tr>
        <w:trPr>
          <w:cantSplit/>
        </w:trPr>
        <w:tc>
          <w:tcPr>
            <w:tcW w:type="dxa" w:w="3969"/>
            <w:vAlign w:val="center"/>
          </w:tcPr>
          <w:p>
            <w:pPr>
              <w:spacing w:after="20" w:line="252" w:lineRule="auto"/>
            </w:pPr>
            <w:r>
              <w:rPr>
                <w:b/>
                <w:sz w:val="19"/>
              </w:rPr>
              <w:t>FluxMuse plan (</w:t>
            </w:r>
            <w:r>
              <w:rPr>
                <w:b/>
                <w:color w:val="20242B"/>
                <w:sz w:val="19"/>
                <w:shd w:val="clear" w:color="auto" w:fill="FFF1A8"/>
              </w:rPr>
              <w:t>[[Growth / Scale]]</w:t>
            </w:r>
            <w:r>
              <w:rPr>
                <w:b/>
                <w:sz w:val="19"/>
              </w:rPr>
              <w:t>)</w:t>
            </w:r>
          </w:p>
        </w:tc>
        <w:tc>
          <w:tcPr>
            <w:tcW w:type="dxa" w:w="1871"/>
            <w:vAlign w:val="center"/>
          </w:tcPr>
          <w:p>
            <w:pPr>
              <w:spacing w:after="20" w:line="252" w:lineRule="auto"/>
              <w:jc w:val="right"/>
            </w:pPr>
            <w:r>
              <w:rPr>
                <w:b/>
                <w:color w:val="20242B"/>
                <w:sz w:val="19"/>
                <w:shd w:val="clear" w:color="auto" w:fill="FFF1A8"/>
              </w:rPr>
              <w:t>[[R]]</w:t>
            </w:r>
          </w:p>
        </w:tc>
        <w:tc>
          <w:tcPr>
            <w:tcW w:type="dxa" w:w="1871"/>
            <w:vAlign w:val="center"/>
          </w:tcPr>
          <w:p>
            <w:pPr>
              <w:spacing w:after="20" w:line="252" w:lineRule="auto"/>
              <w:jc w:val="right"/>
            </w:pPr>
            <w:r>
              <w:rPr>
                <w:b/>
                <w:color w:val="20242B"/>
                <w:sz w:val="19"/>
                <w:shd w:val="clear" w:color="auto" w:fill="FFF1A8"/>
              </w:rPr>
              <w:t>[[R]]</w:t>
            </w:r>
          </w:p>
        </w:tc>
        <w:tc>
          <w:tcPr>
            <w:tcW w:type="dxa" w:w="1928"/>
            <w:vAlign w:val="center"/>
          </w:tcPr>
          <w:p>
            <w:pPr>
              <w:spacing w:after="20" w:line="252" w:lineRule="auto"/>
              <w:jc w:val="right"/>
            </w:pPr>
            <w:r>
              <w:rPr>
                <w:b/>
                <w:color w:val="20242B"/>
                <w:sz w:val="19"/>
                <w:shd w:val="clear" w:color="auto" w:fill="FFF1A8"/>
              </w:rPr>
              <w:t>[[R]]</w:t>
            </w:r>
          </w:p>
        </w:tc>
      </w:tr>
      <w:tr>
        <w:trPr>
          <w:cantSplit/>
        </w:trPr>
        <w:tc>
          <w:tcPr>
            <w:tcW w:type="dxa" w:w="3969"/>
            <w:shd w:val="clear" w:color="auto" w:fill="FAFAFB"/>
            <w:vAlign w:val="center"/>
          </w:tcPr>
          <w:p>
            <w:pPr>
              <w:spacing w:after="20" w:line="252" w:lineRule="auto"/>
            </w:pPr>
            <w:r>
              <w:rPr>
                <w:b/>
                <w:sz w:val="19"/>
              </w:rPr>
              <w:t>Optional services</w:t>
            </w:r>
          </w:p>
        </w:tc>
        <w:tc>
          <w:tcPr>
            <w:tcW w:type="dxa" w:w="1871"/>
            <w:shd w:val="clear" w:color="auto" w:fill="FAFAFB"/>
            <w:vAlign w:val="center"/>
          </w:tcPr>
          <w:p>
            <w:pPr>
              <w:spacing w:after="20" w:line="252" w:lineRule="auto"/>
              <w:jc w:val="right"/>
            </w:pPr>
            <w:r>
              <w:rPr>
                <w:b/>
                <w:color w:val="20242B"/>
                <w:sz w:val="19"/>
                <w:shd w:val="clear" w:color="auto" w:fill="FFF1A8"/>
              </w:rPr>
              <w:t>[[TBC]]</w:t>
            </w:r>
          </w:p>
        </w:tc>
        <w:tc>
          <w:tcPr>
            <w:tcW w:type="dxa" w:w="1871"/>
            <w:shd w:val="clear" w:color="auto" w:fill="FAFAFB"/>
            <w:vAlign w:val="center"/>
          </w:tcPr>
          <w:p>
            <w:pPr>
              <w:spacing w:after="20" w:line="252" w:lineRule="auto"/>
              <w:jc w:val="right"/>
            </w:pPr>
            <w:r>
              <w:rPr>
                <w:b/>
                <w:color w:val="20242B"/>
                <w:sz w:val="19"/>
                <w:shd w:val="clear" w:color="auto" w:fill="FFF1A8"/>
              </w:rPr>
              <w:t>[[TBC]]</w:t>
            </w:r>
          </w:p>
        </w:tc>
        <w:tc>
          <w:tcPr>
            <w:tcW w:type="dxa" w:w="1928"/>
            <w:shd w:val="clear" w:color="auto" w:fill="FAFAFB"/>
            <w:vAlign w:val="center"/>
          </w:tcPr>
          <w:p>
            <w:pPr>
              <w:spacing w:after="20" w:line="252" w:lineRule="auto"/>
              <w:jc w:val="right"/>
            </w:pPr>
            <w:r>
              <w:rPr>
                <w:b/>
                <w:color w:val="20242B"/>
                <w:sz w:val="19"/>
                <w:shd w:val="clear" w:color="auto" w:fill="FFF1A8"/>
              </w:rPr>
              <w:t>[[TBC]]</w:t>
            </w:r>
          </w:p>
        </w:tc>
      </w:tr>
      <w:tr>
        <w:trPr>
          <w:cantSplit/>
        </w:trPr>
        <w:tc>
          <w:tcPr>
            <w:tcW w:type="dxa" w:w="3969"/>
            <w:vAlign w:val="center"/>
          </w:tcPr>
          <w:p>
            <w:pPr>
              <w:spacing w:after="20" w:line="252" w:lineRule="auto"/>
            </w:pPr>
            <w:r>
              <w:rPr>
                <w:b/>
                <w:sz w:val="19"/>
              </w:rPr>
              <w:t>Pass-through costs (estimate)</w:t>
            </w:r>
          </w:p>
        </w:tc>
        <w:tc>
          <w:tcPr>
            <w:tcW w:type="dxa" w:w="1871"/>
            <w:vAlign w:val="center"/>
          </w:tcPr>
          <w:p>
            <w:pPr>
              <w:spacing w:after="20" w:line="252" w:lineRule="auto"/>
              <w:jc w:val="right"/>
            </w:pPr>
            <w:r>
              <w:rPr>
                <w:b/>
                <w:color w:val="20242B"/>
                <w:sz w:val="19"/>
                <w:shd w:val="clear" w:color="auto" w:fill="FFF1A8"/>
              </w:rPr>
              <w:t>[[R]]</w:t>
            </w:r>
          </w:p>
        </w:tc>
        <w:tc>
          <w:tcPr>
            <w:tcW w:type="dxa" w:w="1871"/>
            <w:vAlign w:val="center"/>
          </w:tcPr>
          <w:p>
            <w:pPr>
              <w:spacing w:after="20" w:line="252" w:lineRule="auto"/>
              <w:jc w:val="right"/>
            </w:pPr>
            <w:r>
              <w:rPr>
                <w:b/>
                <w:color w:val="20242B"/>
                <w:sz w:val="19"/>
                <w:shd w:val="clear" w:color="auto" w:fill="FFF1A8"/>
              </w:rPr>
              <w:t>[[R]]</w:t>
            </w:r>
          </w:p>
        </w:tc>
        <w:tc>
          <w:tcPr>
            <w:tcW w:type="dxa" w:w="1928"/>
            <w:vAlign w:val="center"/>
          </w:tcPr>
          <w:p>
            <w:pPr>
              <w:spacing w:after="20" w:line="252" w:lineRule="auto"/>
              <w:jc w:val="right"/>
            </w:pPr>
            <w:r>
              <w:rPr>
                <w:b/>
                <w:color w:val="20242B"/>
                <w:sz w:val="19"/>
                <w:shd w:val="clear" w:color="auto" w:fill="FFF1A8"/>
              </w:rPr>
              <w:t>[[R]]</w:t>
            </w:r>
          </w:p>
        </w:tc>
      </w:tr>
      <w:tr>
        <w:trPr>
          <w:cantSplit/>
        </w:trPr>
        <w:tc>
          <w:tcPr>
            <w:tcW w:type="dxa" w:w="3969"/>
            <w:shd w:val="clear" w:color="auto" w:fill="FFF4EB"/>
            <w:vAlign w:val="center"/>
          </w:tcPr>
          <w:p>
            <w:pPr>
              <w:spacing w:after="20" w:line="252" w:lineRule="auto"/>
            </w:pPr>
            <w:r>
              <w:rPr>
                <w:b/>
                <w:sz w:val="19"/>
              </w:rPr>
              <w:t>Total (excl. VAT)</w:t>
            </w:r>
          </w:p>
        </w:tc>
        <w:tc>
          <w:tcPr>
            <w:tcW w:type="dxa" w:w="1871"/>
            <w:shd w:val="clear" w:color="auto" w:fill="FFF4EB"/>
            <w:vAlign w:val="center"/>
          </w:tcPr>
          <w:p>
            <w:pPr>
              <w:spacing w:after="20" w:line="252" w:lineRule="auto"/>
              <w:jc w:val="right"/>
            </w:pPr>
            <w:r>
              <w:rPr>
                <w:b/>
                <w:color w:val="20242B"/>
                <w:sz w:val="19"/>
                <w:shd w:val="clear" w:color="auto" w:fill="FFF1A8"/>
              </w:rPr>
              <w:t>[[R]]</w:t>
            </w:r>
          </w:p>
        </w:tc>
        <w:tc>
          <w:tcPr>
            <w:tcW w:type="dxa" w:w="1871"/>
            <w:shd w:val="clear" w:color="auto" w:fill="FFF4EB"/>
            <w:vAlign w:val="center"/>
          </w:tcPr>
          <w:p>
            <w:pPr>
              <w:spacing w:after="20" w:line="252" w:lineRule="auto"/>
              <w:jc w:val="right"/>
            </w:pPr>
            <w:r>
              <w:rPr>
                <w:b/>
                <w:color w:val="20242B"/>
                <w:sz w:val="19"/>
                <w:shd w:val="clear" w:color="auto" w:fill="FFF1A8"/>
              </w:rPr>
              <w:t>[[R]]</w:t>
            </w:r>
          </w:p>
        </w:tc>
        <w:tc>
          <w:tcPr>
            <w:tcW w:type="dxa" w:w="1928"/>
            <w:shd w:val="clear" w:color="auto" w:fill="FFF4EB"/>
            <w:vAlign w:val="center"/>
          </w:tcPr>
          <w:p>
            <w:pPr>
              <w:spacing w:after="20" w:line="252" w:lineRule="auto"/>
              <w:jc w:val="right"/>
            </w:pPr>
            <w:r>
              <w:rPr>
                <w:b/>
                <w:color w:val="20242B"/>
                <w:sz w:val="19"/>
                <w:shd w:val="clear" w:color="auto" w:fill="FFF1A8"/>
              </w:rPr>
              <w:t>[[R]]</w:t>
            </w:r>
          </w:p>
        </w:tc>
      </w:tr>
    </w:tbl>
    <w:p>
      <w:pPr>
        <w:spacing w:after="0" w:line="120" w:lineRule="exact"/>
      </w:pPr>
    </w:p>
    <w:p>
      <w:r>
        <w:rPr>
          <w:sz w:val="19"/>
        </w:rPr>
        <w:t xml:space="preserve">Campaign Financing (campaign credit facilities and instalment plans) may be available for ad spend: </w:t>
      </w:r>
      <w:r>
        <w:rPr>
          <w:b/>
          <w:color w:val="20242B"/>
          <w:sz w:val="19"/>
          <w:shd w:val="clear" w:color="auto" w:fill="FFF1A8"/>
        </w:rPr>
        <w:t>[[CONFIRM ELIGIBILITY]]</w:t>
      </w:r>
      <w:r>
        <w:rPr>
          <w:sz w:val="19"/>
        </w:rPr>
        <w:t>.</w:t>
      </w:r>
    </w:p>
    <w:p>
      <w:pPr>
        <w:pStyle w:val="Heading1"/>
      </w:pPr>
      <w:r>
        <w:rPr/>
        <w:t>9. Payments and markets</w:t>
      </w:r>
    </w:p>
    <w:p>
      <w:r>
        <w:rPr/>
        <w:t xml:space="preserve">In South Africa </w:t>
      </w:r>
      <w:r>
        <w:rPr>
          <w:b/>
          <w:color w:val="20242B"/>
          <w:shd w:val="clear" w:color="auto" w:fill="FFF1A8"/>
        </w:rPr>
        <w:t>[[CLIENT NAME]]</w:t>
      </w:r>
      <w:r>
        <w:rPr/>
        <w:t>'s customers can pay by Yoco card, Ozow instant EFT or Paystack, and Fincra supports collections. All five payment rails live September 2026 (pawaPay and Fincra from the week of 14 September).</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yment rails"/>
      </w:tblPr>
      <w:tblGrid>
        <w:gridCol w:w="1360"/>
        <w:gridCol w:w="3514"/>
        <w:gridCol w:w="4762"/>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8"/>
              </w:rPr>
              <w:t>Rail</w:t>
            </w:r>
          </w:p>
        </w:tc>
        <w:tc>
          <w:tcPr>
            <w:tcW w:type="dxa" w:w="3515"/>
            <w:shd w:val="clear" w:color="auto" w:fill="FF6A00"/>
            <w:vAlign w:val="center"/>
          </w:tcPr>
          <w:p>
            <w:pPr>
              <w:keepNext/>
              <w:spacing w:after="20" w:line="252" w:lineRule="auto"/>
            </w:pPr>
            <w:r>
              <w:rPr>
                <w:rFonts w:ascii="Poppins" w:hAnsi="Poppins" w:cs="Poppins" w:eastAsia="Poppins"/>
                <w:b/>
                <w:color w:val="20242B"/>
                <w:sz w:val="18"/>
              </w:rPr>
              <w:t>Type</w:t>
            </w:r>
          </w:p>
        </w:tc>
        <w:tc>
          <w:tcPr>
            <w:tcW w:type="dxa" w:w="4762"/>
            <w:shd w:val="clear" w:color="auto" w:fill="FF6A00"/>
            <w:vAlign w:val="center"/>
          </w:tcPr>
          <w:p>
            <w:pPr>
              <w:keepNext/>
              <w:spacing w:after="20" w:line="252" w:lineRule="auto"/>
            </w:pPr>
            <w:r>
              <w:rPr>
                <w:rFonts w:ascii="Poppins" w:hAnsi="Poppins" w:cs="Poppins" w:eastAsia="Poppins"/>
                <w:b/>
                <w:color w:val="20242B"/>
                <w:sz w:val="18"/>
              </w:rPr>
              <w:t>Countries</w:t>
            </w:r>
          </w:p>
        </w:tc>
      </w:tr>
      <w:tr>
        <w:trPr>
          <w:cantSplit/>
        </w:trPr>
        <w:tc>
          <w:tcPr>
            <w:tcW w:type="dxa" w:w="1361"/>
            <w:vAlign w:val="center"/>
          </w:tcPr>
          <w:p>
            <w:pPr>
              <w:spacing w:after="20" w:line="252" w:lineRule="auto"/>
            </w:pPr>
            <w:r>
              <w:rPr>
                <w:b/>
                <w:sz w:val="18"/>
              </w:rPr>
              <w:t>Yoco</w:t>
            </w:r>
          </w:p>
        </w:tc>
        <w:tc>
          <w:tcPr>
            <w:tcW w:type="dxa" w:w="3515"/>
            <w:vAlign w:val="center"/>
          </w:tcPr>
          <w:p>
            <w:pPr>
              <w:spacing w:after="20" w:line="252" w:lineRule="auto"/>
            </w:pPr>
            <w:r>
              <w:rPr>
                <w:sz w:val="18"/>
              </w:rPr>
              <w:t>Card acquiring, tap-to-pay</w:t>
            </w:r>
          </w:p>
        </w:tc>
        <w:tc>
          <w:tcPr>
            <w:tcW w:type="dxa" w:w="4762"/>
            <w:vAlign w:val="center"/>
          </w:tcPr>
          <w:p>
            <w:pPr>
              <w:spacing w:after="20" w:line="252" w:lineRule="auto"/>
            </w:pPr>
            <w:r>
              <w:rPr>
                <w:sz w:val="18"/>
              </w:rPr>
              <w:t>South Africa</w:t>
            </w:r>
          </w:p>
        </w:tc>
      </w:tr>
      <w:tr>
        <w:trPr>
          <w:cantSplit/>
        </w:trPr>
        <w:tc>
          <w:tcPr>
            <w:tcW w:type="dxa" w:w="1361"/>
            <w:shd w:val="clear" w:color="auto" w:fill="FAFAFB"/>
            <w:vAlign w:val="center"/>
          </w:tcPr>
          <w:p>
            <w:pPr>
              <w:spacing w:after="20" w:line="252" w:lineRule="auto"/>
            </w:pPr>
            <w:r>
              <w:rPr>
                <w:b/>
                <w:sz w:val="18"/>
              </w:rPr>
              <w:t>Ozow</w:t>
            </w:r>
          </w:p>
        </w:tc>
        <w:tc>
          <w:tcPr>
            <w:tcW w:type="dxa" w:w="3515"/>
            <w:shd w:val="clear" w:color="auto" w:fill="FAFAFB"/>
            <w:vAlign w:val="center"/>
          </w:tcPr>
          <w:p>
            <w:pPr>
              <w:spacing w:after="20" w:line="252" w:lineRule="auto"/>
            </w:pPr>
            <w:r>
              <w:rPr>
                <w:sz w:val="18"/>
              </w:rPr>
              <w:t>Instant EFT / pay-by-bank</w:t>
            </w:r>
          </w:p>
        </w:tc>
        <w:tc>
          <w:tcPr>
            <w:tcW w:type="dxa" w:w="4762"/>
            <w:shd w:val="clear" w:color="auto" w:fill="FAFAFB"/>
            <w:vAlign w:val="center"/>
          </w:tcPr>
          <w:p>
            <w:pPr>
              <w:spacing w:after="20" w:line="252" w:lineRule="auto"/>
            </w:pPr>
            <w:r>
              <w:rPr>
                <w:sz w:val="18"/>
              </w:rPr>
              <w:t>South Africa</w:t>
            </w:r>
          </w:p>
        </w:tc>
      </w:tr>
      <w:tr>
        <w:trPr>
          <w:cantSplit/>
        </w:trPr>
        <w:tc>
          <w:tcPr>
            <w:tcW w:type="dxa" w:w="1361"/>
            <w:vAlign w:val="center"/>
          </w:tcPr>
          <w:p>
            <w:pPr>
              <w:spacing w:after="20" w:line="252" w:lineRule="auto"/>
            </w:pPr>
            <w:r>
              <w:rPr>
                <w:b/>
                <w:sz w:val="18"/>
              </w:rPr>
              <w:t>Paystack</w:t>
            </w:r>
          </w:p>
        </w:tc>
        <w:tc>
          <w:tcPr>
            <w:tcW w:type="dxa" w:w="3515"/>
            <w:vAlign w:val="center"/>
          </w:tcPr>
          <w:p>
            <w:pPr>
              <w:spacing w:after="20" w:line="252" w:lineRule="auto"/>
            </w:pPr>
            <w:r>
              <w:rPr>
                <w:sz w:val="18"/>
              </w:rPr>
              <w:t>Cards, bank transfer, USSD, mobile money</w:t>
            </w:r>
          </w:p>
        </w:tc>
        <w:tc>
          <w:tcPr>
            <w:tcW w:type="dxa" w:w="4762"/>
            <w:vAlign w:val="center"/>
          </w:tcPr>
          <w:p>
            <w:pPr>
              <w:spacing w:after="20" w:line="252" w:lineRule="auto"/>
            </w:pPr>
            <w:r>
              <w:rPr>
                <w:sz w:val="18"/>
              </w:rPr>
              <w:t>Nigeria, Ghana, South Africa, Kenya, Côte d'Ivoire, Rwanda</w:t>
            </w:r>
          </w:p>
        </w:tc>
      </w:tr>
      <w:tr>
        <w:trPr>
          <w:cantSplit/>
        </w:trPr>
        <w:tc>
          <w:tcPr>
            <w:tcW w:type="dxa" w:w="1361"/>
            <w:shd w:val="clear" w:color="auto" w:fill="FAFAFB"/>
            <w:vAlign w:val="center"/>
          </w:tcPr>
          <w:p>
            <w:pPr>
              <w:spacing w:after="20" w:line="252" w:lineRule="auto"/>
            </w:pPr>
            <w:r>
              <w:rPr>
                <w:b/>
                <w:sz w:val="18"/>
              </w:rPr>
              <w:t>pawaPay</w:t>
            </w:r>
          </w:p>
        </w:tc>
        <w:tc>
          <w:tcPr>
            <w:tcW w:type="dxa" w:w="3515"/>
            <w:shd w:val="clear" w:color="auto" w:fill="FAFAFB"/>
            <w:vAlign w:val="center"/>
          </w:tcPr>
          <w:p>
            <w:pPr>
              <w:spacing w:after="20" w:line="252" w:lineRule="auto"/>
            </w:pPr>
            <w:r>
              <w:rPr>
                <w:sz w:val="18"/>
              </w:rPr>
              <w:t>Mobile money collections and payouts, 40+ mobile money operators</w:t>
            </w:r>
          </w:p>
        </w:tc>
        <w:tc>
          <w:tcPr>
            <w:tcW w:type="dxa" w:w="4762"/>
            <w:shd w:val="clear" w:color="auto" w:fill="FAFAFB"/>
            <w:vAlign w:val="center"/>
          </w:tcPr>
          <w:p>
            <w:pPr>
              <w:spacing w:after="20" w:line="252" w:lineRule="auto"/>
            </w:pPr>
            <w:r>
              <w:rPr>
                <w:sz w:val="18"/>
              </w:rPr>
              <w:t>20 countries, including Ghana, Kenya, Nigeria, Uganda, Tanzania, Zambia</w:t>
            </w:r>
          </w:p>
        </w:tc>
      </w:tr>
      <w:tr>
        <w:trPr>
          <w:cantSplit/>
        </w:trPr>
        <w:tc>
          <w:tcPr>
            <w:tcW w:type="dxa" w:w="1361"/>
            <w:vAlign w:val="center"/>
          </w:tcPr>
          <w:p>
            <w:pPr>
              <w:spacing w:after="20" w:line="252" w:lineRule="auto"/>
            </w:pPr>
            <w:r>
              <w:rPr>
                <w:b/>
                <w:sz w:val="18"/>
              </w:rPr>
              <w:t>Fincra</w:t>
            </w:r>
          </w:p>
        </w:tc>
        <w:tc>
          <w:tcPr>
            <w:tcW w:type="dxa" w:w="3515"/>
            <w:vAlign w:val="center"/>
          </w:tcPr>
          <w:p>
            <w:pPr>
              <w:spacing w:after="20" w:line="252" w:lineRule="auto"/>
            </w:pPr>
            <w:r>
              <w:rPr>
                <w:sz w:val="18"/>
              </w:rPr>
              <w:t>Collections (virtual accounts, cards, bank, mobile money) and payouts</w:t>
            </w:r>
          </w:p>
        </w:tc>
        <w:tc>
          <w:tcPr>
            <w:tcW w:type="dxa" w:w="4762"/>
            <w:vAlign w:val="center"/>
          </w:tcPr>
          <w:p>
            <w:pPr>
              <w:spacing w:after="20" w:line="252" w:lineRule="auto"/>
            </w:pPr>
            <w:r>
              <w:rPr>
                <w:sz w:val="18"/>
              </w:rPr>
              <w:t>Collections hubs: Nigeria, Ghana, Kenya, Uganda, South Africa</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7" name="Picture 7" descr="Tile map of Africa showing 23 rail-covered countries shaded by number of rails, South Africa with four, and Botswana and Namibia as coming soon."/>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120000" cy="3442500"/>
                    </a:xfrm>
                    <a:prstGeom prst="rect"/>
                  </pic:spPr>
                </pic:pic>
              </a:graphicData>
            </a:graphic>
          </wp:inline>
        </w:drawing>
      </w:r>
    </w:p>
    <w:p>
      <w:pPr>
        <w:pStyle w:val="Caption"/>
        <w:jc w:val="center"/>
      </w:pPr>
      <w:r>
        <w:rPr>
          <w:b/>
        </w:rPr>
        <w:t>Figure 6.</w:t>
      </w:r>
      <w:r>
        <w:rPr/>
        <w:t xml:space="preserve"> Local payments in 23 African countries; Botswana and Namibia coming soon.</w:t>
      </w:r>
    </w:p>
    <w:p>
      <w:pPr>
        <w:pStyle w:val="ListBullet"/>
      </w:pPr>
      <w:r>
        <w:rPr/>
        <w:t xml:space="preserve">If </w:t>
      </w:r>
      <w:r>
        <w:rPr>
          <w:b/>
          <w:color w:val="20242B"/>
          <w:shd w:val="clear" w:color="auto" w:fill="FFF1A8"/>
        </w:rPr>
        <w:t>[[CLIENT NAME]]</w:t>
      </w:r>
      <w:r>
        <w:rPr/>
        <w:t xml:space="preserve"> sells in Nigeria, Kenya or Ghana, those customers are billed in local currency; the other 19 rail-covered countries in USD. See Appendix A.</w:t>
      </w:r>
    </w:p>
    <w:p>
      <w:pPr>
        <w:pStyle w:val="ListBullet"/>
      </w:pPr>
      <w:r>
        <w:rPr/>
        <w:t>Countries without a payment rail are gated: businesses there can join the waitlist, but we don't quote prices or open checkout.</w:t>
      </w:r>
    </w:p>
    <w:p>
      <w:pPr>
        <w:pStyle w:val="Heading1"/>
      </w:pPr>
      <w:r>
        <w:rPr/>
        <w:t>10. Reporting and governance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porting cadence"/>
      </w:tblPr>
      <w:tblGrid>
        <w:gridCol w:w="1700"/>
        <w:gridCol w:w="4081"/>
        <w:gridCol w:w="2154"/>
        <w:gridCol w:w="1700"/>
      </w:tblGrid>
      <w:tr>
        <w:trPr>
          <w:cantSplit/>
          <w:tblHeader/>
        </w:trPr>
        <w:tc>
          <w:tcPr>
            <w:tcW w:type="dxa" w:w="1701"/>
            <w:shd w:val="clear" w:color="auto" w:fill="FF6A00"/>
            <w:vAlign w:val="center"/>
          </w:tcPr>
          <w:p>
            <w:pPr>
              <w:keepNext/>
              <w:spacing w:after="20" w:line="252" w:lineRule="auto"/>
            </w:pPr>
            <w:r>
              <w:rPr>
                <w:rFonts w:ascii="Poppins" w:hAnsi="Poppins" w:cs="Poppins" w:eastAsia="Poppins"/>
                <w:b/>
                <w:color w:val="20242B"/>
                <w:sz w:val="18"/>
              </w:rPr>
              <w:t>Cadence</w:t>
            </w:r>
          </w:p>
        </w:tc>
        <w:tc>
          <w:tcPr>
            <w:tcW w:type="dxa" w:w="4082"/>
            <w:shd w:val="clear" w:color="auto" w:fill="FF6A00"/>
            <w:vAlign w:val="center"/>
          </w:tcPr>
          <w:p>
            <w:pPr>
              <w:keepNext/>
              <w:spacing w:after="20" w:line="252" w:lineRule="auto"/>
            </w:pPr>
            <w:r>
              <w:rPr>
                <w:rFonts w:ascii="Poppins" w:hAnsi="Poppins" w:cs="Poppins" w:eastAsia="Poppins"/>
                <w:b/>
                <w:color w:val="20242B"/>
                <w:sz w:val="18"/>
              </w:rPr>
              <w:t>What</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Who</w:t>
            </w:r>
          </w:p>
        </w:tc>
        <w:tc>
          <w:tcPr>
            <w:tcW w:type="dxa" w:w="1701"/>
            <w:shd w:val="clear" w:color="auto" w:fill="FF6A00"/>
            <w:vAlign w:val="center"/>
          </w:tcPr>
          <w:p>
            <w:pPr>
              <w:keepNext/>
              <w:spacing w:after="20" w:line="252" w:lineRule="auto"/>
            </w:pPr>
            <w:r>
              <w:rPr>
                <w:rFonts w:ascii="Poppins" w:hAnsi="Poppins" w:cs="Poppins" w:eastAsia="Poppins"/>
                <w:b/>
                <w:color w:val="20242B"/>
                <w:sz w:val="18"/>
              </w:rPr>
              <w:t>Format</w:t>
            </w:r>
          </w:p>
        </w:tc>
      </w:tr>
      <w:tr>
        <w:trPr>
          <w:cantSplit/>
        </w:trPr>
        <w:tc>
          <w:tcPr>
            <w:tcW w:type="dxa" w:w="1701"/>
            <w:vAlign w:val="center"/>
          </w:tcPr>
          <w:p>
            <w:pPr>
              <w:spacing w:after="20" w:line="252" w:lineRule="auto"/>
            </w:pPr>
            <w:r>
              <w:rPr>
                <w:b/>
                <w:sz w:val="18"/>
              </w:rPr>
              <w:t>Always on</w:t>
            </w:r>
          </w:p>
        </w:tc>
        <w:tc>
          <w:tcPr>
            <w:tcW w:type="dxa" w:w="4082"/>
            <w:vAlign w:val="center"/>
          </w:tcPr>
          <w:p>
            <w:pPr>
              <w:spacing w:after="20" w:line="252" w:lineRule="auto"/>
            </w:pPr>
            <w:r>
              <w:rPr>
                <w:sz w:val="18"/>
              </w:rPr>
              <w:t>Live dashboard: conversations, orders, GMV, content, campaigns</w:t>
            </w:r>
          </w:p>
        </w:tc>
        <w:tc>
          <w:tcPr>
            <w:tcW w:type="dxa" w:w="2154"/>
            <w:vAlign w:val="center"/>
          </w:tcPr>
          <w:p>
            <w:pPr>
              <w:spacing w:after="20" w:line="252" w:lineRule="auto"/>
            </w:pPr>
            <w:r>
              <w:rPr>
                <w:b/>
                <w:color w:val="20242B"/>
                <w:sz w:val="18"/>
                <w:shd w:val="clear" w:color="auto" w:fill="FFF1A8"/>
              </w:rPr>
              <w:t>[[CLIENT NAME]]</w:t>
            </w:r>
            <w:r>
              <w:rPr>
                <w:sz w:val="18"/>
              </w:rPr>
              <w:t xml:space="preserve"> team</w:t>
            </w:r>
          </w:p>
        </w:tc>
        <w:tc>
          <w:tcPr>
            <w:tcW w:type="dxa" w:w="1701"/>
            <w:vAlign w:val="center"/>
          </w:tcPr>
          <w:p>
            <w:pPr>
              <w:spacing w:after="20" w:line="252" w:lineRule="auto"/>
            </w:pPr>
            <w:r>
              <w:rPr>
                <w:sz w:val="18"/>
              </w:rPr>
              <w:t>FluxMuse app</w:t>
            </w:r>
          </w:p>
        </w:tc>
      </w:tr>
      <w:tr>
        <w:trPr>
          <w:cantSplit/>
        </w:trPr>
        <w:tc>
          <w:tcPr>
            <w:tcW w:type="dxa" w:w="1701"/>
            <w:shd w:val="clear" w:color="auto" w:fill="FAFAFB"/>
            <w:vAlign w:val="center"/>
          </w:tcPr>
          <w:p>
            <w:pPr>
              <w:spacing w:after="20" w:line="252" w:lineRule="auto"/>
            </w:pPr>
            <w:r>
              <w:rPr>
                <w:b/>
                <w:sz w:val="18"/>
              </w:rPr>
              <w:t>Weekly (pilot)</w:t>
            </w:r>
          </w:p>
        </w:tc>
        <w:tc>
          <w:tcPr>
            <w:tcW w:type="dxa" w:w="4082"/>
            <w:shd w:val="clear" w:color="auto" w:fill="FAFAFB"/>
            <w:vAlign w:val="center"/>
          </w:tcPr>
          <w:p>
            <w:pPr>
              <w:spacing w:after="20" w:line="252" w:lineRule="auto"/>
            </w:pPr>
            <w:r>
              <w:rPr>
                <w:sz w:val="18"/>
              </w:rPr>
              <w:t>30-minute check-in: progress against targets, blockers, next actions</w:t>
            </w:r>
          </w:p>
        </w:tc>
        <w:tc>
          <w:tcPr>
            <w:tcW w:type="dxa" w:w="2154"/>
            <w:shd w:val="clear" w:color="auto" w:fill="FAFAFB"/>
            <w:vAlign w:val="center"/>
          </w:tcPr>
          <w:p>
            <w:pPr>
              <w:spacing w:after="20" w:line="252" w:lineRule="auto"/>
            </w:pPr>
            <w:r>
              <w:rPr>
                <w:b/>
                <w:color w:val="20242B"/>
                <w:sz w:val="18"/>
                <w:shd w:val="clear" w:color="auto" w:fill="FFF1A8"/>
              </w:rPr>
              <w:t>[[FLUXMUSE LEAD]]</w:t>
            </w:r>
            <w:r>
              <w:rPr>
                <w:sz w:val="18"/>
              </w:rPr>
              <w:t xml:space="preserve"> + </w:t>
            </w:r>
            <w:r>
              <w:rPr>
                <w:b/>
                <w:color w:val="20242B"/>
                <w:sz w:val="18"/>
                <w:shd w:val="clear" w:color="auto" w:fill="FFF1A8"/>
              </w:rPr>
              <w:t>[[CLIENT OWNER]]</w:t>
            </w:r>
          </w:p>
        </w:tc>
        <w:tc>
          <w:tcPr>
            <w:tcW w:type="dxa" w:w="1701"/>
            <w:shd w:val="clear" w:color="auto" w:fill="FAFAFB"/>
            <w:vAlign w:val="center"/>
          </w:tcPr>
          <w:p>
            <w:pPr>
              <w:spacing w:after="20" w:line="252" w:lineRule="auto"/>
            </w:pPr>
            <w:r>
              <w:rPr>
                <w:sz w:val="18"/>
              </w:rPr>
              <w:t>Call + written actions</w:t>
            </w:r>
          </w:p>
        </w:tc>
      </w:tr>
      <w:tr>
        <w:trPr>
          <w:cantSplit/>
        </w:trPr>
        <w:tc>
          <w:tcPr>
            <w:tcW w:type="dxa" w:w="1701"/>
            <w:vAlign w:val="center"/>
          </w:tcPr>
          <w:p>
            <w:pPr>
              <w:spacing w:after="20" w:line="252" w:lineRule="auto"/>
            </w:pPr>
            <w:r>
              <w:rPr>
                <w:b/>
                <w:sz w:val="18"/>
              </w:rPr>
              <w:t>Day 30</w:t>
            </w:r>
          </w:p>
        </w:tc>
        <w:tc>
          <w:tcPr>
            <w:tcW w:type="dxa" w:w="4082"/>
            <w:vAlign w:val="center"/>
          </w:tcPr>
          <w:p>
            <w:pPr>
              <w:spacing w:after="20" w:line="252" w:lineRule="auto"/>
            </w:pPr>
            <w:r>
              <w:rPr>
                <w:sz w:val="18"/>
              </w:rPr>
              <w:t>Mid-pilot report and test plan for days 31–60</w:t>
            </w:r>
          </w:p>
        </w:tc>
        <w:tc>
          <w:tcPr>
            <w:tcW w:type="dxa" w:w="2154"/>
            <w:vAlign w:val="center"/>
          </w:tcPr>
          <w:p>
            <w:pPr>
              <w:spacing w:after="20" w:line="252" w:lineRule="auto"/>
            </w:pPr>
            <w:r>
              <w:rPr>
                <w:sz w:val="18"/>
              </w:rPr>
              <w:t>Both teams</w:t>
            </w:r>
          </w:p>
        </w:tc>
        <w:tc>
          <w:tcPr>
            <w:tcW w:type="dxa" w:w="1701"/>
            <w:vAlign w:val="center"/>
          </w:tcPr>
          <w:p>
            <w:pPr>
              <w:spacing w:after="20" w:line="252" w:lineRule="auto"/>
            </w:pPr>
            <w:r>
              <w:rPr>
                <w:sz w:val="18"/>
              </w:rPr>
              <w:t>Report</w:t>
            </w:r>
          </w:p>
        </w:tc>
      </w:tr>
      <w:tr>
        <w:trPr>
          <w:cantSplit/>
        </w:trPr>
        <w:tc>
          <w:tcPr>
            <w:tcW w:type="dxa" w:w="1701"/>
            <w:shd w:val="clear" w:color="auto" w:fill="FAFAFB"/>
            <w:vAlign w:val="center"/>
          </w:tcPr>
          <w:p>
            <w:pPr>
              <w:spacing w:after="20" w:line="252" w:lineRule="auto"/>
            </w:pPr>
            <w:r>
              <w:rPr>
                <w:b/>
                <w:sz w:val="18"/>
              </w:rPr>
              <w:t>Monthly</w:t>
            </w:r>
          </w:p>
        </w:tc>
        <w:tc>
          <w:tcPr>
            <w:tcW w:type="dxa" w:w="4082"/>
            <w:shd w:val="clear" w:color="auto" w:fill="FAFAFB"/>
            <w:vAlign w:val="center"/>
          </w:tcPr>
          <w:p>
            <w:pPr>
              <w:spacing w:after="20" w:line="252" w:lineRule="auto"/>
            </w:pPr>
            <w:r>
              <w:rPr>
                <w:sz w:val="18"/>
              </w:rPr>
              <w:t>Performance report and recommendations</w:t>
            </w:r>
          </w:p>
        </w:tc>
        <w:tc>
          <w:tcPr>
            <w:tcW w:type="dxa" w:w="2154"/>
            <w:shd w:val="clear" w:color="auto" w:fill="FAFAFB"/>
            <w:vAlign w:val="center"/>
          </w:tcPr>
          <w:p>
            <w:pPr>
              <w:spacing w:after="20" w:line="252" w:lineRule="auto"/>
            </w:pPr>
            <w:r>
              <w:rPr>
                <w:b/>
                <w:color w:val="20242B"/>
                <w:sz w:val="18"/>
                <w:shd w:val="clear" w:color="auto" w:fill="FFF1A8"/>
              </w:rPr>
              <w:t>[[FLUXMUSE LEAD]]</w:t>
            </w:r>
          </w:p>
        </w:tc>
        <w:tc>
          <w:tcPr>
            <w:tcW w:type="dxa" w:w="1701"/>
            <w:shd w:val="clear" w:color="auto" w:fill="FAFAFB"/>
            <w:vAlign w:val="center"/>
          </w:tcPr>
          <w:p>
            <w:pPr>
              <w:spacing w:after="20" w:line="252" w:lineRule="auto"/>
            </w:pPr>
            <w:r>
              <w:rPr>
                <w:sz w:val="18"/>
              </w:rPr>
              <w:t>Custom report</w:t>
            </w:r>
          </w:p>
        </w:tc>
      </w:tr>
      <w:tr>
        <w:trPr>
          <w:cantSplit/>
        </w:trPr>
        <w:tc>
          <w:tcPr>
            <w:tcW w:type="dxa" w:w="1701"/>
            <w:vAlign w:val="center"/>
          </w:tcPr>
          <w:p>
            <w:pPr>
              <w:spacing w:after="20" w:line="252" w:lineRule="auto"/>
            </w:pPr>
            <w:r>
              <w:rPr>
                <w:b/>
                <w:sz w:val="18"/>
              </w:rPr>
              <w:t>Day 60</w:t>
            </w:r>
          </w:p>
        </w:tc>
        <w:tc>
          <w:tcPr>
            <w:tcW w:type="dxa" w:w="4082"/>
            <w:vAlign w:val="center"/>
          </w:tcPr>
          <w:p>
            <w:pPr>
              <w:spacing w:after="20" w:line="252" w:lineRule="auto"/>
            </w:pPr>
            <w:r>
              <w:rPr>
                <w:sz w:val="18"/>
              </w:rPr>
              <w:t>Final pilot review and plan decision</w:t>
            </w:r>
          </w:p>
        </w:tc>
        <w:tc>
          <w:tcPr>
            <w:tcW w:type="dxa" w:w="2154"/>
            <w:vAlign w:val="center"/>
          </w:tcPr>
          <w:p>
            <w:pPr>
              <w:spacing w:after="20" w:line="252" w:lineRule="auto"/>
            </w:pPr>
            <w:r>
              <w:rPr>
                <w:sz w:val="18"/>
              </w:rPr>
              <w:t>Decision makers</w:t>
            </w:r>
          </w:p>
        </w:tc>
        <w:tc>
          <w:tcPr>
            <w:tcW w:type="dxa" w:w="1701"/>
            <w:vAlign w:val="center"/>
          </w:tcPr>
          <w:p>
            <w:pPr>
              <w:spacing w:after="20" w:line="252" w:lineRule="auto"/>
            </w:pPr>
            <w:r>
              <w:rPr>
                <w:sz w:val="18"/>
              </w:rPr>
              <w:t>Report + meeting</w:t>
            </w:r>
          </w:p>
        </w:tc>
      </w:tr>
      <w:tr>
        <w:trPr>
          <w:cantSplit/>
        </w:trPr>
        <w:tc>
          <w:tcPr>
            <w:tcW w:type="dxa" w:w="1701"/>
            <w:shd w:val="clear" w:color="auto" w:fill="FAFAFB"/>
            <w:vAlign w:val="center"/>
          </w:tcPr>
          <w:p>
            <w:pPr>
              <w:spacing w:after="20" w:line="252" w:lineRule="auto"/>
            </w:pPr>
            <w:r>
              <w:rPr>
                <w:b/>
                <w:sz w:val="18"/>
              </w:rPr>
              <w:t>Quarterly (after pilot)</w:t>
            </w:r>
          </w:p>
        </w:tc>
        <w:tc>
          <w:tcPr>
            <w:tcW w:type="dxa" w:w="4082"/>
            <w:shd w:val="clear" w:color="auto" w:fill="FAFAFB"/>
            <w:vAlign w:val="center"/>
          </w:tcPr>
          <w:p>
            <w:pPr>
              <w:spacing w:after="20" w:line="252" w:lineRule="auto"/>
            </w:pPr>
            <w:r>
              <w:rPr>
                <w:sz w:val="18"/>
              </w:rPr>
              <w:t xml:space="preserve">Business review </w:t>
            </w:r>
            <w:r>
              <w:rPr>
                <w:b/>
                <w:color w:val="20242B"/>
                <w:sz w:val="18"/>
                <w:shd w:val="clear" w:color="auto" w:fill="FFF1A8"/>
              </w:rPr>
              <w:t>[[OPTIONAL]]</w:t>
            </w:r>
          </w:p>
        </w:tc>
        <w:tc>
          <w:tcPr>
            <w:tcW w:type="dxa" w:w="2154"/>
            <w:shd w:val="clear" w:color="auto" w:fill="FAFAFB"/>
            <w:vAlign w:val="center"/>
          </w:tcPr>
          <w:p>
            <w:pPr>
              <w:spacing w:after="20" w:line="252" w:lineRule="auto"/>
            </w:pPr>
            <w:r>
              <w:rPr>
                <w:sz w:val="18"/>
              </w:rPr>
              <w:t>Decision makers</w:t>
            </w:r>
          </w:p>
        </w:tc>
        <w:tc>
          <w:tcPr>
            <w:tcW w:type="dxa" w:w="1701"/>
            <w:shd w:val="clear" w:color="auto" w:fill="FAFAFB"/>
            <w:vAlign w:val="center"/>
          </w:tcPr>
          <w:p>
            <w:pPr>
              <w:spacing w:after="20" w:line="252" w:lineRule="auto"/>
            </w:pPr>
            <w:r>
              <w:rPr>
                <w:sz w:val="18"/>
              </w:rPr>
              <w:t>Meeting</w:t>
            </w:r>
          </w:p>
        </w:tc>
      </w:tr>
    </w:tbl>
    <w:p>
      <w:pPr>
        <w:spacing w:after="0" w:line="120" w:lineRule="exact"/>
      </w:pPr>
    </w:p>
    <w:p>
      <w:pPr>
        <w:pStyle w:val="Heading2"/>
      </w:pPr>
      <w:r>
        <w:rPr/>
        <w:t>Roles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Governance roles"/>
      </w:tblPr>
      <w:tblGrid>
        <w:gridCol w:w="2834"/>
        <w:gridCol w:w="2267"/>
        <w:gridCol w:w="4535"/>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Role</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Name</w:t>
            </w:r>
          </w:p>
        </w:tc>
        <w:tc>
          <w:tcPr>
            <w:tcW w:type="dxa" w:w="4535"/>
            <w:shd w:val="clear" w:color="auto" w:fill="FF6A00"/>
            <w:vAlign w:val="center"/>
          </w:tcPr>
          <w:p>
            <w:pPr>
              <w:keepNext/>
              <w:spacing w:after="20" w:line="252" w:lineRule="auto"/>
            </w:pPr>
            <w:r>
              <w:rPr>
                <w:rFonts w:ascii="Poppins" w:hAnsi="Poppins" w:cs="Poppins" w:eastAsia="Poppins"/>
                <w:b/>
                <w:color w:val="20242B"/>
                <w:sz w:val="19"/>
              </w:rPr>
              <w:t>Responsible for</w:t>
            </w:r>
          </w:p>
        </w:tc>
      </w:tr>
      <w:tr>
        <w:trPr>
          <w:cantSplit/>
        </w:trPr>
        <w:tc>
          <w:tcPr>
            <w:tcW w:type="dxa" w:w="2835"/>
            <w:vAlign w:val="center"/>
          </w:tcPr>
          <w:p>
            <w:pPr>
              <w:spacing w:after="20" w:line="252" w:lineRule="auto"/>
            </w:pPr>
            <w:r>
              <w:rPr>
                <w:b/>
                <w:sz w:val="19"/>
              </w:rPr>
              <w:t>FluxMuse account lead</w:t>
            </w:r>
          </w:p>
        </w:tc>
        <w:tc>
          <w:tcPr>
            <w:tcW w:type="dxa" w:w="2268"/>
            <w:vAlign w:val="center"/>
          </w:tcPr>
          <w:p>
            <w:pPr>
              <w:spacing w:after="20" w:line="252" w:lineRule="auto"/>
            </w:pPr>
            <w:r>
              <w:rPr>
                <w:b/>
                <w:color w:val="20242B"/>
                <w:sz w:val="19"/>
                <w:shd w:val="clear" w:color="auto" w:fill="FFF1A8"/>
              </w:rPr>
              <w:t>[[NAME]]</w:t>
            </w:r>
          </w:p>
        </w:tc>
        <w:tc>
          <w:tcPr>
            <w:tcW w:type="dxa" w:w="4535"/>
            <w:vAlign w:val="center"/>
          </w:tcPr>
          <w:p>
            <w:pPr>
              <w:spacing w:after="20" w:line="252" w:lineRule="auto"/>
            </w:pPr>
            <w:r>
              <w:rPr>
                <w:sz w:val="19"/>
              </w:rPr>
              <w:t>Plan, setup, reports, escalations</w:t>
            </w:r>
          </w:p>
        </w:tc>
      </w:tr>
      <w:tr>
        <w:trPr>
          <w:cantSplit/>
        </w:trPr>
        <w:tc>
          <w:tcPr>
            <w:tcW w:type="dxa" w:w="2835"/>
            <w:shd w:val="clear" w:color="auto" w:fill="FAFAFB"/>
            <w:vAlign w:val="center"/>
          </w:tcPr>
          <w:p>
            <w:pPr>
              <w:spacing w:after="20" w:line="252" w:lineRule="auto"/>
            </w:pPr>
            <w:r>
              <w:rPr>
                <w:b/>
                <w:color w:val="20242B"/>
                <w:sz w:val="19"/>
                <w:shd w:val="clear" w:color="auto" w:fill="FFF1A8"/>
              </w:rPr>
              <w:t>[[CLIENT NAME]]</w:t>
            </w:r>
            <w:r>
              <w:rPr>
                <w:b/>
                <w:sz w:val="19"/>
              </w:rPr>
              <w:t xml:space="preserve"> project owner</w:t>
            </w:r>
          </w:p>
        </w:tc>
        <w:tc>
          <w:tcPr>
            <w:tcW w:type="dxa" w:w="2268"/>
            <w:shd w:val="clear" w:color="auto" w:fill="FAFAFB"/>
            <w:vAlign w:val="center"/>
          </w:tcPr>
          <w:p>
            <w:pPr>
              <w:spacing w:after="20" w:line="252" w:lineRule="auto"/>
            </w:pPr>
            <w:r>
              <w:rPr>
                <w:b/>
                <w:color w:val="20242B"/>
                <w:sz w:val="19"/>
                <w:shd w:val="clear" w:color="auto" w:fill="FFF1A8"/>
              </w:rPr>
              <w:t>[[NAME]]</w:t>
            </w:r>
          </w:p>
        </w:tc>
        <w:tc>
          <w:tcPr>
            <w:tcW w:type="dxa" w:w="4535"/>
            <w:shd w:val="clear" w:color="auto" w:fill="FAFAFB"/>
            <w:vAlign w:val="center"/>
          </w:tcPr>
          <w:p>
            <w:pPr>
              <w:spacing w:after="20" w:line="252" w:lineRule="auto"/>
            </w:pPr>
            <w:r>
              <w:rPr>
                <w:sz w:val="19"/>
              </w:rPr>
              <w:t>Access, data, internal decisions</w:t>
            </w:r>
          </w:p>
        </w:tc>
      </w:tr>
      <w:tr>
        <w:trPr>
          <w:cantSplit/>
        </w:trPr>
        <w:tc>
          <w:tcPr>
            <w:tcW w:type="dxa" w:w="2835"/>
            <w:vAlign w:val="center"/>
          </w:tcPr>
          <w:p>
            <w:pPr>
              <w:spacing w:after="20" w:line="252" w:lineRule="auto"/>
            </w:pPr>
            <w:r>
              <w:rPr>
                <w:b/>
                <w:sz w:val="19"/>
              </w:rPr>
              <w:t>Content approver</w:t>
            </w:r>
          </w:p>
        </w:tc>
        <w:tc>
          <w:tcPr>
            <w:tcW w:type="dxa" w:w="2268"/>
            <w:vAlign w:val="center"/>
          </w:tcPr>
          <w:p>
            <w:pPr>
              <w:spacing w:after="20" w:line="252" w:lineRule="auto"/>
            </w:pPr>
            <w:r>
              <w:rPr>
                <w:b/>
                <w:color w:val="20242B"/>
                <w:sz w:val="19"/>
                <w:shd w:val="clear" w:color="auto" w:fill="FFF1A8"/>
              </w:rPr>
              <w:t>[[NAME]]</w:t>
            </w:r>
          </w:p>
        </w:tc>
        <w:tc>
          <w:tcPr>
            <w:tcW w:type="dxa" w:w="4535"/>
            <w:vAlign w:val="center"/>
          </w:tcPr>
          <w:p>
            <w:pPr>
              <w:spacing w:after="20" w:line="252" w:lineRule="auto"/>
            </w:pPr>
            <w:r>
              <w:rPr>
                <w:sz w:val="19"/>
              </w:rPr>
              <w:t>Approves campaigns in FluxMuse's approvals workflow</w:t>
            </w:r>
          </w:p>
        </w:tc>
      </w:tr>
      <w:tr>
        <w:trPr>
          <w:cantSplit/>
        </w:trPr>
        <w:tc>
          <w:tcPr>
            <w:tcW w:type="dxa" w:w="2835"/>
            <w:shd w:val="clear" w:color="auto" w:fill="FAFAFB"/>
            <w:vAlign w:val="center"/>
          </w:tcPr>
          <w:p>
            <w:pPr>
              <w:spacing w:after="20" w:line="252" w:lineRule="auto"/>
            </w:pPr>
            <w:r>
              <w:rPr>
                <w:b/>
                <w:sz w:val="19"/>
              </w:rPr>
              <w:t>Escalation contact</w:t>
            </w:r>
          </w:p>
        </w:tc>
        <w:tc>
          <w:tcPr>
            <w:tcW w:type="dxa" w:w="2268"/>
            <w:shd w:val="clear" w:color="auto" w:fill="FAFAFB"/>
            <w:vAlign w:val="center"/>
          </w:tcPr>
          <w:p>
            <w:pPr>
              <w:spacing w:after="20" w:line="252" w:lineRule="auto"/>
            </w:pPr>
            <w:r>
              <w:rPr>
                <w:b/>
                <w:color w:val="20242B"/>
                <w:sz w:val="19"/>
                <w:shd w:val="clear" w:color="auto" w:fill="FFF1A8"/>
              </w:rPr>
              <w:t>[[NAME]]</w:t>
            </w:r>
          </w:p>
        </w:tc>
        <w:tc>
          <w:tcPr>
            <w:tcW w:type="dxa" w:w="4535"/>
            <w:shd w:val="clear" w:color="auto" w:fill="FAFAFB"/>
            <w:vAlign w:val="center"/>
          </w:tcPr>
          <w:p>
            <w:pPr>
              <w:spacing w:after="20" w:line="252" w:lineRule="auto"/>
            </w:pPr>
            <w:r>
              <w:rPr>
                <w:sz w:val="19"/>
              </w:rPr>
              <w:t>Commercial and service issues</w:t>
            </w:r>
          </w:p>
        </w:tc>
      </w:tr>
    </w:tbl>
    <w:p>
      <w:pPr>
        <w:spacing w:after="0" w:line="120" w:lineRule="exact"/>
      </w:pPr>
    </w:p>
    <w:p>
      <w:pPr>
        <w:pStyle w:val="Heading1"/>
      </w:pPr>
      <w:r>
        <w:rPr/>
        <w:t>11. Proof</w:t>
      </w:r>
    </w:p>
    <w:p>
      <w:r>
        <w:rPr/>
        <w:t xml:space="preserve">FluxMuse is running a </w:t>
      </w:r>
      <w:r>
        <w:rPr>
          <w:b/>
        </w:rPr>
        <w:t>12-brand pilot in Gauteng from September to 30 November 2026</w:t>
      </w:r>
      <w:r>
        <w:rPr/>
        <w:t xml:space="preserve"> across solo entrepreneurs, SMEs and agencies. The pilot is underway and results will be published from December 2026, only with each brand's written consent.</w:t>
      </w:r>
    </w:p>
    <w:p>
      <w:pPr>
        <w:keepNext/>
        <w:spacing w:before="120" w:after="0"/>
        <w:jc w:val="center"/>
      </w:pPr>
      <w:r>
        <w:drawing>
          <wp:inline xmlns:a="http://schemas.openxmlformats.org/drawingml/2006/main" xmlns:pic="http://schemas.openxmlformats.org/drawingml/2006/picture">
            <wp:extent cx="6120000" cy="3442500"/>
            <wp:docPr id="8" name="Picture 8" descr="Case study template for a Gauteng braiding and hair studio with placeholder fields for brand, challenge, set-up, three metrics with target goals, and an owner quote, stamped pilot data pending."/>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120000" cy="3442500"/>
                    </a:xfrm>
                    <a:prstGeom prst="rect"/>
                  </pic:spPr>
                </pic:pic>
              </a:graphicData>
            </a:graphic>
          </wp:inline>
        </w:drawing>
      </w:r>
    </w:p>
    <w:p>
      <w:pPr>
        <w:pStyle w:val="Caption"/>
        <w:jc w:val="center"/>
      </w:pPr>
      <w:r>
        <w:rPr>
          <w:b/>
        </w:rPr>
        <w:t>Figure 7.</w:t>
      </w:r>
      <w:r>
        <w:rPr/>
        <w:t xml:space="preserve"> Case-study format (template). It will be completed with consented pilot data from December 2026; it contains no results today.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ilot case study placeholders"/>
      </w:tblPr>
      <w:tblGrid>
        <w:gridCol w:w="3628"/>
        <w:gridCol w:w="3174"/>
        <w:gridCol w:w="2834"/>
      </w:tblGrid>
      <w:tr>
        <w:trPr>
          <w:cantSplit/>
          <w:tblHeader/>
        </w:trPr>
        <w:tc>
          <w:tcPr>
            <w:tcW w:type="dxa" w:w="3628"/>
            <w:shd w:val="clear" w:color="auto" w:fill="FF6A00"/>
            <w:vAlign w:val="center"/>
          </w:tcPr>
          <w:p>
            <w:pPr>
              <w:keepNext/>
              <w:spacing w:after="20" w:line="252" w:lineRule="auto"/>
            </w:pPr>
            <w:r>
              <w:rPr>
                <w:rFonts w:ascii="Poppins" w:hAnsi="Poppins" w:cs="Poppins" w:eastAsia="Poppins"/>
                <w:b/>
                <w:color w:val="20242B"/>
                <w:sz w:val="18"/>
              </w:rPr>
              <w:t>Relevant pilot archetype</w:t>
            </w:r>
          </w:p>
        </w:tc>
        <w:tc>
          <w:tcPr>
            <w:tcW w:type="dxa" w:w="3175"/>
            <w:shd w:val="clear" w:color="auto" w:fill="FF6A00"/>
            <w:vAlign w:val="center"/>
          </w:tcPr>
          <w:p>
            <w:pPr>
              <w:keepNext/>
              <w:spacing w:after="20" w:line="252" w:lineRule="auto"/>
            </w:pPr>
            <w:r>
              <w:rPr>
                <w:rFonts w:ascii="Poppins" w:hAnsi="Poppins" w:cs="Poppins" w:eastAsia="Poppins"/>
                <w:b/>
                <w:color w:val="20242B"/>
                <w:sz w:val="18"/>
              </w:rPr>
              <w:t xml:space="preserve">Why it matters to </w:t>
            </w:r>
            <w:r>
              <w:rPr>
                <w:rFonts w:ascii="Poppins" w:hAnsi="Poppins" w:cs="Poppins" w:eastAsia="Poppins"/>
                <w:b/>
                <w:color w:val="20242B"/>
                <w:sz w:val="18"/>
                <w:shd w:val="clear" w:color="auto" w:fill="FFF1A8"/>
              </w:rPr>
              <w:t>[[CLIENT NAME]]</w:t>
            </w:r>
          </w:p>
        </w:tc>
        <w:tc>
          <w:tcPr>
            <w:tcW w:type="dxa" w:w="2835"/>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3628"/>
            <w:vAlign w:val="center"/>
          </w:tcPr>
          <w:p>
            <w:pPr>
              <w:spacing w:after="20" w:line="252" w:lineRule="auto"/>
            </w:pPr>
            <w:r>
              <w:rPr>
                <w:b/>
                <w:sz w:val="18"/>
              </w:rPr>
              <w:t>Restaurant or shisanyama with WhatsApp orders</w:t>
            </w:r>
          </w:p>
        </w:tc>
        <w:tc>
          <w:tcPr>
            <w:tcW w:type="dxa" w:w="3175"/>
            <w:vAlign w:val="center"/>
          </w:tcPr>
          <w:p>
            <w:pPr>
              <w:spacing w:after="20" w:line="252" w:lineRule="auto"/>
            </w:pPr>
            <w:r>
              <w:rPr>
                <w:b/>
                <w:color w:val="20242B"/>
                <w:sz w:val="18"/>
                <w:shd w:val="clear" w:color="auto" w:fill="FFF1A8"/>
              </w:rPr>
              <w:t>[[RELEVANCE]]</w:t>
            </w:r>
          </w:p>
        </w:tc>
        <w:tc>
          <w:tcPr>
            <w:tcW w:type="dxa" w:w="2835"/>
            <w:vAlign w:val="center"/>
          </w:tcPr>
          <w:p>
            <w:pPr>
              <w:spacing w:after="20" w:line="252" w:lineRule="auto"/>
            </w:pPr>
            <w:r>
              <w:rPr>
                <w:sz w:val="18"/>
              </w:rPr>
              <w:t>Pilot underway, results December 2026</w:t>
            </w:r>
          </w:p>
        </w:tc>
      </w:tr>
      <w:tr>
        <w:trPr>
          <w:cantSplit/>
        </w:trPr>
        <w:tc>
          <w:tcPr>
            <w:tcW w:type="dxa" w:w="3628"/>
            <w:shd w:val="clear" w:color="auto" w:fill="FAFAFB"/>
            <w:vAlign w:val="center"/>
          </w:tcPr>
          <w:p>
            <w:pPr>
              <w:spacing w:after="20" w:line="252" w:lineRule="auto"/>
            </w:pPr>
            <w:r>
              <w:rPr>
                <w:b/>
                <w:sz w:val="18"/>
              </w:rPr>
              <w:t>Online fashion or beauty brand (Shopify / WooCommerce)</w:t>
            </w:r>
          </w:p>
        </w:tc>
        <w:tc>
          <w:tcPr>
            <w:tcW w:type="dxa" w:w="3175"/>
            <w:shd w:val="clear" w:color="auto" w:fill="FAFAFB"/>
            <w:vAlign w:val="center"/>
          </w:tcPr>
          <w:p>
            <w:pPr>
              <w:spacing w:after="20" w:line="252" w:lineRule="auto"/>
            </w:pPr>
            <w:r>
              <w:rPr>
                <w:b/>
                <w:color w:val="20242B"/>
                <w:sz w:val="18"/>
                <w:shd w:val="clear" w:color="auto" w:fill="FFF1A8"/>
              </w:rPr>
              <w:t>[[RELEVANCE]]</w:t>
            </w:r>
          </w:p>
        </w:tc>
        <w:tc>
          <w:tcPr>
            <w:tcW w:type="dxa" w:w="2835"/>
            <w:shd w:val="clear" w:color="auto" w:fill="FAFAFB"/>
            <w:vAlign w:val="center"/>
          </w:tcPr>
          <w:p>
            <w:pPr>
              <w:spacing w:after="20" w:line="252" w:lineRule="auto"/>
            </w:pPr>
            <w:r>
              <w:rPr>
                <w:sz w:val="18"/>
              </w:rPr>
              <w:t>Pilot underway, results December 2026</w:t>
            </w:r>
          </w:p>
        </w:tc>
      </w:tr>
      <w:tr>
        <w:trPr>
          <w:cantSplit/>
        </w:trPr>
        <w:tc>
          <w:tcPr>
            <w:tcW w:type="dxa" w:w="3628"/>
            <w:vAlign w:val="center"/>
          </w:tcPr>
          <w:p>
            <w:pPr>
              <w:spacing w:after="20" w:line="252" w:lineRule="auto"/>
            </w:pPr>
            <w:r>
              <w:rPr>
                <w:b/>
                <w:sz w:val="18"/>
              </w:rPr>
              <w:t>Clinic, dental or optometry practice</w:t>
            </w:r>
          </w:p>
        </w:tc>
        <w:tc>
          <w:tcPr>
            <w:tcW w:type="dxa" w:w="3175"/>
            <w:vAlign w:val="center"/>
          </w:tcPr>
          <w:p>
            <w:pPr>
              <w:spacing w:after="20" w:line="252" w:lineRule="auto"/>
            </w:pPr>
            <w:r>
              <w:rPr>
                <w:b/>
                <w:color w:val="20242B"/>
                <w:sz w:val="18"/>
                <w:shd w:val="clear" w:color="auto" w:fill="FFF1A8"/>
              </w:rPr>
              <w:t>[[RELEVANCE]]</w:t>
            </w:r>
          </w:p>
        </w:tc>
        <w:tc>
          <w:tcPr>
            <w:tcW w:type="dxa" w:w="2835"/>
            <w:vAlign w:val="center"/>
          </w:tcPr>
          <w:p>
            <w:pPr>
              <w:spacing w:after="20" w:line="252" w:lineRule="auto"/>
            </w:pPr>
            <w:r>
              <w:rPr>
                <w:sz w:val="18"/>
              </w:rPr>
              <w:t>Pilot underway, results December 2026</w:t>
            </w:r>
          </w:p>
        </w:tc>
      </w:tr>
      <w:tr>
        <w:trPr>
          <w:cantSplit/>
        </w:trPr>
        <w:tc>
          <w:tcPr>
            <w:tcW w:type="dxa" w:w="3628"/>
            <w:shd w:val="clear" w:color="auto" w:fill="FAFAFB"/>
            <w:vAlign w:val="center"/>
          </w:tcPr>
          <w:p>
            <w:pPr>
              <w:spacing w:after="20" w:line="252" w:lineRule="auto"/>
            </w:pPr>
            <w:r>
              <w:rPr>
                <w:b/>
                <w:sz w:val="18"/>
              </w:rPr>
              <w:t>Car wash, auto services or dealership</w:t>
            </w:r>
          </w:p>
        </w:tc>
        <w:tc>
          <w:tcPr>
            <w:tcW w:type="dxa" w:w="3175"/>
            <w:shd w:val="clear" w:color="auto" w:fill="FAFAFB"/>
            <w:vAlign w:val="center"/>
          </w:tcPr>
          <w:p>
            <w:pPr>
              <w:spacing w:after="20" w:line="252" w:lineRule="auto"/>
            </w:pPr>
            <w:r>
              <w:rPr>
                <w:b/>
                <w:color w:val="20242B"/>
                <w:sz w:val="18"/>
                <w:shd w:val="clear" w:color="auto" w:fill="FFF1A8"/>
              </w:rPr>
              <w:t>[[RELEVANCE]]</w:t>
            </w:r>
          </w:p>
        </w:tc>
        <w:tc>
          <w:tcPr>
            <w:tcW w:type="dxa" w:w="2835"/>
            <w:shd w:val="clear" w:color="auto" w:fill="FAFAFB"/>
            <w:vAlign w:val="center"/>
          </w:tcPr>
          <w:p>
            <w:pPr>
              <w:spacing w:after="20" w:line="252" w:lineRule="auto"/>
            </w:pPr>
            <w:r>
              <w:rPr>
                <w:sz w:val="18"/>
              </w:rPr>
              <w:t>Pilot underway, results December 2026</w:t>
            </w:r>
          </w:p>
        </w:tc>
      </w:tr>
      <w:tr>
        <w:trPr>
          <w:cantSplit/>
        </w:trPr>
        <w:tc>
          <w:tcPr>
            <w:tcW w:type="dxa" w:w="3628"/>
            <w:vAlign w:val="center"/>
          </w:tcPr>
          <w:p>
            <w:pPr>
              <w:spacing w:after="20" w:line="252" w:lineRule="auto"/>
            </w:pPr>
            <w:r>
              <w:rPr>
                <w:b/>
                <w:sz w:val="18"/>
              </w:rPr>
              <w:t>Multi-branch retailer or franchise</w:t>
            </w:r>
          </w:p>
        </w:tc>
        <w:tc>
          <w:tcPr>
            <w:tcW w:type="dxa" w:w="3175"/>
            <w:vAlign w:val="center"/>
          </w:tcPr>
          <w:p>
            <w:pPr>
              <w:spacing w:after="20" w:line="252" w:lineRule="auto"/>
            </w:pPr>
            <w:r>
              <w:rPr>
                <w:b/>
                <w:color w:val="20242B"/>
                <w:sz w:val="18"/>
                <w:shd w:val="clear" w:color="auto" w:fill="FFF1A8"/>
              </w:rPr>
              <w:t>[[RELEVANCE]]</w:t>
            </w:r>
          </w:p>
        </w:tc>
        <w:tc>
          <w:tcPr>
            <w:tcW w:type="dxa" w:w="2835"/>
            <w:vAlign w:val="center"/>
          </w:tcPr>
          <w:p>
            <w:pPr>
              <w:spacing w:after="20" w:line="252" w:lineRule="auto"/>
            </w:pPr>
            <w:r>
              <w:rPr>
                <w:sz w:val="18"/>
              </w:rPr>
              <w:t>Pilot underway, results December 2026</w:t>
            </w:r>
          </w:p>
        </w:tc>
      </w:tr>
    </w:tbl>
    <w:p>
      <w:pPr>
        <w:spacing w:after="0" w:line="120" w:lineRule="exact"/>
      </w:pPr>
    </w:p>
    <w:p>
      <w:pPr>
        <w:pStyle w:val="Heading1"/>
      </w:pPr>
      <w:r>
        <w:rPr/>
        <w:t>12. Trust and compliance</w:t>
      </w:r>
    </w:p>
    <w:p>
      <w:pPr>
        <w:pStyle w:val="ListBullet"/>
      </w:pPr>
      <w:r>
        <w:rPr>
          <w:b/>
        </w:rPr>
        <w:t>Fluxmuse Pty Ltd</w:t>
      </w:r>
      <w:r>
        <w:rPr/>
        <w:t xml:space="preserve"> (South Africa): Meta Business Verification: Verified. Meta Access Verification: Verified (Tech Provider).</w:t>
      </w:r>
    </w:p>
    <w:p>
      <w:pPr>
        <w:pStyle w:val="ListBullet"/>
      </w:pPr>
      <w:r>
        <w:rPr>
          <w:b/>
        </w:rPr>
        <w:t>Meta permissions approved:</w:t>
      </w:r>
      <w:r>
        <w:rPr/>
        <w:t xml:space="preserve"> pages_show_list, pages_manage_metadata, pages_messaging, whatsapp_business_messaging, whatsapp_business_management, public_profile.</w:t>
      </w:r>
    </w:p>
    <w:p>
      <w:pPr>
        <w:pStyle w:val="ListBullet"/>
      </w:pPr>
      <w:r>
        <w:rPr>
          <w:b/>
        </w:rPr>
        <w:t>Pending Meta approval (in App Review, not live yet):</w:t>
      </w:r>
      <w:r>
        <w:rPr/>
        <w:t xml:space="preserve"> pages_manage_posts, pages_read_engagement, instagram_basic, instagram_content_publish, instagram_manage_comments, instagram_manage_messages, business_management. Instagram features are switched on only once Meta approves them.</w:t>
      </w:r>
    </w:p>
    <w:p>
      <w:pPr>
        <w:pStyle w:val="ListBullet"/>
      </w:pPr>
      <w:r>
        <w:rPr>
          <w:b/>
        </w:rPr>
        <w:t>Data protection:</w:t>
      </w:r>
      <w:r>
        <w:rPr/>
        <w:t xml:space="preserve"> POPIA, NDPR and GDPR ready; row-level security on every table; encrypted tokens; audit export; data export and account deletion.</w:t>
      </w:r>
    </w:p>
    <w:p>
      <w:pPr>
        <w:pStyle w:val="ListBullet"/>
      </w:pPr>
      <w:r>
        <w:rPr>
          <w:b/>
        </w:rPr>
        <w:t>WhatsApp policy:</w:t>
      </w:r>
      <w:r>
        <w:rPr/>
        <w:t xml:space="preserve"> broadcasts use Meta-approved message templates and go only to contacts who opted in.</w:t>
      </w:r>
    </w:p>
    <w:p>
      <w:pPr>
        <w:pStyle w:val="Heading2"/>
      </w:pPr>
      <w:r>
        <w:rPr/>
        <w:t>Protection of personal information (POPIA)</w:t>
      </w:r>
    </w:p>
    <w:p>
      <w:r>
        <w:rPr/>
        <w:t>Fluxmuse Pty Ltd processes personal information in line with the Protection of Personal Information Act, 2013 (POPIA), and the platform is built to be POPIA, NDPR and GDPR ready. For this proposal:</w:t>
      </w:r>
    </w:p>
    <w:p>
      <w:pPr>
        <w:pStyle w:val="ListBullet"/>
      </w:pPr>
      <w:r>
        <w:rPr>
          <w:b/>
          <w:color w:val="20242B"/>
          <w:shd w:val="clear" w:color="auto" w:fill="FFF1A8"/>
        </w:rPr>
        <w:t>[[CLIENT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Marketing messages on WhatsApp, SMS and email go only to people who have opted in, and every broadcast includes a way to opt out. Email suppression lists are kept in FluxMuse.</w:t>
      </w:r>
    </w:p>
    <w:p>
      <w:pPr>
        <w:pStyle w:val="ListBullet"/>
      </w:pPr>
      <w:r>
        <w:rPr/>
        <w:t>Platform safeguards: row-level security on every database table, encrypted access tokens, audit export,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Heading1"/>
      </w:pPr>
      <w:r>
        <w:rPr/>
        <w:t>13. Assumptions and client dependencies</w:t>
      </w:r>
    </w:p>
    <w:p>
      <w:pPr>
        <w:pStyle w:val="ListBullet"/>
      </w:pPr>
      <w:r>
        <w:rPr>
          <w:b/>
          <w:color w:val="20242B"/>
          <w:shd w:val="clear" w:color="auto" w:fill="FFF1A8"/>
        </w:rPr>
        <w:t>[[CLIENT NAME]]</w:t>
      </w:r>
      <w:r>
        <w:rPr/>
        <w:t xml:space="preserve"> gives FluxMuse admin access to its Meta Business account, Facebook Page and store within </w:t>
      </w:r>
      <w:r>
        <w:rPr>
          <w:b/>
          <w:color w:val="20242B"/>
          <w:shd w:val="clear" w:color="auto" w:fill="FFF1A8"/>
        </w:rPr>
        <w:t>[[N]]</w:t>
      </w:r>
      <w:r>
        <w:rPr/>
        <w:t xml:space="preserve"> working days of kickoff.</w:t>
      </w:r>
    </w:p>
    <w:p>
      <w:pPr>
        <w:pStyle w:val="ListBullet"/>
      </w:pPr>
      <w:r>
        <w:rPr/>
        <w:t>A phone number is available for the WhatsApp Business account and Meta approves the display name.</w:t>
      </w:r>
    </w:p>
    <w:p>
      <w:pPr>
        <w:pStyle w:val="ListBullet"/>
      </w:pPr>
      <w:r>
        <w:rPr/>
        <w:t>WhatsApp broadcasts use Meta-approved templates and go only to contacts who opted in.</w:t>
      </w:r>
    </w:p>
    <w:p>
      <w:pPr>
        <w:pStyle w:val="ListBullet"/>
      </w:pPr>
      <w:r>
        <w:rPr>
          <w:b/>
          <w:color w:val="20242B"/>
          <w:shd w:val="clear" w:color="auto" w:fill="FFF1A8"/>
        </w:rPr>
        <w:t>[[CLIENT NAME]]</w:t>
      </w:r>
      <w:r>
        <w:rPr/>
        <w:t xml:space="preserve"> provides product data, prices, stock, images and brand guidelines, and approves content within </w:t>
      </w:r>
      <w:r>
        <w:rPr>
          <w:b/>
          <w:color w:val="20242B"/>
          <w:shd w:val="clear" w:color="auto" w:fill="FFF1A8"/>
        </w:rPr>
        <w:t>[[N]]</w:t>
      </w:r>
      <w:r>
        <w:rPr/>
        <w:t xml:space="preserve"> working days.</w:t>
      </w:r>
    </w:p>
    <w:p>
      <w:pPr>
        <w:pStyle w:val="ListBullet"/>
      </w:pPr>
      <w:r>
        <w:rPr/>
        <w:t>Payment provider merchant accounts are opened and verified by the client.</w:t>
      </w:r>
    </w:p>
    <w:p>
      <w:pPr>
        <w:pStyle w:val="ListBullet"/>
      </w:pPr>
      <w:r>
        <w:rPr/>
        <w:t>Ad budgets and third-party message fees are paid by the client (pass-through).</w:t>
      </w:r>
    </w:p>
    <w:p>
      <w:pPr>
        <w:pStyle w:val="ListBullet"/>
      </w:pPr>
      <w:r>
        <w:rPr/>
        <w:t>Instagram features become available only after Meta approval; the pilot plan doesn't depend on them.</w:t>
      </w:r>
    </w:p>
    <w:p>
      <w:pPr>
        <w:pStyle w:val="ListBullet"/>
      </w:pPr>
      <w:r>
        <w:rPr/>
        <w:t>Targets are set against the baseline measured in the first weeks of the pilot.</w:t>
      </w:r>
    </w:p>
    <w:p>
      <w:pPr>
        <w:pStyle w:val="ListBullet"/>
      </w:pPr>
      <w:r>
        <w:rPr>
          <w:b/>
          <w:color w:val="20242B"/>
          <w:shd w:val="clear" w:color="auto" w:fill="FFF1A8"/>
        </w:rPr>
        <w:t>[[OTHER ASSUMPTIONS]]</w:t>
      </w:r>
    </w:p>
    <w:p>
      <w:pPr>
        <w:pStyle w:val="Heading1"/>
      </w:pPr>
      <w:r>
        <w:rPr/>
        <w:t>14.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Free trial</w:t>
            </w:r>
          </w:p>
        </w:tc>
        <w:tc>
          <w:tcPr>
            <w:tcW w:type="dxa" w:w="7030"/>
            <w:vAlign w:val="center"/>
          </w:tcPr>
          <w:p>
            <w:pPr>
              <w:spacing w:after="20" w:line="252" w:lineRule="auto"/>
            </w:pPr>
            <w:r>
              <w:rPr>
                <w:sz w:val="18"/>
              </w:rPr>
              <w:t xml:space="preserve">14-day free trial, no card required. Conversion to a paid plan: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refunds or pro-rating]]</w:t>
            </w:r>
          </w:p>
          <w:p>
            <w:pPr>
              <w:spacing w:after="20" w:line="252" w:lineRule="auto"/>
            </w:pPr>
            <w:r>
              <w:rPr>
                <w:sz w:val="18"/>
              </w:rPr>
              <w:t xml:space="preserve">Launch or pilot pricing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terms</w:t>
            </w:r>
          </w:p>
        </w:tc>
        <w:tc>
          <w:tcPr>
            <w:tcW w:type="dxa" w:w="7030"/>
            <w:vAlign w:val="center"/>
          </w:tcPr>
          <w:p>
            <w:pPr>
              <w:spacing w:after="20" w:line="252" w:lineRule="auto"/>
            </w:pPr>
            <w:r>
              <w:rPr>
                <w:sz w:val="18"/>
              </w:rPr>
              <w:t xml:space="preserve">Billed in advance in </w:t>
            </w:r>
            <w:r>
              <w:rPr>
                <w:b/>
                <w:color w:val="20242B"/>
                <w:sz w:val="18"/>
                <w:shd w:val="clear" w:color="auto" w:fill="FFF1A8"/>
              </w:rPr>
              <w:t>[[CURRENCY]]</w:t>
            </w:r>
            <w:r>
              <w:rPr>
                <w:sz w:val="18"/>
              </w:rPr>
              <w:t xml:space="preserve"> by </w:t>
            </w:r>
            <w:r>
              <w:rPr>
                <w:b/>
                <w:color w:val="20242B"/>
                <w:sz w:val="18"/>
                <w:shd w:val="clear" w:color="auto" w:fill="FFF1A8"/>
              </w:rPr>
              <w:t>[[PAYMENT METHOD]]</w:t>
            </w:r>
            <w:r>
              <w:rPr>
                <w:sz w:val="18"/>
              </w:rPr>
              <w:t xml:space="preserve">, due </w:t>
            </w:r>
            <w:r>
              <w:rPr>
                <w:b/>
                <w:color w:val="20242B"/>
                <w:sz w:val="18"/>
                <w:shd w:val="clear" w:color="auto" w:fill="FFF1A8"/>
              </w:rPr>
              <w:t>[[N]]</w:t>
            </w:r>
            <w:r>
              <w:rPr>
                <w:sz w:val="18"/>
              </w:rPr>
              <w:t xml:space="preserve"> days from invoice. Late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Price changes</w:t>
            </w:r>
          </w:p>
        </w:tc>
        <w:tc>
          <w:tcPr>
            <w:tcW w:type="dxa" w:w="7030"/>
            <w:shd w:val="clear" w:color="auto" w:fill="FAFAFB"/>
            <w:vAlign w:val="center"/>
          </w:tcPr>
          <w:p>
            <w:pPr>
              <w:spacing w:after="20" w:line="252" w:lineRule="auto"/>
            </w:pPr>
            <w:r>
              <w:rPr>
                <w:sz w:val="18"/>
              </w:rPr>
              <w:t xml:space="preserve">Notice of price changes: </w:t>
            </w:r>
            <w:r>
              <w:rPr>
                <w:b/>
                <w:color w:val="20242B"/>
                <w:sz w:val="18"/>
                <w:shd w:val="clear" w:color="auto" w:fill="FFF1A8"/>
              </w:rPr>
              <w:t>[[LEGAL REVIEW REQUIRED]]</w:t>
            </w:r>
            <w:r>
              <w:rPr>
                <w:sz w:val="18"/>
              </w:rPr>
              <w:t>. Local-currency prices in Nigeria, Kenya and Ghana are reviewed quarterly.</w:t>
            </w:r>
          </w:p>
        </w:tc>
      </w:tr>
      <w:tr>
        <w:trPr>
          <w:cantSplit/>
        </w:trPr>
        <w:tc>
          <w:tcPr>
            <w:tcW w:type="dxa" w:w="2608"/>
            <w:vAlign w:val="center"/>
          </w:tcPr>
          <w:p>
            <w:pPr>
              <w:spacing w:after="20" w:line="252" w:lineRule="auto"/>
            </w:pPr>
            <w:r>
              <w:rPr>
                <w:b/>
                <w:sz w:val="18"/>
              </w:rPr>
              <w:t>Third-party costs</w:t>
            </w:r>
          </w:p>
        </w:tc>
        <w:tc>
          <w:tcPr>
            <w:tcW w:type="dxa" w:w="7030"/>
            <w:vAlign w:val="center"/>
          </w:tcPr>
          <w:p>
            <w:pPr>
              <w:spacing w:after="20" w:line="252" w:lineRule="auto"/>
            </w:pPr>
            <w:r>
              <w:rPr>
                <w:sz w:val="18"/>
              </w:rPr>
              <w:t xml:space="preserve">Meta WhatsApp message fees, ad spend, SMS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platforms</w:t>
            </w:r>
          </w:p>
        </w:tc>
        <w:tc>
          <w:tcPr>
            <w:tcW w:type="dxa" w:w="7030"/>
            <w:shd w:val="clear" w:color="auto" w:fill="FAFAFB"/>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vAlign w:val="center"/>
          </w:tcPr>
          <w:p>
            <w:pPr>
              <w:spacing w:after="20" w:line="252" w:lineRule="auto"/>
            </w:pPr>
            <w:r>
              <w:rPr>
                <w:b/>
                <w:sz w:val="18"/>
              </w:rPr>
              <w:t>Data protection</w:t>
            </w:r>
          </w:p>
        </w:tc>
        <w:tc>
          <w:tcPr>
            <w:tcW w:type="dxa" w:w="7030"/>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Intellectual property</w:t>
            </w:r>
          </w:p>
        </w:tc>
        <w:tc>
          <w:tcPr>
            <w:tcW w:type="dxa" w:w="7030"/>
            <w:shd w:val="clear" w:color="auto" w:fill="FAFAFB"/>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vAlign w:val="center"/>
          </w:tcPr>
          <w:p>
            <w:pPr>
              <w:spacing w:after="20" w:line="252" w:lineRule="auto"/>
            </w:pPr>
            <w:r>
              <w:rPr>
                <w:b/>
                <w:sz w:val="18"/>
              </w:rPr>
              <w:t>Confidentiality</w:t>
            </w:r>
          </w:p>
        </w:tc>
        <w:tc>
          <w:tcPr>
            <w:tcW w:type="dxa" w:w="7030"/>
            <w:vAlign w:val="center"/>
          </w:tcPr>
          <w:p>
            <w:pPr>
              <w:spacing w:after="20" w:line="252" w:lineRule="auto"/>
            </w:pP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Support and service levels</w:t>
            </w:r>
          </w:p>
        </w:tc>
        <w:tc>
          <w:tcPr>
            <w:tcW w:type="dxa" w:w="7030"/>
            <w:shd w:val="clear" w:color="auto" w:fill="FAFAFB"/>
            <w:vAlign w:val="center"/>
          </w:tcPr>
          <w:p>
            <w:pPr>
              <w:spacing w:after="20" w:line="252" w:lineRule="auto"/>
            </w:pPr>
            <w:r>
              <w:rPr>
                <w:sz w:val="18"/>
              </w:rPr>
              <w:t xml:space="preserve">Support channel by plan (community, email, priority or dedicated). Service levels: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Limitation of liability</w:t>
            </w:r>
          </w:p>
        </w:tc>
        <w:tc>
          <w:tcPr>
            <w:tcW w:type="dxa" w:w="7030"/>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Governing law and disputes</w:t>
            </w:r>
          </w:p>
        </w:tc>
        <w:tc>
          <w:tcPr>
            <w:tcW w:type="dxa" w:w="7030"/>
            <w:shd w:val="clear" w:color="auto" w:fill="FAFAFB"/>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15. Acceptance</w:t>
      </w:r>
    </w:p>
    <w:p>
      <w:pPr>
        <w:keepNext/>
      </w:pPr>
      <w:r>
        <w:rPr/>
        <w:t xml:space="preserve">To go ahead, tick your choices, sign below and send a copy to </w:t>
      </w:r>
      <w:r>
        <w:rPr>
          <w:b/>
          <w:color w:val="20242B"/>
          <w:shd w:val="clear" w:color="auto" w:fill="FFF1A8"/>
        </w:rPr>
        <w:t>[[EMAIL]]</w:t>
      </w:r>
      <w:r>
        <w:rPr/>
        <w:t xml:space="preserve">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monthly (R1,999/mo)</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Growth, annual (R19,990/yr)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Scale, monthly (R4,999/mo)</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Scale, annual (R49,990/yr)</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Founding Member pricing (subscribing 1 Dec 2026 to 31 Jan 2027)</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Optional services: </w:t>
      </w:r>
      <w:r>
        <w:rPr>
          <w:b/>
          <w:color w:val="20242B"/>
          <w:shd w:val="clear" w:color="auto" w:fill="FFF1A8"/>
        </w:rPr>
        <w:t>[[LIST]]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60-day pilot as described, starting </w:t>
      </w:r>
      <w:r>
        <w:rPr>
          <w:b/>
          <w:color w:val="20242B"/>
          <w:shd w:val="clear" w:color="auto" w:fill="FFF1A8"/>
        </w:rPr>
        <w:t>[[DATE]]</w:t>
      </w:r>
    </w:p>
    <w:p>
      <w:pPr>
        <w:keepNext/>
        <w:spacing w:before="120"/>
      </w:pPr>
      <w:r>
        <w:rPr>
          <w:sz w:val="19"/>
        </w:rPr>
        <w:t xml:space="preserve">By signing, </w:t>
      </w:r>
      <w:r>
        <w:rPr>
          <w:b/>
          <w:color w:val="20242B"/>
          <w:sz w:val="19"/>
          <w:shd w:val="clear" w:color="auto" w:fill="FFF1A8"/>
        </w:rPr>
        <w:t>[[CLIENT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14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[[CLIENT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p>
      <w:pPr>
        <w:pStyle w:val="Heading1"/>
        <w:pageBreakBefore/>
      </w:pPr>
      <w:r>
        <w:rPr/>
        <w:t xml:space="preserve">Appendix A. Regional pricing (delete if </w:t>
      </w:r>
      <w:r>
        <w:rPr>
          <w:b/>
          <w:color w:val="20242B"/>
          <w:shd w:val="clear" w:color="auto" w:fill="FFF1A8"/>
        </w:rPr>
        <w:t>[[CLIENT NAME]]</w:t>
      </w:r>
      <w:r>
        <w:rPr/>
        <w:t xml:space="preserve"> only operates in South Africa)</w:t>
      </w:r>
    </w:p>
    <w:p>
      <w:r>
        <w:rPr/>
        <w:t>Fixed local prices for Nigeria, Kenya and Ghana, billed in local currency and set at parity with the ZAR price. The other 19 rail-covered countries are billed in US dollars. Annual = 10× monthly. Prices are reviewed quarterly.</w:t>
      </w:r>
    </w:p>
    <w:p>
      <w:pPr>
        <w:pStyle w:val="Heading2"/>
      </w:pPr>
      <w:r>
        <w:rPr/>
        <w:t>Monthly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gional monthly prices"/>
      </w:tblPr>
      <w:tblGrid>
        <w:gridCol w:w="1474"/>
        <w:gridCol w:w="1587"/>
        <w:gridCol w:w="1644"/>
        <w:gridCol w:w="1644"/>
        <w:gridCol w:w="1644"/>
        <w:gridCol w:w="1644"/>
      </w:tblGrid>
      <w:tr>
        <w:trPr>
          <w:cantSplit/>
          <w:tblHeader/>
        </w:trPr>
        <w:tc>
          <w:tcPr>
            <w:tcW w:type="dxa" w:w="1474"/>
            <w:shd w:val="clear" w:color="auto" w:fill="FF6A00"/>
            <w:vAlign w:val="center"/>
          </w:tcPr>
          <w:p>
            <w:pPr>
              <w:keepNext/>
              <w:spacing w:after="20" w:line="252" w:lineRule="auto"/>
            </w:pPr>
            <w:r>
              <w:rPr>
                <w:rFonts w:ascii="Poppins" w:hAnsi="Poppins" w:cs="Poppins" w:eastAsia="Poppins"/>
                <w:b/>
                <w:color w:val="20242B"/>
                <w:sz w:val="19"/>
              </w:rPr>
              <w:t>Plan</w:t>
            </w:r>
          </w:p>
        </w:tc>
        <w:tc>
          <w:tcPr>
            <w:tcW w:type="dxa" w:w="1587"/>
            <w:shd w:val="clear" w:color="auto" w:fill="FF6A00"/>
            <w:vAlign w:val="center"/>
          </w:tcPr>
          <w:p>
            <w:pPr>
              <w:keepNext/>
              <w:spacing w:after="20" w:line="252" w:lineRule="auto"/>
              <w:jc w:val="right"/>
            </w:pPr>
            <w:r>
              <w:rPr>
                <w:rFonts w:ascii="Poppins" w:hAnsi="Poppins" w:cs="Poppins" w:eastAsia="Poppins"/>
                <w:b/>
                <w:color w:val="20242B"/>
                <w:sz w:val="19"/>
              </w:rPr>
              <w:t>South Africa (ZAR)</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Nigeria (NGN)</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Kenya (KES)</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Ghana (GHS)</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USD markets*</w:t>
            </w:r>
          </w:p>
        </w:tc>
      </w:tr>
      <w:tr>
        <w:trPr>
          <w:cantSplit/>
        </w:trPr>
        <w:tc>
          <w:tcPr>
            <w:tcW w:type="dxa" w:w="1474"/>
            <w:vAlign w:val="center"/>
          </w:tcPr>
          <w:p>
            <w:pPr>
              <w:spacing w:after="20" w:line="252" w:lineRule="auto"/>
            </w:pPr>
            <w:r>
              <w:rPr>
                <w:b/>
                <w:sz w:val="19"/>
              </w:rPr>
              <w:t>Starter</w:t>
            </w:r>
          </w:p>
        </w:tc>
        <w:tc>
          <w:tcPr>
            <w:tcW w:type="dxa" w:w="1587"/>
            <w:vAlign w:val="center"/>
          </w:tcPr>
          <w:p>
            <w:pPr>
              <w:spacing w:after="20" w:line="252" w:lineRule="auto"/>
              <w:jc w:val="right"/>
            </w:pPr>
            <w:r>
              <w:rPr>
                <w:sz w:val="19"/>
              </w:rPr>
              <w:t>R499</w:t>
            </w:r>
          </w:p>
        </w:tc>
        <w:tc>
          <w:tcPr>
            <w:tcW w:type="dxa" w:w="1644"/>
            <w:vAlign w:val="center"/>
          </w:tcPr>
          <w:p>
            <w:pPr>
              <w:spacing w:after="20" w:line="252" w:lineRule="auto"/>
              <w:jc w:val="right"/>
            </w:pPr>
            <w:r>
              <w:rPr>
                <w:sz w:val="19"/>
              </w:rPr>
              <w:t>₦41,000</w:t>
            </w:r>
          </w:p>
        </w:tc>
        <w:tc>
          <w:tcPr>
            <w:tcW w:type="dxa" w:w="1644"/>
            <w:vAlign w:val="center"/>
          </w:tcPr>
          <w:p>
            <w:pPr>
              <w:spacing w:after="20" w:line="252" w:lineRule="auto"/>
              <w:jc w:val="right"/>
            </w:pPr>
            <w:r>
              <w:rPr>
                <w:sz w:val="19"/>
              </w:rPr>
              <w:t>KSh 3,999</w:t>
            </w:r>
          </w:p>
        </w:tc>
        <w:tc>
          <w:tcPr>
            <w:tcW w:type="dxa" w:w="1644"/>
            <w:vAlign w:val="center"/>
          </w:tcPr>
          <w:p>
            <w:pPr>
              <w:spacing w:after="20" w:line="252" w:lineRule="auto"/>
              <w:jc w:val="right"/>
            </w:pPr>
            <w:r>
              <w:rPr>
                <w:sz w:val="19"/>
              </w:rPr>
              <w:t>GH₵ 339</w:t>
            </w:r>
          </w:p>
        </w:tc>
        <w:tc>
          <w:tcPr>
            <w:tcW w:type="dxa" w:w="1644"/>
            <w:vAlign w:val="center"/>
          </w:tcPr>
          <w:p>
            <w:pPr>
              <w:spacing w:after="20" w:line="252" w:lineRule="auto"/>
              <w:jc w:val="right"/>
            </w:pPr>
            <w:r>
              <w:rPr>
                <w:sz w:val="19"/>
              </w:rPr>
              <w:t>$27</w:t>
            </w:r>
          </w:p>
        </w:tc>
      </w:tr>
      <w:tr>
        <w:trPr>
          <w:cantSplit/>
        </w:trPr>
        <w:tc>
          <w:tcPr>
            <w:tcW w:type="dxa" w:w="1474"/>
            <w:shd w:val="clear" w:color="auto" w:fill="FAFAFB"/>
            <w:vAlign w:val="center"/>
          </w:tcPr>
          <w:p>
            <w:pPr>
              <w:spacing w:after="20" w:line="252" w:lineRule="auto"/>
            </w:pPr>
            <w:r>
              <w:rPr>
                <w:b/>
                <w:sz w:val="19"/>
              </w:rPr>
              <w:t>Growth</w:t>
            </w:r>
          </w:p>
        </w:tc>
        <w:tc>
          <w:tcPr>
            <w:tcW w:type="dxa" w:w="1587"/>
            <w:shd w:val="clear" w:color="auto" w:fill="FAFAFB"/>
            <w:vAlign w:val="center"/>
          </w:tcPr>
          <w:p>
            <w:pPr>
              <w:spacing w:after="20" w:line="252" w:lineRule="auto"/>
              <w:jc w:val="right"/>
            </w:pPr>
            <w:r>
              <w:rPr>
                <w:sz w:val="19"/>
              </w:rPr>
              <w:t>R1,999</w:t>
            </w:r>
          </w:p>
        </w:tc>
        <w:tc>
          <w:tcPr>
            <w:tcW w:type="dxa" w:w="1644"/>
            <w:shd w:val="clear" w:color="auto" w:fill="FAFAFB"/>
            <w:vAlign w:val="center"/>
          </w:tcPr>
          <w:p>
            <w:pPr>
              <w:spacing w:after="20" w:line="252" w:lineRule="auto"/>
              <w:jc w:val="right"/>
            </w:pPr>
            <w:r>
              <w:rPr>
                <w:sz w:val="19"/>
              </w:rPr>
              <w:t>₦165,000</w:t>
            </w:r>
          </w:p>
        </w:tc>
        <w:tc>
          <w:tcPr>
            <w:tcW w:type="dxa" w:w="1644"/>
            <w:shd w:val="clear" w:color="auto" w:fill="FAFAFB"/>
            <w:vAlign w:val="center"/>
          </w:tcPr>
          <w:p>
            <w:pPr>
              <w:spacing w:after="20" w:line="252" w:lineRule="auto"/>
              <w:jc w:val="right"/>
            </w:pPr>
            <w:r>
              <w:rPr>
                <w:sz w:val="19"/>
              </w:rPr>
              <w:t>KSh 15,999</w:t>
            </w:r>
          </w:p>
        </w:tc>
        <w:tc>
          <w:tcPr>
            <w:tcW w:type="dxa" w:w="1644"/>
            <w:shd w:val="clear" w:color="auto" w:fill="FAFAFB"/>
            <w:vAlign w:val="center"/>
          </w:tcPr>
          <w:p>
            <w:pPr>
              <w:spacing w:after="20" w:line="252" w:lineRule="auto"/>
              <w:jc w:val="right"/>
            </w:pPr>
            <w:r>
              <w:rPr>
                <w:sz w:val="19"/>
              </w:rPr>
              <w:t>GH₵ 1,359</w:t>
            </w:r>
          </w:p>
        </w:tc>
        <w:tc>
          <w:tcPr>
            <w:tcW w:type="dxa" w:w="1644"/>
            <w:shd w:val="clear" w:color="auto" w:fill="FAFAFB"/>
            <w:vAlign w:val="center"/>
          </w:tcPr>
          <w:p>
            <w:pPr>
              <w:spacing w:after="20" w:line="252" w:lineRule="auto"/>
              <w:jc w:val="right"/>
            </w:pPr>
            <w:r>
              <w:rPr>
                <w:sz w:val="19"/>
              </w:rPr>
              <w:t>$109</w:t>
            </w:r>
          </w:p>
        </w:tc>
      </w:tr>
      <w:tr>
        <w:trPr>
          <w:cantSplit/>
        </w:trPr>
        <w:tc>
          <w:tcPr>
            <w:tcW w:type="dxa" w:w="1474"/>
            <w:vAlign w:val="center"/>
          </w:tcPr>
          <w:p>
            <w:pPr>
              <w:spacing w:after="20" w:line="252" w:lineRule="auto"/>
            </w:pPr>
            <w:r>
              <w:rPr>
                <w:b/>
                <w:sz w:val="19"/>
              </w:rPr>
              <w:t>Scale</w:t>
            </w:r>
          </w:p>
        </w:tc>
        <w:tc>
          <w:tcPr>
            <w:tcW w:type="dxa" w:w="1587"/>
            <w:vAlign w:val="center"/>
          </w:tcPr>
          <w:p>
            <w:pPr>
              <w:spacing w:after="20" w:line="252" w:lineRule="auto"/>
              <w:jc w:val="right"/>
            </w:pPr>
            <w:r>
              <w:rPr>
                <w:sz w:val="19"/>
              </w:rPr>
              <w:t>R4,999</w:t>
            </w:r>
          </w:p>
        </w:tc>
        <w:tc>
          <w:tcPr>
            <w:tcW w:type="dxa" w:w="1644"/>
            <w:vAlign w:val="center"/>
          </w:tcPr>
          <w:p>
            <w:pPr>
              <w:spacing w:after="20" w:line="252" w:lineRule="auto"/>
              <w:jc w:val="right"/>
            </w:pPr>
            <w:r>
              <w:rPr>
                <w:sz w:val="19"/>
              </w:rPr>
              <w:t>₦413,000</w:t>
            </w:r>
          </w:p>
        </w:tc>
        <w:tc>
          <w:tcPr>
            <w:tcW w:type="dxa" w:w="1644"/>
            <w:vAlign w:val="center"/>
          </w:tcPr>
          <w:p>
            <w:pPr>
              <w:spacing w:after="20" w:line="252" w:lineRule="auto"/>
              <w:jc w:val="right"/>
            </w:pPr>
            <w:r>
              <w:rPr>
                <w:sz w:val="19"/>
              </w:rPr>
              <w:t>KSh 39,999</w:t>
            </w:r>
          </w:p>
        </w:tc>
        <w:tc>
          <w:tcPr>
            <w:tcW w:type="dxa" w:w="1644"/>
            <w:vAlign w:val="center"/>
          </w:tcPr>
          <w:p>
            <w:pPr>
              <w:spacing w:after="20" w:line="252" w:lineRule="auto"/>
              <w:jc w:val="right"/>
            </w:pPr>
            <w:r>
              <w:rPr>
                <w:sz w:val="19"/>
              </w:rPr>
              <w:t>GH₵ 3,399</w:t>
            </w:r>
          </w:p>
        </w:tc>
        <w:tc>
          <w:tcPr>
            <w:tcW w:type="dxa" w:w="1644"/>
            <w:vAlign w:val="center"/>
          </w:tcPr>
          <w:p>
            <w:pPr>
              <w:spacing w:after="20" w:line="252" w:lineRule="auto"/>
              <w:jc w:val="right"/>
            </w:pPr>
            <w:r>
              <w:rPr>
                <w:sz w:val="19"/>
              </w:rPr>
              <w:t>$269</w:t>
            </w:r>
          </w:p>
        </w:tc>
      </w:tr>
    </w:tbl>
    <w:p>
      <w:pPr>
        <w:spacing w:after="0" w:line="120" w:lineRule="exact"/>
      </w:pPr>
    </w:p>
    <w:p>
      <w:pPr>
        <w:pStyle w:val="Heading2"/>
      </w:pPr>
      <w:r>
        <w:rPr/>
        <w:t>Annual (10× monthly)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gional annual prices"/>
      </w:tblPr>
      <w:tblGrid>
        <w:gridCol w:w="1474"/>
        <w:gridCol w:w="1587"/>
        <w:gridCol w:w="1644"/>
        <w:gridCol w:w="1644"/>
        <w:gridCol w:w="1644"/>
        <w:gridCol w:w="1644"/>
      </w:tblGrid>
      <w:tr>
        <w:trPr>
          <w:cantSplit/>
          <w:tblHeader/>
        </w:trPr>
        <w:tc>
          <w:tcPr>
            <w:tcW w:type="dxa" w:w="1474"/>
            <w:shd w:val="clear" w:color="auto" w:fill="FF6A00"/>
            <w:vAlign w:val="center"/>
          </w:tcPr>
          <w:p>
            <w:pPr>
              <w:keepNext/>
              <w:spacing w:after="20" w:line="252" w:lineRule="auto"/>
            </w:pPr>
            <w:r>
              <w:rPr>
                <w:rFonts w:ascii="Poppins" w:hAnsi="Poppins" w:cs="Poppins" w:eastAsia="Poppins"/>
                <w:b/>
                <w:color w:val="20242B"/>
                <w:sz w:val="19"/>
              </w:rPr>
              <w:t>Plan</w:t>
            </w:r>
          </w:p>
        </w:tc>
        <w:tc>
          <w:tcPr>
            <w:tcW w:type="dxa" w:w="1587"/>
            <w:shd w:val="clear" w:color="auto" w:fill="FF6A00"/>
            <w:vAlign w:val="center"/>
          </w:tcPr>
          <w:p>
            <w:pPr>
              <w:keepNext/>
              <w:spacing w:after="20" w:line="252" w:lineRule="auto"/>
              <w:jc w:val="right"/>
            </w:pPr>
            <w:r>
              <w:rPr>
                <w:rFonts w:ascii="Poppins" w:hAnsi="Poppins" w:cs="Poppins" w:eastAsia="Poppins"/>
                <w:b/>
                <w:color w:val="20242B"/>
                <w:sz w:val="19"/>
              </w:rPr>
              <w:t>South Africa (ZAR)</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Nigeria (NGN)</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Kenya (KES)</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Ghana (GHS)</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9"/>
              </w:rPr>
              <w:t>USD markets*</w:t>
            </w:r>
          </w:p>
        </w:tc>
      </w:tr>
      <w:tr>
        <w:trPr>
          <w:cantSplit/>
        </w:trPr>
        <w:tc>
          <w:tcPr>
            <w:tcW w:type="dxa" w:w="1474"/>
            <w:vAlign w:val="center"/>
          </w:tcPr>
          <w:p>
            <w:pPr>
              <w:spacing w:after="20" w:line="252" w:lineRule="auto"/>
            </w:pPr>
            <w:r>
              <w:rPr>
                <w:b/>
                <w:sz w:val="19"/>
              </w:rPr>
              <w:t>Starter</w:t>
            </w:r>
          </w:p>
        </w:tc>
        <w:tc>
          <w:tcPr>
            <w:tcW w:type="dxa" w:w="1587"/>
            <w:vAlign w:val="center"/>
          </w:tcPr>
          <w:p>
            <w:pPr>
              <w:spacing w:after="20" w:line="252" w:lineRule="auto"/>
              <w:jc w:val="right"/>
            </w:pPr>
            <w:r>
              <w:rPr>
                <w:sz w:val="19"/>
              </w:rPr>
              <w:t>R4,990</w:t>
            </w:r>
          </w:p>
        </w:tc>
        <w:tc>
          <w:tcPr>
            <w:tcW w:type="dxa" w:w="1644"/>
            <w:vAlign w:val="center"/>
          </w:tcPr>
          <w:p>
            <w:pPr>
              <w:spacing w:after="20" w:line="252" w:lineRule="auto"/>
              <w:jc w:val="right"/>
            </w:pPr>
            <w:r>
              <w:rPr>
                <w:sz w:val="19"/>
              </w:rPr>
              <w:t>₦410,000</w:t>
            </w:r>
          </w:p>
        </w:tc>
        <w:tc>
          <w:tcPr>
            <w:tcW w:type="dxa" w:w="1644"/>
            <w:vAlign w:val="center"/>
          </w:tcPr>
          <w:p>
            <w:pPr>
              <w:spacing w:after="20" w:line="252" w:lineRule="auto"/>
              <w:jc w:val="right"/>
            </w:pPr>
            <w:r>
              <w:rPr>
                <w:sz w:val="19"/>
              </w:rPr>
              <w:t>KSh 39,990</w:t>
            </w:r>
          </w:p>
        </w:tc>
        <w:tc>
          <w:tcPr>
            <w:tcW w:type="dxa" w:w="1644"/>
            <w:vAlign w:val="center"/>
          </w:tcPr>
          <w:p>
            <w:pPr>
              <w:spacing w:after="20" w:line="252" w:lineRule="auto"/>
              <w:jc w:val="right"/>
            </w:pPr>
            <w:r>
              <w:rPr>
                <w:sz w:val="19"/>
              </w:rPr>
              <w:t>GH₵ 3,390</w:t>
            </w:r>
          </w:p>
        </w:tc>
        <w:tc>
          <w:tcPr>
            <w:tcW w:type="dxa" w:w="1644"/>
            <w:vAlign w:val="center"/>
          </w:tcPr>
          <w:p>
            <w:pPr>
              <w:spacing w:after="20" w:line="252" w:lineRule="auto"/>
              <w:jc w:val="right"/>
            </w:pPr>
            <w:r>
              <w:rPr>
                <w:sz w:val="19"/>
              </w:rPr>
              <w:t>$270</w:t>
            </w:r>
          </w:p>
        </w:tc>
      </w:tr>
      <w:tr>
        <w:trPr>
          <w:cantSplit/>
        </w:trPr>
        <w:tc>
          <w:tcPr>
            <w:tcW w:type="dxa" w:w="1474"/>
            <w:shd w:val="clear" w:color="auto" w:fill="FAFAFB"/>
            <w:vAlign w:val="center"/>
          </w:tcPr>
          <w:p>
            <w:pPr>
              <w:spacing w:after="20" w:line="252" w:lineRule="auto"/>
            </w:pPr>
            <w:r>
              <w:rPr>
                <w:b/>
                <w:sz w:val="19"/>
              </w:rPr>
              <w:t>Growth</w:t>
            </w:r>
          </w:p>
        </w:tc>
        <w:tc>
          <w:tcPr>
            <w:tcW w:type="dxa" w:w="1587"/>
            <w:shd w:val="clear" w:color="auto" w:fill="FAFAFB"/>
            <w:vAlign w:val="center"/>
          </w:tcPr>
          <w:p>
            <w:pPr>
              <w:spacing w:after="20" w:line="252" w:lineRule="auto"/>
              <w:jc w:val="right"/>
            </w:pPr>
            <w:r>
              <w:rPr>
                <w:sz w:val="19"/>
              </w:rPr>
              <w:t>R19,990</w:t>
            </w:r>
          </w:p>
        </w:tc>
        <w:tc>
          <w:tcPr>
            <w:tcW w:type="dxa" w:w="1644"/>
            <w:shd w:val="clear" w:color="auto" w:fill="FAFAFB"/>
            <w:vAlign w:val="center"/>
          </w:tcPr>
          <w:p>
            <w:pPr>
              <w:spacing w:after="20" w:line="252" w:lineRule="auto"/>
              <w:jc w:val="right"/>
            </w:pPr>
            <w:r>
              <w:rPr>
                <w:sz w:val="19"/>
              </w:rPr>
              <w:t>₦1,650,000</w:t>
            </w:r>
          </w:p>
        </w:tc>
        <w:tc>
          <w:tcPr>
            <w:tcW w:type="dxa" w:w="1644"/>
            <w:shd w:val="clear" w:color="auto" w:fill="FAFAFB"/>
            <w:vAlign w:val="center"/>
          </w:tcPr>
          <w:p>
            <w:pPr>
              <w:spacing w:after="20" w:line="252" w:lineRule="auto"/>
              <w:jc w:val="right"/>
            </w:pPr>
            <w:r>
              <w:rPr>
                <w:sz w:val="19"/>
              </w:rPr>
              <w:t>KSh 159,990</w:t>
            </w:r>
          </w:p>
        </w:tc>
        <w:tc>
          <w:tcPr>
            <w:tcW w:type="dxa" w:w="1644"/>
            <w:shd w:val="clear" w:color="auto" w:fill="FAFAFB"/>
            <w:vAlign w:val="center"/>
          </w:tcPr>
          <w:p>
            <w:pPr>
              <w:spacing w:after="20" w:line="252" w:lineRule="auto"/>
              <w:jc w:val="right"/>
            </w:pPr>
            <w:r>
              <w:rPr>
                <w:sz w:val="19"/>
              </w:rPr>
              <w:t>GH₵ 13,590</w:t>
            </w:r>
          </w:p>
        </w:tc>
        <w:tc>
          <w:tcPr>
            <w:tcW w:type="dxa" w:w="1644"/>
            <w:shd w:val="clear" w:color="auto" w:fill="FAFAFB"/>
            <w:vAlign w:val="center"/>
          </w:tcPr>
          <w:p>
            <w:pPr>
              <w:spacing w:after="20" w:line="252" w:lineRule="auto"/>
              <w:jc w:val="right"/>
            </w:pPr>
            <w:r>
              <w:rPr>
                <w:sz w:val="19"/>
              </w:rPr>
              <w:t>$1,090</w:t>
            </w:r>
          </w:p>
        </w:tc>
      </w:tr>
      <w:tr>
        <w:trPr>
          <w:cantSplit/>
        </w:trPr>
        <w:tc>
          <w:tcPr>
            <w:tcW w:type="dxa" w:w="1474"/>
            <w:vAlign w:val="center"/>
          </w:tcPr>
          <w:p>
            <w:pPr>
              <w:spacing w:after="20" w:line="252" w:lineRule="auto"/>
            </w:pPr>
            <w:r>
              <w:rPr>
                <w:b/>
                <w:sz w:val="19"/>
              </w:rPr>
              <w:t>Scale</w:t>
            </w:r>
          </w:p>
        </w:tc>
        <w:tc>
          <w:tcPr>
            <w:tcW w:type="dxa" w:w="1587"/>
            <w:vAlign w:val="center"/>
          </w:tcPr>
          <w:p>
            <w:pPr>
              <w:spacing w:after="20" w:line="252" w:lineRule="auto"/>
              <w:jc w:val="right"/>
            </w:pPr>
            <w:r>
              <w:rPr>
                <w:sz w:val="19"/>
              </w:rPr>
              <w:t>R49,990</w:t>
            </w:r>
          </w:p>
        </w:tc>
        <w:tc>
          <w:tcPr>
            <w:tcW w:type="dxa" w:w="1644"/>
            <w:vAlign w:val="center"/>
          </w:tcPr>
          <w:p>
            <w:pPr>
              <w:spacing w:after="20" w:line="252" w:lineRule="auto"/>
              <w:jc w:val="right"/>
            </w:pPr>
            <w:r>
              <w:rPr>
                <w:sz w:val="19"/>
              </w:rPr>
              <w:t>₦4,130,000</w:t>
            </w:r>
          </w:p>
        </w:tc>
        <w:tc>
          <w:tcPr>
            <w:tcW w:type="dxa" w:w="1644"/>
            <w:vAlign w:val="center"/>
          </w:tcPr>
          <w:p>
            <w:pPr>
              <w:spacing w:after="20" w:line="252" w:lineRule="auto"/>
              <w:jc w:val="right"/>
            </w:pPr>
            <w:r>
              <w:rPr>
                <w:sz w:val="19"/>
              </w:rPr>
              <w:t>KSh 399,990</w:t>
            </w:r>
          </w:p>
        </w:tc>
        <w:tc>
          <w:tcPr>
            <w:tcW w:type="dxa" w:w="1644"/>
            <w:vAlign w:val="center"/>
          </w:tcPr>
          <w:p>
            <w:pPr>
              <w:spacing w:after="20" w:line="252" w:lineRule="auto"/>
              <w:jc w:val="right"/>
            </w:pPr>
            <w:r>
              <w:rPr>
                <w:sz w:val="19"/>
              </w:rPr>
              <w:t>GH₵ 33,990</w:t>
            </w:r>
          </w:p>
        </w:tc>
        <w:tc>
          <w:tcPr>
            <w:tcW w:type="dxa" w:w="1644"/>
            <w:vAlign w:val="center"/>
          </w:tcPr>
          <w:p>
            <w:pPr>
              <w:spacing w:after="20" w:line="252" w:lineRule="auto"/>
              <w:jc w:val="right"/>
            </w:pPr>
            <w:r>
              <w:rPr>
                <w:sz w:val="19"/>
              </w:rPr>
              <w:t>$2,690</w:t>
            </w:r>
          </w:p>
        </w:tc>
      </w:tr>
    </w:tbl>
    <w:p>
      <w:pPr>
        <w:spacing w:after="0" w:line="120" w:lineRule="exact"/>
      </w:pPr>
    </w:p>
    <w:p>
      <w:pPr>
        <w:pStyle w:val="ListBullet"/>
      </w:pPr>
      <w:r>
        <w:rPr/>
        <w:t>*USD markets: Côte d'Ivoire, Rwanda, Uganda, Tanzania, Zambia, Cameroon, Senegal, Benin, Burkina Faso, Republic of the Congo, Gabon, DR Congo, Malawi, Mozambique, Sierra Leone, Ethiopia, Lesotho, South Sudan and Zimbabwe. South Sudan and Zimbabwe open for sale only once subscription collection is confirmed; until then they are waitlist only.</w:t>
      </w:r>
    </w:p>
    <w:p>
      <w:pPr>
        <w:pStyle w:val="ListBullet"/>
      </w:pPr>
      <w:r>
        <w:rPr>
          <w:b/>
        </w:rPr>
        <w:t>Founding Member</w:t>
      </w:r>
      <w:r>
        <w:rPr/>
        <w:t xml:space="preserve"> in Nigeria, Kenya and Ghana applies to sign-ups in the first 60 days after each country's launch, at 30% off the first 2 monthly bills. USD markets have no launch window.</w:t>
      </w:r>
    </w:p>
    <w:p>
      <w:pPr>
        <w:pStyle w:val="ListBullet"/>
      </w:pPr>
      <w:r>
        <w:rPr>
          <w:b/>
        </w:rPr>
        <w:t>Gated countries</w:t>
      </w:r>
      <w:r>
        <w:rPr/>
        <w:t xml:space="preserve"> (every country without a payment rail, including Botswana and Namibia, coming soon, and all countries outside Africa) can join the waitlist only: no prices, no checkout.</w:t>
      </w:r>
    </w:p>
    <w:p>
      <w:pPr>
        <w:pStyle w:val="ListBullet"/>
      </w:pPr>
      <w:r>
        <w:rPr/>
        <w:t>Enterprise (from R19,999 / ₦1,650,000 / KSh 161,000 / GH₵ 13,600 / $1,099 a month) is quoted on request.</w:t>
      </w: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SME growth</dc:title>
  <dc:subject>Marketing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