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120" w:lineRule="exact"/>
      </w:pPr>
    </w:p>
    <w:p>
      <w:pPr>
        <w:spacing w:after="0"/>
      </w:pPr>
      <w:r>
        <w:drawing>
          <wp:inline xmlns:a="http://schemas.openxmlformats.org/drawingml/2006/main" xmlns:pic="http://schemas.openxmlformats.org/drawingml/2006/picture">
            <wp:extent cx="936000" cy="936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936000" cy="936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360"/>
      </w:pPr>
      <w:r>
        <w:rPr>
          <w:color w:val="5B6570"/>
          <w:sz w:val="22"/>
        </w:rPr>
        <w:t>AI Marketing &amp; WhatsApp Commerce for Africa</w:t>
      </w:r>
    </w:p>
    <w:p>
      <w:pPr>
        <w:keepNext/>
        <w:spacing w:after="40"/>
      </w:pPr>
      <w:r>
        <w:rPr>
          <w:rFonts w:ascii="Poppins" w:hAnsi="Poppins" w:cs="Poppins" w:eastAsia="Poppins"/>
          <w:b/>
          <w:color w:val="C24E00"/>
          <w:spacing w:val="30"/>
          <w:sz w:val="17"/>
        </w:rPr>
        <w:t>BUSINESS PLAN</w:t>
      </w:r>
    </w:p>
    <w:p>
      <w:pPr>
        <w:pStyle w:val="Title"/>
        <w:spacing w:after="80"/>
      </w:pPr>
      <w:r>
        <w:rPr/>
        <w:t>An AI marketing team and a checkout, inside the chat app Africa already uses</w:t>
      </w:r>
    </w:p>
    <w:p>
      <w:pPr>
        <w:spacing w:after="240"/>
      </w:pPr>
      <w:r>
        <w:rPr>
          <w:color w:val="37474F"/>
          <w:sz w:val="26"/>
        </w:rPr>
        <w:t>Seed raise of R25 million · September 2026</w:t>
      </w:r>
    </w:p>
    <w:p>
      <w:pPr>
        <w:pBdr>
          <w:bottom w:val="single" w:sz="24" w:space="1" w:color="FF6A00"/>
        </w:pBdr>
        <w:spacing w:after="200"/>
      </w:pPr>
    </w:p>
    <w:p>
      <w:pPr>
        <w:keepNext/>
        <w:spacing w:before="120" w:after="0"/>
        <w:jc w:val="center"/>
      </w:pPr>
      <w:r>
        <w:drawing>
          <wp:inline xmlns:a="http://schemas.openxmlformats.org/drawingml/2006/main" xmlns:pic="http://schemas.openxmlformats.org/drawingml/2006/picture">
            <wp:extent cx="5760000" cy="3240000"/>
            <wp:docPr id="2" name="Picture 2" descr="Laptop showing the FluxMuse web app beside a phone showing a WhatsApp order confirmation with a Yoco card payment"/>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760000" cy="3240000"/>
                    </a:xfrm>
                    <a:prstGeom prst="rect"/>
                  </pic:spPr>
                </pic:pic>
              </a:graphicData>
            </a:graphic>
          </wp:inline>
        </w:drawing>
      </w:r>
    </w:p>
    <w:p>
      <w:pPr>
        <w:pStyle w:val="Caption"/>
        <w:jc w:val="center"/>
      </w:pPr>
      <w:r>
        <w:rPr>
          <w:b/>
        </w:rPr>
        <w:t>Figure 1.</w:t>
      </w:r>
      <w:r>
        <w:rPr/>
        <w:t xml:space="preserve"> FluxMuse on the web app and in WhatsApp: an AI marketing team that plans, creates and publishes, and a catalog, cart and checkout inside the chat.</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document details"/>
      </w:tblPr>
      <w:tblGrid>
        <w:gridCol w:w="2834"/>
        <w:gridCol w:w="6803"/>
      </w:tblGrid>
      <w:tr>
        <w:trPr>
          <w:cantSplit/>
        </w:trPr>
        <w:tc>
          <w:tcPr>
            <w:tcW w:type="dxa" w:w="2835"/>
            <w:shd w:val="clear" w:color="auto" w:fill="F3F4F6"/>
            <w:vAlign w:val="center"/>
          </w:tcPr>
          <w:p>
            <w:pPr>
              <w:spacing w:after="20" w:line="252" w:lineRule="auto"/>
            </w:pPr>
            <w:r>
              <w:rPr>
                <w:b/>
                <w:sz w:val="20"/>
              </w:rPr>
              <w:t>Company</w:t>
            </w:r>
          </w:p>
        </w:tc>
        <w:tc>
          <w:tcPr>
            <w:tcW w:type="dxa" w:w="6803"/>
            <w:vAlign w:val="center"/>
          </w:tcPr>
          <w:p>
            <w:pPr>
              <w:spacing w:after="20" w:line="252" w:lineRule="auto"/>
            </w:pPr>
            <w:r>
              <w:rPr>
                <w:sz w:val="20"/>
              </w:rPr>
              <w:t xml:space="preserve">Fluxmuse Pty Ltd (South Africa) · registration number </w:t>
            </w:r>
            <w:r>
              <w:rPr>
                <w:b/>
                <w:color w:val="20242B"/>
                <w:sz w:val="20"/>
                <w:shd w:val="clear" w:color="auto" w:fill="FFF1A8"/>
              </w:rPr>
              <w:t>[[COMPANY REGISTRATION NUMBER]]</w:t>
            </w:r>
          </w:p>
        </w:tc>
      </w:tr>
      <w:tr>
        <w:trPr>
          <w:cantSplit/>
        </w:trPr>
        <w:tc>
          <w:tcPr>
            <w:tcW w:type="dxa" w:w="2835"/>
            <w:shd w:val="clear" w:color="auto" w:fill="F3F4F6"/>
            <w:vAlign w:val="center"/>
          </w:tcPr>
          <w:p>
            <w:pPr>
              <w:spacing w:after="20" w:line="252" w:lineRule="auto"/>
            </w:pPr>
            <w:r>
              <w:rPr>
                <w:b/>
                <w:sz w:val="20"/>
              </w:rPr>
              <w:t>Document</w:t>
            </w:r>
          </w:p>
        </w:tc>
        <w:tc>
          <w:tcPr>
            <w:tcW w:type="dxa" w:w="6803"/>
            <w:vAlign w:val="center"/>
          </w:tcPr>
          <w:p>
            <w:pPr>
              <w:spacing w:after="20" w:line="252" w:lineRule="auto"/>
            </w:pPr>
            <w:r>
              <w:rPr>
                <w:sz w:val="20"/>
              </w:rPr>
              <w:t>Business Plan · September 2026 · Confidential · version v1.0</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b/>
                <w:color w:val="20242B"/>
                <w:sz w:val="20"/>
                <w:shd w:val="clear" w:color="auto" w:fill="FFF1A8"/>
              </w:rPr>
              <w:t>[[FOUNDER NAME, TITLE]]</w:t>
            </w:r>
            <w:r>
              <w:rPr>
                <w:sz w:val="20"/>
              </w:rPr>
              <w:t>, Fluxmuse Pty Ltd</w:t>
            </w:r>
          </w:p>
          <w:p>
            <w:pPr>
              <w:spacing w:after="20" w:line="252" w:lineRule="auto"/>
            </w:pPr>
            <w:r>
              <w:rPr>
                <w:b/>
                <w:color w:val="20242B"/>
                <w:sz w:val="20"/>
                <w:shd w:val="clear" w:color="auto" w:fill="FFF1A8"/>
              </w:rPr>
              <w:t>[[EMAIL]]</w:t>
            </w:r>
            <w:r>
              <w:rPr>
                <w:sz w:val="20"/>
              </w:rPr>
              <w:t xml:space="preserve">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[[INVESTOR / FUNDER NAME]]</w:t>
            </w:r>
          </w:p>
        </w:tc>
      </w:tr>
      <w:tr>
        <w:trPr>
          <w:cantSplit/>
        </w:trPr>
        <w:tc>
          <w:tcPr>
            <w:tcW w:type="dxa" w:w="2835"/>
            <w:shd w:val="clear" w:color="auto" w:fill="F3F4F6"/>
            <w:vAlign w:val="center"/>
          </w:tcPr>
          <w:p>
            <w:pPr>
              <w:spacing w:after="20" w:line="252" w:lineRule="auto"/>
            </w:pPr>
            <w:r>
              <w:rPr>
                <w:b/>
                <w:sz w:val="20"/>
              </w:rPr>
              <w:t>Financial model</w:t>
            </w:r>
          </w:p>
        </w:tc>
        <w:tc>
          <w:tcPr>
            <w:tcW w:type="dxa" w:w="6803"/>
            <w:vAlign w:val="center"/>
          </w:tcPr>
          <w:p>
            <w:pPr>
              <w:spacing w:after="20" w:line="252" w:lineRule="auto"/>
            </w:pPr>
            <w:r>
              <w:rPr>
                <w:sz w:val="20"/>
              </w:rPr>
              <w:t>FluxMuse Financial Model v2, model date 11 September 2026 (Base case)</w:t>
            </w:r>
          </w:p>
        </w:tc>
      </w:tr>
    </w:tbl>
    <w:p>
      <w:pPr>
        <w:spacing w:after="0" w:line="120" w:lineRule="exact"/>
      </w:pPr>
    </w:p>
    <w:p>
      <w:pPr>
        <w:spacing w:before="160"/>
      </w:pPr>
      <w:r>
        <w:rPr>
          <w:color w:val="5B6570"/>
          <w:sz w:val="17"/>
        </w:rPr>
        <w:t>Confidential. This document contains commercially sensitive information and is provided for evaluation only. Figures in South African rand (ZAR) unless stated. US dollar equivalents at R18.50 = US$1.</w:t>
      </w:r>
    </w:p>
    <w:p>
      <w:pPr>
        <w:spacing w:after="0"/>
      </w:pPr>
      <w:r>
        <w:br w:type="page"/>
      </w:r>
    </w:p>
    <w:p>
      <w:pPr>
        <w:pStyle w:val="Heading1"/>
      </w:pPr>
      <w:r>
        <w:rPr/>
        <w:t>Document control and disclaimer</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document control"/>
      </w:tblPr>
      <w:tblGrid>
        <w:gridCol w:w="2494"/>
        <w:gridCol w:w="7143"/>
      </w:tblGrid>
      <w:tr>
        <w:trPr>
          <w:cantSplit/>
        </w:trPr>
        <w:tc>
          <w:tcPr>
            <w:tcW w:type="dxa" w:w="2494"/>
            <w:shd w:val="clear" w:color="auto" w:fill="F3F4F6"/>
            <w:vAlign w:val="center"/>
          </w:tcPr>
          <w:p>
            <w:pPr>
              <w:spacing w:after="20" w:line="252" w:lineRule="auto"/>
            </w:pPr>
            <w:r>
              <w:rPr>
                <w:b/>
                <w:sz w:val="20"/>
              </w:rPr>
              <w:t>Document</w:t>
            </w:r>
          </w:p>
        </w:tc>
        <w:tc>
          <w:tcPr>
            <w:tcW w:type="dxa" w:w="7143"/>
            <w:vAlign w:val="center"/>
          </w:tcPr>
          <w:p>
            <w:pPr>
              <w:spacing w:after="20" w:line="252" w:lineRule="auto"/>
            </w:pPr>
            <w:r>
              <w:rPr>
                <w:sz w:val="20"/>
              </w:rPr>
              <w:t>FluxMuse Business Plan</w:t>
            </w:r>
          </w:p>
        </w:tc>
      </w:tr>
      <w:tr>
        <w:trPr>
          <w:cantSplit/>
        </w:trPr>
        <w:tc>
          <w:tcPr>
            <w:tcW w:type="dxa" w:w="2494"/>
            <w:shd w:val="clear" w:color="auto" w:fill="F3F4F6"/>
            <w:vAlign w:val="center"/>
          </w:tcPr>
          <w:p>
            <w:pPr>
              <w:spacing w:after="20" w:line="252" w:lineRule="auto"/>
            </w:pPr>
            <w:r>
              <w:rPr>
                <w:b/>
                <w:sz w:val="20"/>
              </w:rPr>
              <w:t>Version</w:t>
            </w:r>
          </w:p>
        </w:tc>
        <w:tc>
          <w:tcPr>
            <w:tcW w:type="dxa" w:w="7143"/>
            <w:vAlign w:val="center"/>
          </w:tcPr>
          <w:p>
            <w:pPr>
              <w:spacing w:after="20" w:line="252" w:lineRule="auto"/>
            </w:pPr>
            <w:r>
              <w:rPr>
                <w:sz w:val="20"/>
              </w:rPr>
              <w:t>v1.0 · September 2026</w:t>
            </w:r>
          </w:p>
        </w:tc>
      </w:tr>
      <w:tr>
        <w:trPr>
          <w:cantSplit/>
        </w:trPr>
        <w:tc>
          <w:tcPr>
            <w:tcW w:type="dxa" w:w="2494"/>
            <w:shd w:val="clear" w:color="auto" w:fill="F3F4F6"/>
            <w:vAlign w:val="center"/>
          </w:tcPr>
          <w:p>
            <w:pPr>
              <w:spacing w:after="20" w:line="252" w:lineRule="auto"/>
            </w:pPr>
            <w:r>
              <w:rPr>
                <w:b/>
                <w:sz w:val="20"/>
              </w:rPr>
              <w:t>Status</w:t>
            </w:r>
          </w:p>
        </w:tc>
        <w:tc>
          <w:tcPr>
            <w:tcW w:type="dxa" w:w="7143"/>
            <w:vAlign w:val="center"/>
          </w:tcPr>
          <w:p>
            <w:pPr>
              <w:spacing w:after="20" w:line="252" w:lineRule="auto"/>
            </w:pPr>
            <w:r>
              <w:rPr>
                <w:sz w:val="20"/>
              </w:rPr>
              <w:t xml:space="preserve">Draft for founder review. Contains </w:t>
            </w:r>
            <w:r>
              <w:rPr>
                <w:b/>
                <w:color w:val="20242B"/>
                <w:sz w:val="20"/>
                <w:shd w:val="clear" w:color="auto" w:fill="FFF1A8"/>
              </w:rPr>
              <w:t>[[PLACEHOLDERS]]</w:t>
            </w:r>
            <w:r>
              <w:rPr>
                <w:sz w:val="20"/>
              </w:rPr>
              <w:t xml:space="preserve"> that must be completed</w:t>
            </w:r>
          </w:p>
        </w:tc>
      </w:tr>
      <w:tr>
        <w:trPr>
          <w:cantSplit/>
        </w:trPr>
        <w:tc>
          <w:tcPr>
            <w:tcW w:type="dxa" w:w="2494"/>
            <w:shd w:val="clear" w:color="auto" w:fill="F3F4F6"/>
            <w:vAlign w:val="center"/>
          </w:tcPr>
          <w:p>
            <w:pPr>
              <w:spacing w:after="20" w:line="252" w:lineRule="auto"/>
            </w:pPr>
            <w:r>
              <w:rPr>
                <w:b/>
                <w:sz w:val="20"/>
              </w:rPr>
              <w:t>Prepared by</w:t>
            </w:r>
          </w:p>
        </w:tc>
        <w:tc>
          <w:tcPr>
            <w:tcW w:type="dxa" w:w="7143"/>
            <w:vAlign w:val="center"/>
          </w:tcPr>
          <w:p>
            <w:pPr>
              <w:spacing w:after="20" w:line="252" w:lineRule="auto"/>
            </w:pPr>
            <w:r>
              <w:rPr>
                <w:b/>
                <w:color w:val="20242B"/>
                <w:sz w:val="20"/>
                <w:shd w:val="clear" w:color="auto" w:fill="FFF1A8"/>
              </w:rPr>
              <w:t>[[FOUNDER NAME, TITLE]]</w:t>
            </w:r>
            <w:r>
              <w:rPr>
                <w:sz w:val="20"/>
              </w:rPr>
              <w:t>, Fluxmuse Pty Ltd</w:t>
            </w:r>
          </w:p>
        </w:tc>
      </w:tr>
      <w:tr>
        <w:trPr>
          <w:cantSplit/>
        </w:trPr>
        <w:tc>
          <w:tcPr>
            <w:tcW w:type="dxa" w:w="2494"/>
            <w:shd w:val="clear" w:color="auto" w:fill="F3F4F6"/>
            <w:vAlign w:val="center"/>
          </w:tcPr>
          <w:p>
            <w:pPr>
              <w:spacing w:after="20" w:line="252" w:lineRule="auto"/>
            </w:pPr>
            <w:r>
              <w:rPr>
                <w:b/>
                <w:sz w:val="20"/>
              </w:rPr>
              <w:t>Approved by</w:t>
            </w:r>
          </w:p>
        </w:tc>
        <w:tc>
          <w:tcPr>
            <w:tcW w:type="dxa" w:w="7143"/>
            <w:vAlign w:val="center"/>
          </w:tcPr>
          <w:p>
            <w:pPr>
              <w:spacing w:after="20" w:line="252" w:lineRule="auto"/>
            </w:pPr>
            <w:r>
              <w:rPr>
                <w:b/>
                <w:color w:val="20242B"/>
                <w:sz w:val="20"/>
                <w:shd w:val="clear" w:color="auto" w:fill="FFF1A8"/>
              </w:rPr>
              <w:t>[[APPROVER NAME AND DATE]]</w:t>
            </w:r>
          </w:p>
        </w:tc>
      </w:tr>
      <w:tr>
        <w:trPr>
          <w:cantSplit/>
        </w:trPr>
        <w:tc>
          <w:tcPr>
            <w:tcW w:type="dxa" w:w="2494"/>
            <w:shd w:val="clear" w:color="auto" w:fill="F3F4F6"/>
            <w:vAlign w:val="center"/>
          </w:tcPr>
          <w:p>
            <w:pPr>
              <w:spacing w:after="20" w:line="252" w:lineRule="auto"/>
            </w:pPr>
            <w:r>
              <w:rPr>
                <w:b/>
                <w:sz w:val="20"/>
              </w:rPr>
              <w:t>Financial model</w:t>
            </w:r>
          </w:p>
        </w:tc>
        <w:tc>
          <w:tcPr>
            <w:tcW w:type="dxa" w:w="7143"/>
            <w:vAlign w:val="center"/>
          </w:tcPr>
          <w:p>
            <w:pPr>
              <w:spacing w:after="20" w:line="252" w:lineRule="auto"/>
            </w:pPr>
            <w:r>
              <w:rPr>
                <w:sz w:val="20"/>
              </w:rPr>
              <w:t>FluxMuse Financial Model v2, model date 11 September 2026, Base case selected</w:t>
            </w:r>
          </w:p>
        </w:tc>
      </w:tr>
      <w:tr>
        <w:trPr>
          <w:cantSplit/>
        </w:trPr>
        <w:tc>
          <w:tcPr>
            <w:tcW w:type="dxa" w:w="2494"/>
            <w:shd w:val="clear" w:color="auto" w:fill="F3F4F6"/>
            <w:vAlign w:val="center"/>
          </w:tcPr>
          <w:p>
            <w:pPr>
              <w:spacing w:after="20" w:line="252" w:lineRule="auto"/>
            </w:pPr>
            <w:r>
              <w:rPr>
                <w:b/>
                <w:sz w:val="20"/>
              </w:rPr>
              <w:t>Distribution</w:t>
            </w:r>
          </w:p>
        </w:tc>
        <w:tc>
          <w:tcPr>
            <w:tcW w:type="dxa" w:w="7143"/>
            <w:vAlign w:val="center"/>
          </w:tcPr>
          <w:p>
            <w:pPr>
              <w:spacing w:after="20" w:line="252" w:lineRule="auto"/>
            </w:pPr>
            <w:r>
              <w:rPr>
                <w:sz w:val="20"/>
              </w:rPr>
              <w:t xml:space="preserve">Confidential. </w:t>
            </w:r>
            <w:r>
              <w:rPr>
                <w:b/>
                <w:color w:val="20242B"/>
                <w:sz w:val="20"/>
                <w:shd w:val="clear" w:color="auto" w:fill="FFF1A8"/>
              </w:rPr>
              <w:t>[[RECIPIENT]]</w:t>
            </w:r>
            <w:r>
              <w:rPr>
                <w:sz w:val="20"/>
              </w:rPr>
              <w:t xml:space="preserve"> only</w:t>
            </w:r>
          </w:p>
        </w:tc>
      </w:tr>
    </w:tbl>
    <w:p>
      <w:pPr>
        <w:spacing w:after="0" w:line="120" w:lineRule="exact"/>
      </w:pPr>
    </w:p>
    <w:p>
      <w:pPr>
        <w:pStyle w:val="Heading2"/>
      </w:pPr>
      <w:r>
        <w:rPr/>
        <w:t>Forward-looking statements</w:t>
      </w:r>
    </w:p>
    <w:p>
      <w:r>
        <w:rPr/>
        <w:t xml:space="preserve">This plan contains forward-looking statements: projections of revenue, costs, cash, headcount, market launches and customer numbers. </w:t>
      </w:r>
      <w:r>
        <w:rPr>
          <w:b/>
        </w:rPr>
        <w:t>They are projections, not results, and not a promise of performance.</w:t>
      </w:r>
      <w:r>
        <w:rPr/>
        <w:t xml:space="preserve"> Every financial figure is drawn from the FluxMuse Financial Model v2 (Base case unless stated). The model's assumptions are listed in Appendix E and will be replaced with measured data as the Gauteng pilot and the South African launch produce it. Actual outcomes will differ, potentially materially, because of demand, competition, exchange rates, platform policy decisions by Meta, payment-provider performance, regulation and execution.</w:t>
      </w:r>
    </w:p>
    <w:p>
      <w:pPr>
        <w:pStyle w:val="Heading2"/>
      </w:pPr>
      <w:r>
        <w:rPr/>
        <w:t>What this plan does not claim</w:t>
      </w:r>
    </w:p>
    <w:p>
      <w:pPr>
        <w:pStyle w:val="ListBullet"/>
      </w:pPr>
      <w:r>
        <w:rPr>
          <w:b/>
        </w:rPr>
        <w:t>No customer results.</w:t>
      </w:r>
      <w:r>
        <w:rPr/>
        <w:t xml:space="preserve"> The Gauteng pilot runs to 30 November 2026. There are no customer counts, ratings, testimonials or outcome figures anywhere in this document, and none will be used until consented pilot data exists from December 2026.</w:t>
      </w:r>
    </w:p>
    <w:p>
      <w:pPr>
        <w:pStyle w:val="ListBullet"/>
      </w:pPr>
      <w:r>
        <w:rPr>
          <w:b/>
        </w:rPr>
        <w:t>No unapproved capability.</w:t>
      </w:r>
      <w:r>
        <w:rPr/>
        <w:t xml:space="preserve"> Features in Meta App Review, including Instagram publishing, comments and DMs, are identified as pending and are never described as live.</w:t>
      </w:r>
    </w:p>
    <w:p>
      <w:pPr>
        <w:pStyle w:val="ListBullet"/>
      </w:pPr>
      <w:r>
        <w:rPr>
          <w:b/>
        </w:rPr>
        <w:t>No invented market data.</w:t>
      </w:r>
      <w:r>
        <w:rPr/>
        <w:t xml:space="preserve"> Market-size figures are labelled as estimates with their sources, and must be re-verified before external use.</w:t>
      </w:r>
    </w:p>
    <w:p>
      <w:pPr>
        <w:pStyle w:val="ListBullet"/>
      </w:pPr>
      <w:r>
        <w:rPr>
          <w:b/>
        </w:rPr>
        <w:t>No valuation or return projection.</w:t>
      </w:r>
      <w:r>
        <w:rPr/>
        <w:t xml:space="preserve"> Instrument, valuation and terms are for negotiation.</w:t>
      </w:r>
    </w:p>
    <w:p>
      <w:r>
        <w:rPr/>
        <w:t xml:space="preserve">Market estimates are attributed to their sources in section 5. Third-party names, including Meta, WhatsApp and the payment providers, are used descriptively and remain the property of their owners. Nothing in this plan is an offer of securities; any investment would be made on separate, legally reviewed terms. </w:t>
      </w:r>
      <w:r>
        <w:rPr>
          <w:b/>
          <w:color w:val="20242B"/>
          <w:shd w:val="clear" w:color="auto" w:fill="FFF1A8"/>
        </w:rPr>
        <w:t>[[LEGAL REVIEW OF THIS DISCLAIMER]]</w:t>
      </w:r>
    </w:p>
    <w:p>
      <w:pPr>
        <w:spacing w:after="0"/>
      </w:pPr>
      <w:r>
        <w:br w:type="page"/>
      </w:r>
    </w:p>
    <w:p>
      <w:pPr>
        <w:keepNext/>
        <w:spacing w:after="120"/>
      </w:pPr>
      <w:r>
        <w:rPr>
          <w:rFonts w:ascii="Poppins" w:hAnsi="Poppins" w:cs="Poppins" w:eastAsia="Poppins"/>
          <w:b/>
          <w:sz w:val="32"/>
        </w:rPr>
        <w:t>Contents</w:t>
      </w:r>
    </w:p>
    <w:p>
      <w:pPr>
        <w:pBdr>
          <w:bottom w:val="single" w:sz="12" w:space="1" w:color="FF6A00"/>
        </w:pBdr>
        <w:spacing w:after="80"/>
      </w:pPr>
    </w:p>
    <w:p>
      <w:pPr>
        <w:tabs>
          <w:tab w:pos="9638" w:val="right"/>
        </w:tabs>
        <w:spacing w:after="40"/>
      </w:pPr>
      <w:r>
        <w:fldChar w:fldCharType="begin"/>
      </w:r>
      <w:r>
        <w:instrText xml:space="preserve"> TOC \o "1-2" \h \z \u </w:instrText>
      </w:r>
      <w:r>
        <w:fldChar w:fldCharType="separate"/>
      </w:r>
      <w:r>
        <w:rPr>
          <w:sz w:val="21"/>
        </w:rPr>
        <w:t>Document control and disclaimer</w:t>
      </w:r>
    </w:p>
    <w:p>
      <w:pPr>
        <w:tabs>
          <w:tab w:pos="9638" w:val="right"/>
        </w:tabs>
        <w:spacing w:after="40"/>
      </w:pPr>
      <w:r>
        <w:rPr>
          <w:sz w:val="21"/>
        </w:rPr>
        <w:t>1. Executive summary</w:t>
      </w:r>
    </w:p>
    <w:p>
      <w:pPr>
        <w:tabs>
          <w:tab w:pos="9638" w:val="right"/>
        </w:tabs>
        <w:spacing w:after="40"/>
      </w:pPr>
      <w:r>
        <w:rPr>
          <w:sz w:val="21"/>
        </w:rPr>
        <w:t>2. Company overview</w:t>
      </w:r>
    </w:p>
    <w:p>
      <w:pPr>
        <w:tabs>
          <w:tab w:pos="9638" w:val="right"/>
        </w:tabs>
        <w:spacing w:after="40"/>
      </w:pPr>
      <w:r>
        <w:rPr>
          <w:sz w:val="21"/>
        </w:rPr>
        <w:t>3. Problem and opportunity</w:t>
      </w:r>
    </w:p>
    <w:p>
      <w:pPr>
        <w:tabs>
          <w:tab w:pos="9638" w:val="right"/>
        </w:tabs>
        <w:spacing w:after="40"/>
      </w:pPr>
      <w:r>
        <w:rPr>
          <w:sz w:val="21"/>
        </w:rPr>
        <w:t>4. Solution: products and services</w:t>
      </w:r>
    </w:p>
    <w:p>
      <w:pPr>
        <w:tabs>
          <w:tab w:pos="9638" w:val="right"/>
        </w:tabs>
        <w:spacing w:after="40"/>
      </w:pPr>
      <w:r>
        <w:rPr>
          <w:sz w:val="21"/>
        </w:rPr>
        <w:t>5. Market analysis</w:t>
      </w:r>
    </w:p>
    <w:p>
      <w:pPr>
        <w:tabs>
          <w:tab w:pos="9638" w:val="right"/>
        </w:tabs>
        <w:spacing w:after="40"/>
      </w:pPr>
      <w:r>
        <w:rPr>
          <w:sz w:val="21"/>
        </w:rPr>
        <w:t>6. Target customers</w:t>
      </w:r>
    </w:p>
    <w:p>
      <w:pPr>
        <w:tabs>
          <w:tab w:pos="9638" w:val="right"/>
        </w:tabs>
        <w:spacing w:after="40"/>
      </w:pPr>
      <w:r>
        <w:rPr>
          <w:sz w:val="21"/>
        </w:rPr>
        <w:t>7. Competitive landscape</w:t>
      </w:r>
    </w:p>
    <w:p>
      <w:pPr>
        <w:tabs>
          <w:tab w:pos="9638" w:val="right"/>
        </w:tabs>
        <w:spacing w:after="40"/>
      </w:pPr>
      <w:r>
        <w:rPr>
          <w:sz w:val="21"/>
        </w:rPr>
        <w:t>8. Marketing and sales strategy</w:t>
      </w:r>
    </w:p>
    <w:p>
      <w:pPr>
        <w:tabs>
          <w:tab w:pos="9638" w:val="right"/>
        </w:tabs>
        <w:spacing w:after="40"/>
      </w:pPr>
      <w:r>
        <w:rPr>
          <w:sz w:val="21"/>
        </w:rPr>
        <w:t>9. Pricing strategy</w:t>
      </w:r>
    </w:p>
    <w:p>
      <w:pPr>
        <w:tabs>
          <w:tab w:pos="9638" w:val="right"/>
        </w:tabs>
        <w:spacing w:after="40"/>
      </w:pPr>
      <w:r>
        <w:rPr>
          <w:sz w:val="21"/>
        </w:rPr>
        <w:t>10. Operations</w:t>
      </w:r>
    </w:p>
    <w:p>
      <w:pPr>
        <w:tabs>
          <w:tab w:pos="9638" w:val="right"/>
        </w:tabs>
        <w:spacing w:after="40"/>
      </w:pPr>
      <w:r>
        <w:rPr>
          <w:sz w:val="21"/>
        </w:rPr>
        <w:t>11. Management and organisation</w:t>
      </w:r>
    </w:p>
    <w:p>
      <w:pPr>
        <w:tabs>
          <w:tab w:pos="9638" w:val="right"/>
        </w:tabs>
        <w:spacing w:after="40"/>
      </w:pPr>
      <w:r>
        <w:rPr>
          <w:sz w:val="21"/>
        </w:rPr>
        <w:t>12. Financial plan</w:t>
      </w:r>
    </w:p>
    <w:p>
      <w:pPr>
        <w:tabs>
          <w:tab w:pos="9638" w:val="right"/>
        </w:tabs>
        <w:spacing w:after="40"/>
      </w:pPr>
      <w:r>
        <w:rPr>
          <w:sz w:val="21"/>
        </w:rPr>
        <w:t>13. Funding request and use of funds</w:t>
      </w:r>
    </w:p>
    <w:p>
      <w:pPr>
        <w:tabs>
          <w:tab w:pos="9638" w:val="right"/>
        </w:tabs>
        <w:spacing w:after="40"/>
      </w:pPr>
      <w:r>
        <w:rPr>
          <w:sz w:val="21"/>
        </w:rPr>
        <w:t>14. Risk analysis</w:t>
      </w:r>
    </w:p>
    <w:p>
      <w:pPr>
        <w:tabs>
          <w:tab w:pos="9638" w:val="right"/>
        </w:tabs>
        <w:spacing w:after="40"/>
      </w:pPr>
      <w:r>
        <w:rPr>
          <w:sz w:val="21"/>
        </w:rPr>
        <w:t>15. Milestones and KPIs</w:t>
      </w:r>
    </w:p>
    <w:p>
      <w:pPr>
        <w:tabs>
          <w:tab w:pos="9638" w:val="right"/>
        </w:tabs>
        <w:spacing w:after="40"/>
      </w:pPr>
      <w:r>
        <w:rPr>
          <w:sz w:val="21"/>
        </w:rPr>
        <w:t>16. Social and economic impact</w:t>
      </w:r>
    </w:p>
    <w:p>
      <w:pPr>
        <w:tabs>
          <w:tab w:pos="9638" w:val="right"/>
        </w:tabs>
        <w:spacing w:after="40"/>
      </w:pPr>
      <w:r>
        <w:rPr>
          <w:sz w:val="21"/>
        </w:rPr>
        <w:t>Appendix A. Pricing tables</w:t>
      </w:r>
    </w:p>
    <w:p>
      <w:pPr>
        <w:tabs>
          <w:tab w:pos="9638" w:val="right"/>
        </w:tabs>
        <w:spacing w:after="40"/>
      </w:pPr>
      <w:r>
        <w:rPr>
          <w:sz w:val="21"/>
        </w:rPr>
        <w:t>Appendix B. Payment rails and country coverage</w:t>
      </w:r>
    </w:p>
    <w:p>
      <w:pPr>
        <w:tabs>
          <w:tab w:pos="9638" w:val="right"/>
        </w:tabs>
        <w:spacing w:after="40"/>
      </w:pPr>
      <w:r>
        <w:rPr>
          <w:sz w:val="21"/>
        </w:rPr>
        <w:t>Appendix C. Gauteng pilot and case-study template</w:t>
      </w:r>
    </w:p>
    <w:p>
      <w:pPr>
        <w:tabs>
          <w:tab w:pos="9638" w:val="right"/>
        </w:tabs>
        <w:spacing w:after="40"/>
      </w:pPr>
      <w:r>
        <w:rPr>
          <w:sz w:val="21"/>
        </w:rPr>
        <w:t>Appendix D. Detailed financial tables</w:t>
      </w:r>
    </w:p>
    <w:p>
      <w:pPr>
        <w:tabs>
          <w:tab w:pos="9638" w:val="right"/>
        </w:tabs>
        <w:spacing w:after="40"/>
      </w:pPr>
      <w:r>
        <w:rPr>
          <w:sz w:val="21"/>
        </w:rPr>
        <w:t>Appendix E. Model assumptions and open confirmations</w:t>
      </w:r>
    </w:p>
    <w:p>
      <w:pPr>
        <w:tabs>
          <w:tab w:pos="9638" w:val="right"/>
        </w:tabs>
        <w:spacing w:after="40"/>
      </w:pPr>
      <w:r>
        <w:rPr>
          <w:sz w:val="21"/>
        </w:rPr>
        <w:t>Appendix F. Glossary</w:t>
      </w:r>
      <w:r>
        <w:fldChar w:fldCharType="end"/>
      </w:r>
    </w:p>
    <w:p>
      <w:pPr>
        <w:spacing w:after="200"/>
      </w:pPr>
      <w:r>
        <w:rPr>
          <w:i/>
          <w:color w:val="5B6570"/>
          <w:sz w:val="17"/>
        </w:rPr>
        <w:t>Word builds page numbers when you open the file (choose Yes to update fields), or right-click the list and choose Update Field.</w:t>
      </w:r>
    </w:p>
    <w:p>
      <w:pPr>
        <w:spacing w:after="120"/>
      </w:pPr>
      <w:r>
        <w:rPr>
          <w:i/>
          <w:color w:val="5B6570"/>
          <w:sz w:val="17"/>
        </w:rPr>
        <w:t>If the list above is empty, the static contents below applies.</w:t>
      </w:r>
    </w:p>
    <w:p>
      <w:pPr>
        <w:pStyle w:val="Heading2"/>
      </w:pPr>
      <w:r>
        <w:rPr/>
        <w:t>Contents (static fallback)</w:t>
      </w:r>
    </w:p>
    <w:p>
      <w:pPr>
        <w:spacing w:after="20"/>
      </w:pPr>
      <w:r>
        <w:rPr>
          <w:sz w:val="20"/>
        </w:rPr>
        <w:t>1. Executive summary</w:t>
      </w:r>
    </w:p>
    <w:p>
      <w:pPr>
        <w:spacing w:after="20"/>
      </w:pPr>
      <w:r>
        <w:rPr>
          <w:sz w:val="20"/>
        </w:rPr>
        <w:t>2. Company overview</w:t>
      </w:r>
    </w:p>
    <w:p>
      <w:pPr>
        <w:spacing w:after="20"/>
      </w:pPr>
      <w:r>
        <w:rPr>
          <w:sz w:val="20"/>
        </w:rPr>
        <w:t>3. Problem and opportunity</w:t>
      </w:r>
    </w:p>
    <w:p>
      <w:pPr>
        <w:spacing w:after="20"/>
      </w:pPr>
      <w:r>
        <w:rPr>
          <w:sz w:val="20"/>
        </w:rPr>
        <w:t>4. Solution: products and services</w:t>
      </w:r>
    </w:p>
    <w:p>
      <w:pPr>
        <w:spacing w:after="20"/>
      </w:pPr>
      <w:r>
        <w:rPr>
          <w:sz w:val="20"/>
        </w:rPr>
        <w:t>5. Market analysis</w:t>
      </w:r>
    </w:p>
    <w:p>
      <w:pPr>
        <w:spacing w:after="20"/>
      </w:pPr>
      <w:r>
        <w:rPr>
          <w:sz w:val="20"/>
        </w:rPr>
        <w:t>6. Target customers</w:t>
      </w:r>
    </w:p>
    <w:p>
      <w:pPr>
        <w:spacing w:after="20"/>
      </w:pPr>
      <w:r>
        <w:rPr>
          <w:sz w:val="20"/>
        </w:rPr>
        <w:t>7. Competitive landscape</w:t>
      </w:r>
    </w:p>
    <w:p>
      <w:pPr>
        <w:spacing w:after="20"/>
      </w:pPr>
      <w:r>
        <w:rPr>
          <w:sz w:val="20"/>
        </w:rPr>
        <w:t>8. Marketing and sales strategy</w:t>
      </w:r>
    </w:p>
    <w:p>
      <w:pPr>
        <w:spacing w:after="20"/>
      </w:pPr>
      <w:r>
        <w:rPr>
          <w:sz w:val="20"/>
        </w:rPr>
        <w:t>9. Pricing strategy</w:t>
      </w:r>
    </w:p>
    <w:p>
      <w:pPr>
        <w:spacing w:after="20"/>
      </w:pPr>
      <w:r>
        <w:rPr>
          <w:sz w:val="20"/>
        </w:rPr>
        <w:t>10. Operations</w:t>
      </w:r>
    </w:p>
    <w:p>
      <w:pPr>
        <w:spacing w:after="20"/>
      </w:pPr>
      <w:r>
        <w:rPr>
          <w:sz w:val="20"/>
        </w:rPr>
        <w:t>11. Management and organisation</w:t>
      </w:r>
    </w:p>
    <w:p>
      <w:pPr>
        <w:spacing w:after="20"/>
      </w:pPr>
      <w:r>
        <w:rPr>
          <w:sz w:val="20"/>
        </w:rPr>
        <w:t>12. Financial plan</w:t>
      </w:r>
    </w:p>
    <w:p>
      <w:pPr>
        <w:spacing w:after="20"/>
      </w:pPr>
      <w:r>
        <w:rPr>
          <w:sz w:val="20"/>
        </w:rPr>
        <w:t>13. Funding request and use of funds</w:t>
      </w:r>
    </w:p>
    <w:p>
      <w:pPr>
        <w:spacing w:after="20"/>
      </w:pPr>
      <w:r>
        <w:rPr>
          <w:sz w:val="20"/>
        </w:rPr>
        <w:t>14. Risk analysis</w:t>
      </w:r>
    </w:p>
    <w:p>
      <w:pPr>
        <w:spacing w:after="20"/>
      </w:pPr>
      <w:r>
        <w:rPr>
          <w:sz w:val="20"/>
        </w:rPr>
        <w:t>15. Milestones and KPIs</w:t>
      </w:r>
    </w:p>
    <w:p>
      <w:pPr>
        <w:spacing w:after="20"/>
      </w:pPr>
      <w:r>
        <w:rPr>
          <w:sz w:val="20"/>
        </w:rPr>
        <w:t>16. Social and economic impact</w:t>
      </w:r>
    </w:p>
    <w:p>
      <w:pPr>
        <w:spacing w:after="20"/>
      </w:pPr>
      <w:r>
        <w:rPr>
          <w:sz w:val="20"/>
        </w:rPr>
        <w:t>Appendix A. Pricing tables</w:t>
      </w:r>
    </w:p>
    <w:p>
      <w:pPr>
        <w:spacing w:after="20"/>
      </w:pPr>
      <w:r>
        <w:rPr>
          <w:sz w:val="20"/>
        </w:rPr>
        <w:t>Appendix B. Payment rails and country coverage</w:t>
      </w:r>
    </w:p>
    <w:p>
      <w:pPr>
        <w:spacing w:after="20"/>
      </w:pPr>
      <w:r>
        <w:rPr>
          <w:sz w:val="20"/>
        </w:rPr>
        <w:t>Appendix C. Gauteng pilot and case-study template</w:t>
      </w:r>
    </w:p>
    <w:p>
      <w:pPr>
        <w:spacing w:after="20"/>
      </w:pPr>
      <w:r>
        <w:rPr>
          <w:sz w:val="20"/>
        </w:rPr>
        <w:t>Appendix D. Detailed financial tables</w:t>
      </w:r>
    </w:p>
    <w:p>
      <w:pPr>
        <w:spacing w:after="20"/>
      </w:pPr>
      <w:r>
        <w:rPr>
          <w:sz w:val="20"/>
        </w:rPr>
        <w:t>Appendix E. Model assumptions and open confirmations</w:t>
      </w:r>
    </w:p>
    <w:p>
      <w:pPr>
        <w:spacing w:after="20"/>
      </w:pPr>
      <w:r>
        <w:rPr>
          <w:sz w:val="20"/>
        </w:rPr>
        <w:t>Appendix F. Glossary</w:t>
      </w:r>
    </w:p>
    <w:p>
      <w:pPr>
        <w:spacing w:after="0"/>
      </w:pPr>
      <w:r>
        <w:br w:type="page"/>
      </w:r>
    </w:p>
    <w:p>
      <w:pPr>
        <w:pStyle w:val="Heading1"/>
      </w:pPr>
      <w:r>
        <w:rPr/>
        <w:t>1. Executive summary</w:t>
      </w:r>
    </w:p>
    <w:p>
      <w:r>
        <w:rPr>
          <w:b/>
        </w:rPr>
        <w:t>FluxMuse is an AI marketing team and a WhatsApp commerce platform, built for African small and medium businesses.</w:t>
      </w:r>
      <w:r>
        <w:rPr/>
        <w:t xml:space="preserve"> It plans, writes, publishes and optimises marketing across WhatsApp, Facebook, email, SMS and USSD, and it closes the sale inside the chat: catalog, cart, checkout and order updates, paid for through local payment rails. The company is Fluxmuse Pty Ltd, a South African company and a Meta-verified Tech Provider.</w:t>
      </w:r>
    </w:p>
    <w:p>
      <w:pPr>
        <w:pStyle w:val="Heading2"/>
      </w:pPr>
      <w:r>
        <w:rPr/>
        <w:t>The opportunity</w:t>
      </w:r>
    </w:p>
    <w:p>
      <w:pPr>
        <w:pStyle w:val="ListBullet"/>
      </w:pPr>
      <w:r>
        <w:rPr/>
        <w:t xml:space="preserve">Africa has an estimated </w:t>
      </w:r>
      <w:r>
        <w:rPr>
          <w:b/>
        </w:rPr>
        <w:t>44 million MSMEs</w:t>
      </w:r>
      <w:r>
        <w:rPr/>
        <w:t xml:space="preserve"> (IFC/World Bank est.), about </w:t>
      </w:r>
      <w:r>
        <w:rPr>
          <w:b/>
        </w:rPr>
        <w:t>2.5–3 million SMMEs in South Africa</w:t>
      </w:r>
      <w:r>
        <w:rPr/>
        <w:t xml:space="preserve"> (SEDA/Stats SA est.), </w:t>
      </w:r>
      <w:r>
        <w:rPr>
          <w:b/>
        </w:rPr>
        <w:t>39 million in Nigeria</w:t>
      </w:r>
      <w:r>
        <w:rPr/>
        <w:t xml:space="preserve"> (SMEDAN est.) and </w:t>
      </w:r>
      <w:r>
        <w:rPr>
          <w:b/>
        </w:rPr>
        <w:t>7.4 million in Kenya</w:t>
      </w:r>
      <w:r>
        <w:rPr/>
        <w:t xml:space="preserve"> (KNBS est.). All estimates; see section 5.</w:t>
      </w:r>
    </w:p>
    <w:p>
      <w:pPr>
        <w:pStyle w:val="ListBullet"/>
      </w:pPr>
      <w:r>
        <w:rPr/>
        <w:t xml:space="preserve">They already sell where their customers are: </w:t>
      </w:r>
      <w:r>
        <w:rPr>
          <w:b/>
        </w:rPr>
        <w:t>more than 90% of internet users in South Africa and Nigeria use WhatsApp</w:t>
      </w:r>
      <w:r>
        <w:rPr/>
        <w:t xml:space="preserve"> (DataReportal 2025 est.), and Sub-Saharan Africa accounts for about </w:t>
      </w:r>
      <w:r>
        <w:rPr>
          <w:b/>
        </w:rPr>
        <w:t>70% of global mobile money value</w:t>
      </w:r>
      <w:r>
        <w:rPr/>
        <w:t xml:space="preserve"> (GSMA 2025 est.).</w:t>
      </w:r>
    </w:p>
    <w:p>
      <w:pPr>
        <w:pStyle w:val="ListBullet"/>
      </w:pPr>
      <w:r>
        <w:rPr/>
        <w:t>What they lack is a marketing team they can afford and a way to take payment inside the conversation. Global tools are priced in dollars, aren't built for local payment methods or languages, and stop at the post rather than the sale.</w:t>
      </w:r>
    </w:p>
    <w:p>
      <w:pPr>
        <w:pStyle w:val="Heading2"/>
      </w:pPr>
      <w:r>
        <w:rPr/>
        <w:t>The solution</w:t>
      </w:r>
    </w:p>
    <w:p>
      <w:pPr>
        <w:pStyle w:val="ListBullet"/>
      </w:pPr>
      <w:r>
        <w:rPr>
          <w:b/>
        </w:rPr>
        <w:t>Four core AI agents</w:t>
      </w:r>
      <w:r>
        <w:rPr/>
        <w:t xml:space="preserve"> (Strategist, Creator, Publisher, Analyst) plus 23 specialists, producing content in isiZulu, Pidgin, Swahili, Afrikaans, English and more.</w:t>
      </w:r>
    </w:p>
    <w:p>
      <w:pPr>
        <w:pStyle w:val="ListBullet"/>
      </w:pPr>
      <w:r>
        <w:rPr>
          <w:b/>
        </w:rPr>
        <w:t>WhatsApp commerce</w:t>
      </w:r>
      <w:r>
        <w:rPr/>
        <w:t>: catalog, cart, checkout, order status and abandoned-cart recovery.</w:t>
      </w:r>
    </w:p>
    <w:p>
      <w:pPr>
        <w:pStyle w:val="ListBullet"/>
      </w:pPr>
      <w:r>
        <w:rPr>
          <w:b/>
        </w:rPr>
        <w:t>Five secured payment rails</w:t>
      </w:r>
      <w:r>
        <w:rPr/>
        <w:t xml:space="preserve"> (Yoco, Ozow, Paystack, pawaPay, Fincra), all live September 2026, covering </w:t>
      </w:r>
      <w:r>
        <w:rPr>
          <w:b/>
        </w:rPr>
        <w:t>23 African countries</w:t>
      </w:r>
      <w:r>
        <w:rPr/>
        <w:t>; Botswana and Namibia coming soon.</w:t>
      </w:r>
    </w:p>
    <w:p>
      <w:pPr>
        <w:pStyle w:val="ListBullet"/>
      </w:pPr>
      <w:r>
        <w:rPr>
          <w:b/>
        </w:rPr>
        <w:t>Local pricing</w:t>
      </w:r>
      <w:r>
        <w:rPr/>
        <w:t xml:space="preserve"> from R499 a month, with fixed local price points in Nigeria, Kenya and Ghana and US dollar pricing in the other 19 rail-covered countries.</w:t>
      </w:r>
    </w:p>
    <w:p>
      <w:pPr>
        <w:pStyle w:val="Heading2"/>
      </w:pPr>
      <w:r>
        <w:rPr/>
        <w:t>Where we are today</w:t>
      </w:r>
    </w:p>
    <w:p>
      <w:pPr>
        <w:pStyle w:val="ListBullet"/>
      </w:pPr>
      <w:r>
        <w:rPr>
          <w:b/>
        </w:rPr>
        <w:t>The product is live and shipping</w:t>
      </w:r>
      <w:r>
        <w:rPr/>
        <w:t>: agents, WhatsApp commerce, publishing, campaigns, CRM, automation and integrations.</w:t>
      </w:r>
    </w:p>
    <w:p>
      <w:pPr>
        <w:pStyle w:val="ListBullet"/>
      </w:pPr>
      <w:r>
        <w:rPr>
          <w:b/>
        </w:rPr>
        <w:t>Meta Business and Access Verification (Tech Provider): verified</w:t>
      </w:r>
      <w:r>
        <w:rPr/>
        <w:t xml:space="preserve">, with WhatsApp messaging and management permissions approved. Instagram publishing, comments and DMs, Pages posting and business management are </w:t>
      </w:r>
      <w:r>
        <w:rPr>
          <w:b/>
        </w:rPr>
        <w:t>in Meta App Review and not live yet</w:t>
      </w:r>
      <w:r>
        <w:rPr/>
        <w:t>.</w:t>
      </w:r>
    </w:p>
    <w:p>
      <w:pPr>
        <w:pStyle w:val="ListBullet"/>
      </w:pPr>
      <w:r>
        <w:rPr>
          <w:b/>
        </w:rPr>
        <w:t>A 12-brand Gauteng pilot runs to 30 November 2026.</w:t>
      </w:r>
      <w:r>
        <w:rPr/>
        <w:t xml:space="preserve"> Pilot brands pay nothing; first paid conversions and first consented case studies come in </w:t>
      </w:r>
      <w:r>
        <w:rPr>
          <w:b/>
        </w:rPr>
        <w:t>December 2026</w:t>
      </w:r>
      <w:r>
        <w:rPr/>
        <w:t>. No customer results exist before then.</w:t>
      </w:r>
    </w:p>
    <w:p>
      <w:pPr>
        <w:pStyle w:val="Heading2"/>
      </w:pPr>
      <w:r>
        <w:rPr/>
        <w:t>Business model and go to market</w:t>
      </w:r>
    </w:p>
    <w:p>
      <w:r>
        <w:rPr/>
        <w:t xml:space="preserve">Recurring subscriptions (Starter R499, Growth R1,999, Scale R4,999, Agency R7,999 a month; Enterprise from R19,999), annual at 10× monthly. Agencies buy the Agency tier at a </w:t>
      </w:r>
      <w:r>
        <w:rPr>
          <w:b/>
        </w:rPr>
        <w:t>partner wholesale price of R5,599 a month</w:t>
      </w:r>
      <w:r>
        <w:rPr/>
        <w:t xml:space="preserve"> (30% off list) and set their own retail price. South Africa first (national launch 1 December 2026), then Nigeria, Kenya and Ghana, then the other 19 rail-covered countries self-serve in US dollars. Three segments: solo entrepreneurs, SMEs and agencies; Enterprise is inbound only.</w:t>
      </w:r>
    </w:p>
    <w:p>
      <w:pPr>
        <w:pStyle w:val="Heading2"/>
      </w:pPr>
      <w:r>
        <w:rPr/>
        <w:t>Financial highlights</w:t>
      </w:r>
    </w:p>
    <w:p>
      <w:r>
        <w:rPr/>
        <w:t>Base case of the FluxMuse Financial Model v2. These are forward-looking projections, not results.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inancial highlights, FY1-FY5 (Base case)"/>
      </w:tblPr>
      <w:tblGrid>
        <w:gridCol w:w="2607"/>
        <w:gridCol w:w="1405"/>
        <w:gridCol w:w="1405"/>
        <w:gridCol w:w="1405"/>
        <w:gridCol w:w="1405"/>
        <w:gridCol w:w="1405"/>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R million unless stated</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FY1</w:t>
            </w:r>
          </w:p>
          <w:p>
            <w:pPr>
              <w:keepNext/>
              <w:spacing w:after="20" w:line="252" w:lineRule="auto"/>
              <w:jc w:val="right"/>
            </w:pPr>
            <w:r>
              <w:rPr>
                <w:rFonts w:ascii="Poppins" w:hAnsi="Poppins" w:cs="Poppins" w:eastAsia="Poppins"/>
                <w:b/>
                <w:color w:val="20242B"/>
                <w:sz w:val="19"/>
              </w:rPr>
              <w:t>Oct 2026–Sep 2027</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FY2</w:t>
            </w:r>
          </w:p>
          <w:p>
            <w:pPr>
              <w:keepNext/>
              <w:spacing w:after="20" w:line="252" w:lineRule="auto"/>
              <w:jc w:val="right"/>
            </w:pPr>
            <w:r>
              <w:rPr>
                <w:rFonts w:ascii="Poppins" w:hAnsi="Poppins" w:cs="Poppins" w:eastAsia="Poppins"/>
                <w:b/>
                <w:color w:val="20242B"/>
                <w:sz w:val="19"/>
              </w:rPr>
              <w:t>Oct 2027–Sep 2028</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FY3</w:t>
            </w:r>
          </w:p>
          <w:p>
            <w:pPr>
              <w:keepNext/>
              <w:spacing w:after="20" w:line="252" w:lineRule="auto"/>
              <w:jc w:val="right"/>
            </w:pPr>
            <w:r>
              <w:rPr>
                <w:rFonts w:ascii="Poppins" w:hAnsi="Poppins" w:cs="Poppins" w:eastAsia="Poppins"/>
                <w:b/>
                <w:color w:val="20242B"/>
                <w:sz w:val="19"/>
              </w:rPr>
              <w:t>Oct 2028–Sep 2029</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FY4</w:t>
            </w:r>
          </w:p>
          <w:p>
            <w:pPr>
              <w:keepNext/>
              <w:spacing w:after="20" w:line="252" w:lineRule="auto"/>
              <w:jc w:val="right"/>
            </w:pPr>
            <w:r>
              <w:rPr>
                <w:rFonts w:ascii="Poppins" w:hAnsi="Poppins" w:cs="Poppins" w:eastAsia="Poppins"/>
                <w:b/>
                <w:color w:val="20242B"/>
                <w:sz w:val="19"/>
              </w:rPr>
              <w:t>Oct 2029–Sep 2030</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FY5</w:t>
            </w:r>
          </w:p>
          <w:p>
            <w:pPr>
              <w:keepNext/>
              <w:spacing w:after="20" w:line="252" w:lineRule="auto"/>
              <w:jc w:val="right"/>
            </w:pPr>
            <w:r>
              <w:rPr>
                <w:rFonts w:ascii="Poppins" w:hAnsi="Poppins" w:cs="Poppins" w:eastAsia="Poppins"/>
                <w:b/>
                <w:color w:val="20242B"/>
                <w:sz w:val="19"/>
              </w:rPr>
              <w:t>Oct 2030–Sep 2031</w:t>
            </w:r>
          </w:p>
        </w:tc>
      </w:tr>
      <w:tr>
        <w:trPr>
          <w:cantSplit/>
        </w:trPr>
        <w:tc>
          <w:tcPr>
            <w:tcW w:type="dxa" w:w="2608"/>
            <w:vAlign w:val="center"/>
          </w:tcPr>
          <w:p>
            <w:pPr>
              <w:spacing w:after="20" w:line="252" w:lineRule="auto"/>
            </w:pPr>
            <w:r>
              <w:rPr>
                <w:b/>
                <w:sz w:val="19"/>
              </w:rPr>
              <w:t>Revenue (R m)</w:t>
            </w:r>
          </w:p>
        </w:tc>
        <w:tc>
          <w:tcPr>
            <w:tcW w:type="dxa" w:w="1406"/>
            <w:vAlign w:val="center"/>
          </w:tcPr>
          <w:p>
            <w:pPr>
              <w:spacing w:after="20" w:line="252" w:lineRule="auto"/>
              <w:jc w:val="right"/>
            </w:pPr>
            <w:r>
              <w:rPr>
                <w:sz w:val="19"/>
              </w:rPr>
              <w:t>R3.4m</w:t>
            </w:r>
          </w:p>
        </w:tc>
        <w:tc>
          <w:tcPr>
            <w:tcW w:type="dxa" w:w="1406"/>
            <w:vAlign w:val="center"/>
          </w:tcPr>
          <w:p>
            <w:pPr>
              <w:spacing w:after="20" w:line="252" w:lineRule="auto"/>
              <w:jc w:val="right"/>
            </w:pPr>
            <w:r>
              <w:rPr>
                <w:sz w:val="19"/>
              </w:rPr>
              <w:t>R24.9m</w:t>
            </w:r>
          </w:p>
        </w:tc>
        <w:tc>
          <w:tcPr>
            <w:tcW w:type="dxa" w:w="1406"/>
            <w:vAlign w:val="center"/>
          </w:tcPr>
          <w:p>
            <w:pPr>
              <w:spacing w:after="20" w:line="252" w:lineRule="auto"/>
              <w:jc w:val="right"/>
            </w:pPr>
            <w:r>
              <w:rPr>
                <w:sz w:val="19"/>
              </w:rPr>
              <w:t>R73.1m</w:t>
            </w:r>
          </w:p>
        </w:tc>
        <w:tc>
          <w:tcPr>
            <w:tcW w:type="dxa" w:w="1406"/>
            <w:vAlign w:val="center"/>
          </w:tcPr>
          <w:p>
            <w:pPr>
              <w:spacing w:after="20" w:line="252" w:lineRule="auto"/>
              <w:jc w:val="right"/>
            </w:pPr>
            <w:r>
              <w:rPr>
                <w:sz w:val="19"/>
              </w:rPr>
              <w:t>R144.9m</w:t>
            </w:r>
          </w:p>
        </w:tc>
        <w:tc>
          <w:tcPr>
            <w:tcW w:type="dxa" w:w="1406"/>
            <w:vAlign w:val="center"/>
          </w:tcPr>
          <w:p>
            <w:pPr>
              <w:spacing w:after="20" w:line="252" w:lineRule="auto"/>
              <w:jc w:val="right"/>
            </w:pPr>
            <w:r>
              <w:rPr>
                <w:sz w:val="19"/>
              </w:rPr>
              <w:t>R238.0m</w:t>
            </w:r>
          </w:p>
        </w:tc>
      </w:tr>
      <w:tr>
        <w:trPr>
          <w:cantSplit/>
        </w:trPr>
        <w:tc>
          <w:tcPr>
            <w:tcW w:type="dxa" w:w="2608"/>
            <w:shd w:val="clear" w:color="auto" w:fill="FAFAFB"/>
            <w:vAlign w:val="center"/>
          </w:tcPr>
          <w:p>
            <w:pPr>
              <w:spacing w:after="20" w:line="252" w:lineRule="auto"/>
            </w:pPr>
            <w:r>
              <w:rPr>
                <w:b/>
                <w:sz w:val="19"/>
              </w:rPr>
              <w:t>EBITDA (R m)</w:t>
            </w:r>
          </w:p>
        </w:tc>
        <w:tc>
          <w:tcPr>
            <w:tcW w:type="dxa" w:w="1406"/>
            <w:shd w:val="clear" w:color="auto" w:fill="FAFAFB"/>
            <w:vAlign w:val="center"/>
          </w:tcPr>
          <w:p>
            <w:pPr>
              <w:spacing w:after="20" w:line="252" w:lineRule="auto"/>
              <w:jc w:val="right"/>
            </w:pPr>
            <w:r>
              <w:rPr>
                <w:sz w:val="19"/>
              </w:rPr>
              <w:t>R-7.1m</w:t>
            </w:r>
          </w:p>
        </w:tc>
        <w:tc>
          <w:tcPr>
            <w:tcW w:type="dxa" w:w="1406"/>
            <w:shd w:val="clear" w:color="auto" w:fill="FAFAFB"/>
            <w:vAlign w:val="center"/>
          </w:tcPr>
          <w:p>
            <w:pPr>
              <w:spacing w:after="20" w:line="252" w:lineRule="auto"/>
              <w:jc w:val="right"/>
            </w:pPr>
            <w:r>
              <w:rPr>
                <w:sz w:val="19"/>
              </w:rPr>
              <w:t>R-13.7m</w:t>
            </w:r>
          </w:p>
        </w:tc>
        <w:tc>
          <w:tcPr>
            <w:tcW w:type="dxa" w:w="1406"/>
            <w:shd w:val="clear" w:color="auto" w:fill="FAFAFB"/>
            <w:vAlign w:val="center"/>
          </w:tcPr>
          <w:p>
            <w:pPr>
              <w:spacing w:after="20" w:line="252" w:lineRule="auto"/>
              <w:jc w:val="right"/>
            </w:pPr>
            <w:r>
              <w:rPr>
                <w:sz w:val="19"/>
              </w:rPr>
              <w:t>R0.5m</w:t>
            </w:r>
          </w:p>
        </w:tc>
        <w:tc>
          <w:tcPr>
            <w:tcW w:type="dxa" w:w="1406"/>
            <w:shd w:val="clear" w:color="auto" w:fill="FAFAFB"/>
            <w:vAlign w:val="center"/>
          </w:tcPr>
          <w:p>
            <w:pPr>
              <w:spacing w:after="20" w:line="252" w:lineRule="auto"/>
              <w:jc w:val="right"/>
            </w:pPr>
            <w:r>
              <w:rPr>
                <w:sz w:val="19"/>
              </w:rPr>
              <w:t>R31.5m</w:t>
            </w:r>
          </w:p>
        </w:tc>
        <w:tc>
          <w:tcPr>
            <w:tcW w:type="dxa" w:w="1406"/>
            <w:shd w:val="clear" w:color="auto" w:fill="FAFAFB"/>
            <w:vAlign w:val="center"/>
          </w:tcPr>
          <w:p>
            <w:pPr>
              <w:spacing w:after="20" w:line="252" w:lineRule="auto"/>
              <w:jc w:val="right"/>
            </w:pPr>
            <w:r>
              <w:rPr>
                <w:sz w:val="19"/>
              </w:rPr>
              <w:t>R66.3m</w:t>
            </w:r>
          </w:p>
        </w:tc>
      </w:tr>
      <w:tr>
        <w:trPr>
          <w:cantSplit/>
        </w:trPr>
        <w:tc>
          <w:tcPr>
            <w:tcW w:type="dxa" w:w="2608"/>
            <w:vAlign w:val="center"/>
          </w:tcPr>
          <w:p>
            <w:pPr>
              <w:spacing w:after="20" w:line="252" w:lineRule="auto"/>
            </w:pPr>
            <w:r>
              <w:rPr>
                <w:b/>
                <w:sz w:val="19"/>
              </w:rPr>
              <w:t>EBITDA margin</w:t>
            </w:r>
          </w:p>
        </w:tc>
        <w:tc>
          <w:tcPr>
            <w:tcW w:type="dxa" w:w="1406"/>
            <w:vAlign w:val="center"/>
          </w:tcPr>
          <w:p>
            <w:pPr>
              <w:spacing w:after="20" w:line="252" w:lineRule="auto"/>
              <w:jc w:val="right"/>
            </w:pPr>
            <w:r>
              <w:rPr>
                <w:sz w:val="19"/>
              </w:rPr>
              <w:t>n/m</w:t>
            </w:r>
          </w:p>
        </w:tc>
        <w:tc>
          <w:tcPr>
            <w:tcW w:type="dxa" w:w="1406"/>
            <w:vAlign w:val="center"/>
          </w:tcPr>
          <w:p>
            <w:pPr>
              <w:spacing w:after="20" w:line="252" w:lineRule="auto"/>
              <w:jc w:val="right"/>
            </w:pPr>
            <w:r>
              <w:rPr>
                <w:sz w:val="19"/>
              </w:rPr>
              <w:t>-55%</w:t>
            </w:r>
          </w:p>
        </w:tc>
        <w:tc>
          <w:tcPr>
            <w:tcW w:type="dxa" w:w="1406"/>
            <w:vAlign w:val="center"/>
          </w:tcPr>
          <w:p>
            <w:pPr>
              <w:spacing w:after="20" w:line="252" w:lineRule="auto"/>
              <w:jc w:val="right"/>
            </w:pPr>
            <w:r>
              <w:rPr>
                <w:sz w:val="19"/>
              </w:rPr>
              <w:t>1%</w:t>
            </w:r>
          </w:p>
        </w:tc>
        <w:tc>
          <w:tcPr>
            <w:tcW w:type="dxa" w:w="1406"/>
            <w:vAlign w:val="center"/>
          </w:tcPr>
          <w:p>
            <w:pPr>
              <w:spacing w:after="20" w:line="252" w:lineRule="auto"/>
              <w:jc w:val="right"/>
            </w:pPr>
            <w:r>
              <w:rPr>
                <w:sz w:val="19"/>
              </w:rPr>
              <w:t>22%</w:t>
            </w:r>
          </w:p>
        </w:tc>
        <w:tc>
          <w:tcPr>
            <w:tcW w:type="dxa" w:w="1406"/>
            <w:vAlign w:val="center"/>
          </w:tcPr>
          <w:p>
            <w:pPr>
              <w:spacing w:after="20" w:line="252" w:lineRule="auto"/>
              <w:jc w:val="right"/>
            </w:pPr>
            <w:r>
              <w:rPr>
                <w:sz w:val="19"/>
              </w:rPr>
              <w:t>28%</w:t>
            </w:r>
          </w:p>
        </w:tc>
      </w:tr>
      <w:tr>
        <w:trPr>
          <w:cantSplit/>
        </w:trPr>
        <w:tc>
          <w:tcPr>
            <w:tcW w:type="dxa" w:w="2608"/>
            <w:shd w:val="clear" w:color="auto" w:fill="FAFAFB"/>
            <w:vAlign w:val="center"/>
          </w:tcPr>
          <w:p>
            <w:pPr>
              <w:spacing w:after="20" w:line="252" w:lineRule="auto"/>
            </w:pPr>
            <w:r>
              <w:rPr>
                <w:b/>
                <w:sz w:val="19"/>
              </w:rPr>
              <w:t>Paying workspaces (Sept)</w:t>
            </w:r>
          </w:p>
        </w:tc>
        <w:tc>
          <w:tcPr>
            <w:tcW w:type="dxa" w:w="1406"/>
            <w:shd w:val="clear" w:color="auto" w:fill="FAFAFB"/>
            <w:vAlign w:val="center"/>
          </w:tcPr>
          <w:p>
            <w:pPr>
              <w:spacing w:after="20" w:line="252" w:lineRule="auto"/>
              <w:jc w:val="right"/>
            </w:pPr>
            <w:r>
              <w:rPr>
                <w:sz w:val="19"/>
              </w:rPr>
              <w:t>421</w:t>
            </w:r>
          </w:p>
        </w:tc>
        <w:tc>
          <w:tcPr>
            <w:tcW w:type="dxa" w:w="1406"/>
            <w:shd w:val="clear" w:color="auto" w:fill="FAFAFB"/>
            <w:vAlign w:val="center"/>
          </w:tcPr>
          <w:p>
            <w:pPr>
              <w:spacing w:after="20" w:line="252" w:lineRule="auto"/>
              <w:jc w:val="right"/>
            </w:pPr>
            <w:r>
              <w:rPr>
                <w:sz w:val="19"/>
              </w:rPr>
              <w:t>1,759</w:t>
            </w:r>
          </w:p>
        </w:tc>
        <w:tc>
          <w:tcPr>
            <w:tcW w:type="dxa" w:w="1406"/>
            <w:shd w:val="clear" w:color="auto" w:fill="FAFAFB"/>
            <w:vAlign w:val="center"/>
          </w:tcPr>
          <w:p>
            <w:pPr>
              <w:spacing w:after="20" w:line="252" w:lineRule="auto"/>
              <w:jc w:val="right"/>
            </w:pPr>
            <w:r>
              <w:rPr>
                <w:sz w:val="19"/>
              </w:rPr>
              <w:t>3,820</w:t>
            </w:r>
          </w:p>
        </w:tc>
        <w:tc>
          <w:tcPr>
            <w:tcW w:type="dxa" w:w="1406"/>
            <w:shd w:val="clear" w:color="auto" w:fill="FAFAFB"/>
            <w:vAlign w:val="center"/>
          </w:tcPr>
          <w:p>
            <w:pPr>
              <w:spacing w:after="20" w:line="252" w:lineRule="auto"/>
              <w:jc w:val="right"/>
            </w:pPr>
            <w:r>
              <w:rPr>
                <w:sz w:val="19"/>
              </w:rPr>
              <w:t>6,261</w:t>
            </w:r>
          </w:p>
        </w:tc>
        <w:tc>
          <w:tcPr>
            <w:tcW w:type="dxa" w:w="1406"/>
            <w:shd w:val="clear" w:color="auto" w:fill="FAFAFB"/>
            <w:vAlign w:val="center"/>
          </w:tcPr>
          <w:p>
            <w:pPr>
              <w:spacing w:after="20" w:line="252" w:lineRule="auto"/>
              <w:jc w:val="right"/>
            </w:pPr>
            <w:r>
              <w:rPr>
                <w:sz w:val="19"/>
              </w:rPr>
              <w:t>8,816</w:t>
            </w:r>
          </w:p>
        </w:tc>
      </w:tr>
      <w:tr>
        <w:trPr>
          <w:cantSplit/>
        </w:trPr>
        <w:tc>
          <w:tcPr>
            <w:tcW w:type="dxa" w:w="2608"/>
            <w:vAlign w:val="center"/>
          </w:tcPr>
          <w:p>
            <w:pPr>
              <w:spacing w:after="20" w:line="252" w:lineRule="auto"/>
            </w:pPr>
            <w:r>
              <w:rPr>
                <w:b/>
                <w:sz w:val="19"/>
              </w:rPr>
              <w:t>Subscription ARR (R m)</w:t>
            </w:r>
          </w:p>
        </w:tc>
        <w:tc>
          <w:tcPr>
            <w:tcW w:type="dxa" w:w="1406"/>
            <w:vAlign w:val="center"/>
          </w:tcPr>
          <w:p>
            <w:pPr>
              <w:spacing w:after="20" w:line="252" w:lineRule="auto"/>
              <w:jc w:val="right"/>
            </w:pPr>
            <w:r>
              <w:rPr>
                <w:sz w:val="19"/>
              </w:rPr>
              <w:t>R8.1m</w:t>
            </w:r>
          </w:p>
        </w:tc>
        <w:tc>
          <w:tcPr>
            <w:tcW w:type="dxa" w:w="1406"/>
            <w:vAlign w:val="center"/>
          </w:tcPr>
          <w:p>
            <w:pPr>
              <w:spacing w:after="20" w:line="252" w:lineRule="auto"/>
              <w:jc w:val="right"/>
            </w:pPr>
            <w:r>
              <w:rPr>
                <w:sz w:val="19"/>
              </w:rPr>
              <w:t>R36.9m</w:t>
            </w:r>
          </w:p>
        </w:tc>
        <w:tc>
          <w:tcPr>
            <w:tcW w:type="dxa" w:w="1406"/>
            <w:vAlign w:val="center"/>
          </w:tcPr>
          <w:p>
            <w:pPr>
              <w:spacing w:after="20" w:line="252" w:lineRule="auto"/>
              <w:jc w:val="right"/>
            </w:pPr>
            <w:r>
              <w:rPr>
                <w:sz w:val="19"/>
              </w:rPr>
              <w:t>R89.1m</w:t>
            </w:r>
          </w:p>
        </w:tc>
        <w:tc>
          <w:tcPr>
            <w:tcW w:type="dxa" w:w="1406"/>
            <w:vAlign w:val="center"/>
          </w:tcPr>
          <w:p>
            <w:pPr>
              <w:spacing w:after="20" w:line="252" w:lineRule="auto"/>
              <w:jc w:val="right"/>
            </w:pPr>
            <w:r>
              <w:rPr>
                <w:sz w:val="19"/>
              </w:rPr>
              <w:t>R162.6m</w:t>
            </w:r>
          </w:p>
        </w:tc>
        <w:tc>
          <w:tcPr>
            <w:tcW w:type="dxa" w:w="1406"/>
            <w:vAlign w:val="center"/>
          </w:tcPr>
          <w:p>
            <w:pPr>
              <w:spacing w:after="20" w:line="252" w:lineRule="auto"/>
              <w:jc w:val="right"/>
            </w:pPr>
            <w:r>
              <w:rPr>
                <w:sz w:val="19"/>
              </w:rPr>
              <w:t>R249.3m</w:t>
            </w:r>
          </w:p>
        </w:tc>
      </w:tr>
      <w:tr>
        <w:trPr>
          <w:cantSplit/>
        </w:trPr>
        <w:tc>
          <w:tcPr>
            <w:tcW w:type="dxa" w:w="2608"/>
            <w:shd w:val="clear" w:color="auto" w:fill="FAFAFB"/>
            <w:vAlign w:val="center"/>
          </w:tcPr>
          <w:p>
            <w:pPr>
              <w:spacing w:after="20" w:line="252" w:lineRule="auto"/>
            </w:pPr>
            <w:r>
              <w:rPr>
                <w:b/>
                <w:sz w:val="19"/>
              </w:rPr>
              <w:t>Closing cash (R m)</w:t>
            </w:r>
          </w:p>
        </w:tc>
        <w:tc>
          <w:tcPr>
            <w:tcW w:type="dxa" w:w="1406"/>
            <w:shd w:val="clear" w:color="auto" w:fill="FAFAFB"/>
            <w:vAlign w:val="center"/>
          </w:tcPr>
          <w:p>
            <w:pPr>
              <w:spacing w:after="20" w:line="252" w:lineRule="auto"/>
              <w:jc w:val="right"/>
            </w:pPr>
            <w:r>
              <w:rPr>
                <w:sz w:val="19"/>
              </w:rPr>
              <w:t>R19.1m</w:t>
            </w:r>
          </w:p>
        </w:tc>
        <w:tc>
          <w:tcPr>
            <w:tcW w:type="dxa" w:w="1406"/>
            <w:shd w:val="clear" w:color="auto" w:fill="FAFAFB"/>
            <w:vAlign w:val="center"/>
          </w:tcPr>
          <w:p>
            <w:pPr>
              <w:spacing w:after="20" w:line="252" w:lineRule="auto"/>
              <w:jc w:val="right"/>
            </w:pPr>
            <w:r>
              <w:rPr>
                <w:sz w:val="19"/>
              </w:rPr>
              <w:t>R8.0m</w:t>
            </w:r>
          </w:p>
        </w:tc>
        <w:tc>
          <w:tcPr>
            <w:tcW w:type="dxa" w:w="1406"/>
            <w:shd w:val="clear" w:color="auto" w:fill="FAFAFB"/>
            <w:vAlign w:val="center"/>
          </w:tcPr>
          <w:p>
            <w:pPr>
              <w:spacing w:after="20" w:line="252" w:lineRule="auto"/>
              <w:jc w:val="right"/>
            </w:pPr>
            <w:r>
              <w:rPr>
                <w:sz w:val="19"/>
              </w:rPr>
              <w:t>R13.2m</w:t>
            </w:r>
          </w:p>
        </w:tc>
        <w:tc>
          <w:tcPr>
            <w:tcW w:type="dxa" w:w="1406"/>
            <w:shd w:val="clear" w:color="auto" w:fill="FAFAFB"/>
            <w:vAlign w:val="center"/>
          </w:tcPr>
          <w:p>
            <w:pPr>
              <w:spacing w:after="20" w:line="252" w:lineRule="auto"/>
              <w:jc w:val="right"/>
            </w:pPr>
            <w:r>
              <w:rPr>
                <w:sz w:val="19"/>
              </w:rPr>
              <w:t>R48.4m</w:t>
            </w:r>
          </w:p>
        </w:tc>
        <w:tc>
          <w:tcPr>
            <w:tcW w:type="dxa" w:w="1406"/>
            <w:shd w:val="clear" w:color="auto" w:fill="FAFAFB"/>
            <w:vAlign w:val="center"/>
          </w:tcPr>
          <w:p>
            <w:pPr>
              <w:spacing w:after="20" w:line="252" w:lineRule="auto"/>
              <w:jc w:val="right"/>
            </w:pPr>
            <w:r>
              <w:rPr>
                <w:sz w:val="19"/>
              </w:rPr>
              <w:t>R104.4m</w:t>
            </w:r>
          </w:p>
        </w:tc>
      </w:tr>
      <w:tr>
        <w:trPr>
          <w:cantSplit/>
        </w:trPr>
        <w:tc>
          <w:tcPr>
            <w:tcW w:type="dxa" w:w="2608"/>
            <w:vAlign w:val="center"/>
          </w:tcPr>
          <w:p>
            <w:pPr>
              <w:spacing w:after="20" w:line="252" w:lineRule="auto"/>
            </w:pPr>
            <w:r>
              <w:rPr>
                <w:b/>
                <w:sz w:val="19"/>
              </w:rPr>
              <w:t>Headcount at year end</w:t>
            </w:r>
          </w:p>
        </w:tc>
        <w:tc>
          <w:tcPr>
            <w:tcW w:type="dxa" w:w="1406"/>
            <w:vAlign w:val="center"/>
          </w:tcPr>
          <w:p>
            <w:pPr>
              <w:spacing w:after="20" w:line="252" w:lineRule="auto"/>
              <w:jc w:val="right"/>
            </w:pPr>
            <w:r>
              <w:rPr>
                <w:sz w:val="19"/>
              </w:rPr>
              <w:t>18</w:t>
            </w:r>
          </w:p>
        </w:tc>
        <w:tc>
          <w:tcPr>
            <w:tcW w:type="dxa" w:w="1406"/>
            <w:vAlign w:val="center"/>
          </w:tcPr>
          <w:p>
            <w:pPr>
              <w:spacing w:after="20" w:line="252" w:lineRule="auto"/>
              <w:jc w:val="right"/>
            </w:pPr>
            <w:r>
              <w:rPr>
                <w:sz w:val="19"/>
              </w:rPr>
              <w:t>41</w:t>
            </w:r>
          </w:p>
        </w:tc>
        <w:tc>
          <w:tcPr>
            <w:tcW w:type="dxa" w:w="1406"/>
            <w:vAlign w:val="center"/>
          </w:tcPr>
          <w:p>
            <w:pPr>
              <w:spacing w:after="20" w:line="252" w:lineRule="auto"/>
              <w:jc w:val="right"/>
            </w:pPr>
            <w:r>
              <w:rPr>
                <w:sz w:val="19"/>
              </w:rPr>
              <w:t>68</w:t>
            </w:r>
          </w:p>
        </w:tc>
        <w:tc>
          <w:tcPr>
            <w:tcW w:type="dxa" w:w="1406"/>
            <w:vAlign w:val="center"/>
          </w:tcPr>
          <w:p>
            <w:pPr>
              <w:spacing w:after="20" w:line="252" w:lineRule="auto"/>
              <w:jc w:val="right"/>
            </w:pPr>
            <w:r>
              <w:rPr>
                <w:sz w:val="19"/>
              </w:rPr>
              <w:t>92</w:t>
            </w:r>
          </w:p>
        </w:tc>
        <w:tc>
          <w:tcPr>
            <w:tcW w:type="dxa" w:w="1406"/>
            <w:vAlign w:val="center"/>
          </w:tcPr>
          <w:p>
            <w:pPr>
              <w:spacing w:after="20" w:line="252" w:lineRule="auto"/>
              <w:jc w:val="right"/>
            </w:pPr>
            <w:r>
              <w:rPr>
                <w:sz w:val="19"/>
              </w:rPr>
              <w:t>135</w:t>
            </w:r>
          </w:p>
        </w:tc>
      </w:tr>
    </w:tbl>
    <w:p>
      <w:pPr>
        <w:spacing w:after="0" w:line="120" w:lineRule="exact"/>
      </w:pPr>
    </w:p>
    <w:p>
      <w:pPr>
        <w:spacing w:after="200"/>
      </w:pPr>
      <w:r>
        <w:rPr>
          <w:color w:val="5B6570"/>
          <w:sz w:val="17"/>
        </w:rPr>
        <w:t>Source: FluxMuse Financial Model v2 (Base case), 11 September 2026.</w:t>
      </w:r>
    </w:p>
    <w:p>
      <w:pPr>
        <w:pStyle w:val="ListBullet"/>
      </w:pPr>
      <w:r>
        <w:rPr>
          <w:b/>
        </w:rPr>
        <w:t>EBITDA break-even Mar 2029</w:t>
      </w:r>
      <w:r>
        <w:rPr/>
        <w:t>, positive every month from Jun 2029; operating cash flow positive from Oct 2028.</w:t>
      </w:r>
    </w:p>
    <w:p>
      <w:pPr>
        <w:pStyle w:val="ListBullet"/>
      </w:pPr>
      <w:r>
        <w:rPr>
          <w:b/>
        </w:rPr>
        <w:t>The R25M carries the business to profitability on its own.</w:t>
      </w:r>
      <w:r>
        <w:rPr/>
        <w:t xml:space="preserve"> Minimum cash after the seed is R7.96m in Sep 2028, R4.96m above the R3.0m minimum-cash buffer, with no Series A in the plan.</w:t>
      </w:r>
    </w:p>
    <w:p>
      <w:pPr>
        <w:pStyle w:val="ListBullet"/>
      </w:pPr>
      <w:r>
        <w:rPr>
          <w:b/>
        </w:rPr>
        <w:t>All three scenarios stay profitable on the R25M alone</w:t>
      </w:r>
      <w:r>
        <w:rPr/>
        <w:t xml:space="preserve"> (section 12).</w:t>
      </w:r>
    </w:p>
    <w:p>
      <w:pPr>
        <w:pStyle w:val="Heading2"/>
      </w:pPr>
      <w:r>
        <w:rPr/>
        <w:t>The ask: R25 million seed</w:t>
      </w:r>
    </w:p>
    <w:p>
      <w:r>
        <w:rPr/>
        <w:t xml:space="preserve">Fluxmuse Pty Ltd is raising </w:t>
      </w:r>
      <w:r>
        <w:rPr>
          <w:b/>
        </w:rPr>
        <w:t>R25 million (about US$1.35 million)</w:t>
      </w:r>
      <w:r>
        <w:rPr/>
        <w:t xml:space="preserve">, modelled to close in February 2027. Instrument and valuation: </w:t>
      </w:r>
      <w:r>
        <w:rPr>
          <w:b/>
          <w:color w:val="20242B"/>
          <w:shd w:val="clear" w:color="auto" w:fill="FFF1A8"/>
        </w:rPr>
        <w:t>[[INSTRUMENT: SAFE OR PRICED EQUITY]]</w:t>
      </w:r>
      <w:r>
        <w:rPr/>
        <w:t xml:space="preserve">, </w:t>
      </w:r>
      <w:r>
        <w:rPr>
          <w:b/>
          <w:color w:val="20242B"/>
          <w:shd w:val="clear" w:color="auto" w:fill="FFF1A8"/>
        </w:rPr>
        <w:t>[[PRE-MONEY VALUATION: TBC]]</w:t>
      </w:r>
      <w:r>
        <w:rPr/>
        <w: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Use of the R25M seed"/>
      </w:tblPr>
      <w:tblGrid>
        <w:gridCol w:w="2494"/>
        <w:gridCol w:w="850"/>
        <w:gridCol w:w="1077"/>
        <w:gridCol w:w="5215"/>
      </w:tblGrid>
      <w:tr>
        <w:trPr>
          <w:cantSplit/>
          <w:tblHeader/>
        </w:trPr>
        <w:tc>
          <w:tcPr>
            <w:tcW w:type="dxa" w:w="2494"/>
            <w:shd w:val="clear" w:color="auto" w:fill="FF6A00"/>
            <w:vAlign w:val="center"/>
          </w:tcPr>
          <w:p>
            <w:pPr>
              <w:keepNext/>
              <w:spacing w:after="20" w:line="252" w:lineRule="auto"/>
            </w:pPr>
            <w:r>
              <w:rPr>
                <w:rFonts w:ascii="Poppins" w:hAnsi="Poppins" w:cs="Poppins" w:eastAsia="Poppins"/>
                <w:b/>
                <w:color w:val="20242B"/>
                <w:sz w:val="18"/>
              </w:rPr>
              <w:t>Use of funds</w:t>
            </w:r>
          </w:p>
        </w:tc>
        <w:tc>
          <w:tcPr>
            <w:tcW w:type="dxa" w:w="850"/>
            <w:shd w:val="clear" w:color="auto" w:fill="FF6A00"/>
            <w:vAlign w:val="center"/>
          </w:tcPr>
          <w:p>
            <w:pPr>
              <w:keepNext/>
              <w:spacing w:after="20" w:line="252" w:lineRule="auto"/>
              <w:jc w:val="right"/>
            </w:pPr>
            <w:r>
              <w:rPr>
                <w:rFonts w:ascii="Poppins" w:hAnsi="Poppins" w:cs="Poppins" w:eastAsia="Poppins"/>
                <w:b/>
                <w:color w:val="20242B"/>
                <w:sz w:val="18"/>
              </w:rPr>
              <w:t>Share</w:t>
            </w:r>
          </w:p>
        </w:tc>
        <w:tc>
          <w:tcPr>
            <w:tcW w:type="dxa" w:w="1077"/>
            <w:shd w:val="clear" w:color="auto" w:fill="FF6A00"/>
            <w:vAlign w:val="center"/>
          </w:tcPr>
          <w:p>
            <w:pPr>
              <w:keepNext/>
              <w:spacing w:after="20" w:line="252" w:lineRule="auto"/>
              <w:jc w:val="right"/>
            </w:pPr>
            <w:r>
              <w:rPr>
                <w:rFonts w:ascii="Poppins" w:hAnsi="Poppins" w:cs="Poppins" w:eastAsia="Poppins"/>
                <w:b/>
                <w:color w:val="20242B"/>
                <w:sz w:val="18"/>
              </w:rPr>
              <w:t>R million</w:t>
            </w:r>
          </w:p>
        </w:tc>
        <w:tc>
          <w:tcPr>
            <w:tcW w:type="dxa" w:w="5216"/>
            <w:shd w:val="clear" w:color="auto" w:fill="FF6A00"/>
            <w:vAlign w:val="center"/>
          </w:tcPr>
          <w:p>
            <w:pPr>
              <w:keepNext/>
              <w:spacing w:after="20" w:line="252" w:lineRule="auto"/>
            </w:pPr>
            <w:r>
              <w:rPr>
                <w:rFonts w:ascii="Poppins" w:hAnsi="Poppins" w:cs="Poppins" w:eastAsia="Poppins"/>
                <w:b/>
                <w:color w:val="20242B"/>
                <w:sz w:val="18"/>
              </w:rPr>
              <w:t>What it buys</w:t>
            </w:r>
          </w:p>
        </w:tc>
      </w:tr>
      <w:tr>
        <w:trPr>
          <w:cantSplit/>
        </w:trPr>
        <w:tc>
          <w:tcPr>
            <w:tcW w:type="dxa" w:w="2494"/>
            <w:vAlign w:val="center"/>
          </w:tcPr>
          <w:p>
            <w:pPr>
              <w:spacing w:after="20" w:line="252" w:lineRule="auto"/>
            </w:pPr>
            <w:r>
              <w:rPr>
                <w:b/>
                <w:sz w:val="18"/>
              </w:rPr>
              <w:t>Product &amp; engineering</w:t>
            </w:r>
          </w:p>
        </w:tc>
        <w:tc>
          <w:tcPr>
            <w:tcW w:type="dxa" w:w="850"/>
            <w:vAlign w:val="center"/>
          </w:tcPr>
          <w:p>
            <w:pPr>
              <w:spacing w:after="20" w:line="252" w:lineRule="auto"/>
              <w:jc w:val="right"/>
            </w:pPr>
            <w:r>
              <w:rPr>
                <w:sz w:val="18"/>
              </w:rPr>
              <w:t>40%</w:t>
            </w:r>
          </w:p>
        </w:tc>
        <w:tc>
          <w:tcPr>
            <w:tcW w:type="dxa" w:w="1077"/>
            <w:vAlign w:val="center"/>
          </w:tcPr>
          <w:p>
            <w:pPr>
              <w:spacing w:after="20" w:line="252" w:lineRule="auto"/>
              <w:jc w:val="right"/>
            </w:pPr>
            <w:r>
              <w:rPr>
                <w:sz w:val="18"/>
              </w:rPr>
              <w:t>R10.00m</w:t>
            </w:r>
          </w:p>
        </w:tc>
        <w:tc>
          <w:tcPr>
            <w:tcW w:type="dxa" w:w="5216"/>
            <w:vAlign w:val="center"/>
          </w:tcPr>
          <w:p>
            <w:pPr>
              <w:spacing w:after="20" w:line="252" w:lineRule="auto"/>
            </w:pPr>
            <w:r>
              <w:rPr>
                <w:sz w:val="18"/>
              </w:rPr>
              <w:t>Senior full-stack x2, AI/ML, designer, full-stack x2, DevOps/QA, integrations x2, PM, security.</w:t>
            </w:r>
          </w:p>
        </w:tc>
      </w:tr>
      <w:tr>
        <w:trPr>
          <w:cantSplit/>
        </w:trPr>
        <w:tc>
          <w:tcPr>
            <w:tcW w:type="dxa" w:w="2494"/>
            <w:shd w:val="clear" w:color="auto" w:fill="FAFAFB"/>
            <w:vAlign w:val="center"/>
          </w:tcPr>
          <w:p>
            <w:pPr>
              <w:spacing w:after="20" w:line="252" w:lineRule="auto"/>
            </w:pPr>
            <w:r>
              <w:rPr>
                <w:b/>
                <w:sz w:val="18"/>
              </w:rPr>
              <w:t>Sales &amp; marketing / partner programme</w:t>
            </w:r>
          </w:p>
        </w:tc>
        <w:tc>
          <w:tcPr>
            <w:tcW w:type="dxa" w:w="850"/>
            <w:shd w:val="clear" w:color="auto" w:fill="FAFAFB"/>
            <w:vAlign w:val="center"/>
          </w:tcPr>
          <w:p>
            <w:pPr>
              <w:spacing w:after="20" w:line="252" w:lineRule="auto"/>
              <w:jc w:val="right"/>
            </w:pPr>
            <w:r>
              <w:rPr>
                <w:sz w:val="18"/>
              </w:rPr>
              <w:t>30%</w:t>
            </w:r>
          </w:p>
        </w:tc>
        <w:tc>
          <w:tcPr>
            <w:tcW w:type="dxa" w:w="1077"/>
            <w:shd w:val="clear" w:color="auto" w:fill="FAFAFB"/>
            <w:vAlign w:val="center"/>
          </w:tcPr>
          <w:p>
            <w:pPr>
              <w:spacing w:after="20" w:line="252" w:lineRule="auto"/>
              <w:jc w:val="right"/>
            </w:pPr>
            <w:r>
              <w:rPr>
                <w:sz w:val="18"/>
              </w:rPr>
              <w:t>R7.50m</w:t>
            </w:r>
          </w:p>
        </w:tc>
        <w:tc>
          <w:tcPr>
            <w:tcW w:type="dxa" w:w="5216"/>
            <w:shd w:val="clear" w:color="auto" w:fill="FAFAFB"/>
            <w:vAlign w:val="center"/>
          </w:tcPr>
          <w:p>
            <w:pPr>
              <w:spacing w:after="20" w:line="252" w:lineRule="auto"/>
            </w:pPr>
            <w:r>
              <w:rPr>
                <w:sz w:val="18"/>
              </w:rPr>
              <w:t>Head of Growth, performance &amp; multilingual content marketers, partnerships managers, SME onboarding.</w:t>
            </w:r>
          </w:p>
        </w:tc>
      </w:tr>
      <w:tr>
        <w:trPr>
          <w:cantSplit/>
        </w:trPr>
        <w:tc>
          <w:tcPr>
            <w:tcW w:type="dxa" w:w="2494"/>
            <w:vAlign w:val="center"/>
          </w:tcPr>
          <w:p>
            <w:pPr>
              <w:spacing w:after="20" w:line="252" w:lineRule="auto"/>
            </w:pPr>
            <w:r>
              <w:rPr>
                <w:b/>
                <w:sz w:val="18"/>
              </w:rPr>
              <w:t>Market expansion (NG, KE, GH) &amp; payments compliance</w:t>
            </w:r>
          </w:p>
        </w:tc>
        <w:tc>
          <w:tcPr>
            <w:tcW w:type="dxa" w:w="850"/>
            <w:vAlign w:val="center"/>
          </w:tcPr>
          <w:p>
            <w:pPr>
              <w:spacing w:after="20" w:line="252" w:lineRule="auto"/>
              <w:jc w:val="right"/>
            </w:pPr>
            <w:r>
              <w:rPr>
                <w:sz w:val="18"/>
              </w:rPr>
              <w:t>15%</w:t>
            </w:r>
          </w:p>
        </w:tc>
        <w:tc>
          <w:tcPr>
            <w:tcW w:type="dxa" w:w="1077"/>
            <w:vAlign w:val="center"/>
          </w:tcPr>
          <w:p>
            <w:pPr>
              <w:spacing w:after="20" w:line="252" w:lineRule="auto"/>
              <w:jc w:val="right"/>
            </w:pPr>
            <w:r>
              <w:rPr>
                <w:sz w:val="18"/>
              </w:rPr>
              <w:t>R3.75m</w:t>
            </w:r>
          </w:p>
        </w:tc>
        <w:tc>
          <w:tcPr>
            <w:tcW w:type="dxa" w:w="5216"/>
            <w:vAlign w:val="center"/>
          </w:tcPr>
          <w:p>
            <w:pPr>
              <w:spacing w:after="20" w:line="252" w:lineRule="auto"/>
            </w:pPr>
            <w:r>
              <w:rPr>
                <w:sz w:val="18"/>
              </w:rPr>
              <w:t>Country leads and local sales/CS in Nigeria, Kenya and Ghana.</w:t>
            </w:r>
          </w:p>
        </w:tc>
      </w:tr>
      <w:tr>
        <w:trPr>
          <w:cantSplit/>
        </w:trPr>
        <w:tc>
          <w:tcPr>
            <w:tcW w:type="dxa" w:w="2494"/>
            <w:shd w:val="clear" w:color="auto" w:fill="FAFAFB"/>
            <w:vAlign w:val="center"/>
          </w:tcPr>
          <w:p>
            <w:pPr>
              <w:spacing w:after="20" w:line="252" w:lineRule="auto"/>
            </w:pPr>
            <w:r>
              <w:rPr>
                <w:b/>
                <w:sz w:val="18"/>
              </w:rPr>
              <w:t>Operations &amp; working capital</w:t>
            </w:r>
          </w:p>
        </w:tc>
        <w:tc>
          <w:tcPr>
            <w:tcW w:type="dxa" w:w="850"/>
            <w:shd w:val="clear" w:color="auto" w:fill="FAFAFB"/>
            <w:vAlign w:val="center"/>
          </w:tcPr>
          <w:p>
            <w:pPr>
              <w:spacing w:after="20" w:line="252" w:lineRule="auto"/>
              <w:jc w:val="right"/>
            </w:pPr>
            <w:r>
              <w:rPr>
                <w:sz w:val="18"/>
              </w:rPr>
              <w:t>15%</w:t>
            </w:r>
          </w:p>
        </w:tc>
        <w:tc>
          <w:tcPr>
            <w:tcW w:type="dxa" w:w="1077"/>
            <w:shd w:val="clear" w:color="auto" w:fill="FAFAFB"/>
            <w:vAlign w:val="center"/>
          </w:tcPr>
          <w:p>
            <w:pPr>
              <w:spacing w:after="20" w:line="252" w:lineRule="auto"/>
              <w:jc w:val="right"/>
            </w:pPr>
            <w:r>
              <w:rPr>
                <w:sz w:val="18"/>
              </w:rPr>
              <w:t>R3.75m</w:t>
            </w:r>
          </w:p>
        </w:tc>
        <w:tc>
          <w:tcPr>
            <w:tcW w:type="dxa" w:w="5216"/>
            <w:shd w:val="clear" w:color="auto" w:fill="FAFAFB"/>
            <w:vAlign w:val="center"/>
          </w:tcPr>
          <w:p>
            <w:pPr>
              <w:spacing w:after="20" w:line="252" w:lineRule="auto"/>
            </w:pPr>
            <w:r>
              <w:rPr>
                <w:sz w:val="18"/>
              </w:rPr>
              <w:t>Customer success team, finance &amp; compliance, operations, G&amp;A, tooling, travel, payment processing, support, WhatsApp pass-through costs, and the working-capital float that protects the R3.0M cash buffer..</w:t>
            </w:r>
          </w:p>
        </w:tc>
      </w:tr>
    </w:tbl>
    <w:p>
      <w:pPr>
        <w:spacing w:after="0" w:line="120" w:lineRule="exact"/>
      </w:pPr>
    </w:p>
    <w:p>
      <w:pPr>
        <w:spacing w:after="160"/>
      </w:pPr>
      <w:r>
        <w:rPr>
          <w:i/>
          <w:color w:val="5B6570"/>
          <w:sz w:val="18"/>
        </w:rPr>
        <w:t>Section 13 reconciles this allocation against modelled spend and explains the two gaps: expansion is under-spent against its 15% share because the launch gates delay it, and operations is over it because revenue-linked costs scale with revenue.</w:t>
      </w:r>
    </w:p>
    <w:p>
      <w:pPr>
        <w:pStyle w:val="Heading2"/>
      </w:pPr>
      <w:r>
        <w:rPr/>
        <w:t>Why this team</w:t>
      </w:r>
    </w:p>
    <w:p>
      <w:r>
        <w:rPr>
          <w:b/>
          <w:color w:val="20242B"/>
          <w:shd w:val="clear" w:color="auto" w:fill="FFF1A8"/>
        </w:rPr>
        <w:t>[[FOUNDER NAME, TITLE]]</w:t>
      </w:r>
      <w:r>
        <w:rPr/>
        <w:t xml:space="preserve"> — </w:t>
      </w:r>
      <w:r>
        <w:rPr>
          <w:b/>
          <w:color w:val="20242B"/>
          <w:shd w:val="clear" w:color="auto" w:fill="FFF1A8"/>
        </w:rPr>
        <w:t>[[BACKGROUND: WHAT THEY HAVE BUILT AND SOLD BEFORE, YEARS IN MARKET, WHY THIS PROBLEM]]</w:t>
      </w:r>
      <w:r>
        <w:rPr/>
        <w:t xml:space="preserve">. </w:t>
      </w:r>
      <w:r>
        <w:rPr>
          <w:b/>
          <w:color w:val="20242B"/>
          <w:shd w:val="clear" w:color="auto" w:fill="FFF1A8"/>
        </w:rPr>
        <w:t>[[CO-FOUNDER / CTO NAME, TITLE]]</w:t>
      </w:r>
      <w:r>
        <w:rPr/>
        <w:t xml:space="preserve"> — </w:t>
      </w:r>
      <w:r>
        <w:rPr>
          <w:b/>
          <w:color w:val="20242B"/>
          <w:shd w:val="clear" w:color="auto" w:fill="FFF1A8"/>
        </w:rPr>
        <w:t>[[BACKGROUND]]</w:t>
      </w:r>
      <w:r>
        <w:rPr/>
        <w:t>.</w:t>
      </w:r>
    </w:p>
    <w:p>
      <w:r>
        <w:rPr>
          <w:b/>
          <w:color w:val="20242B"/>
          <w:shd w:val="clear" w:color="auto" w:fill="FFF1A8"/>
        </w:rPr>
        <w:t>[[TEAM: THE CURRENT TEAM AND WHAT THEY HAVE SHIPPED]]</w:t>
      </w:r>
      <w:r>
        <w:rPr/>
        <w:t xml:space="preserve"> and </w:t>
      </w:r>
      <w:r>
        <w:rPr>
          <w:b/>
          <w:color w:val="20242B"/>
          <w:shd w:val="clear" w:color="auto" w:fill="FFF1A8"/>
        </w:rPr>
        <w:t>[[ADVISORS]]</w:t>
      </w:r>
      <w:r>
        <w:rPr/>
        <w:t>.</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de-risking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What is already de-risked</w:t>
            </w:r>
          </w:p>
          <w:p>
            <w:pPr>
              <w:pStyle w:val="ListBullet"/>
            </w:pPr>
            <w:r>
              <w:rPr>
                <w:sz w:val="19"/>
              </w:rPr>
              <w:t>The product is built and live, not a concept: the AI agents, WhatsApp commerce and five payment rails work today.</w:t>
            </w:r>
          </w:p>
          <w:p>
            <w:pPr>
              <w:pStyle w:val="ListBullet"/>
            </w:pPr>
            <w:r>
              <w:rPr>
                <w:sz w:val="19"/>
              </w:rPr>
              <w:t>Meta Business and Access Verification (Tech Provider) are approved, which is a slow, gated process for any WhatsApp platform.</w:t>
            </w:r>
          </w:p>
          <w:p>
            <w:pPr>
              <w:pStyle w:val="ListBullet"/>
            </w:pPr>
            <w:r>
              <w:rPr>
                <w:sz w:val="19"/>
              </w:rPr>
              <w:t>Payment coverage across 23 countries is contracted, so expansion is a sales question.</w:t>
            </w:r>
          </w:p>
          <w:p>
            <w:pPr>
              <w:pStyle w:val="ListBullet"/>
            </w:pPr>
            <w:r>
              <w:rPr>
                <w:sz w:val="19"/>
              </w:rPr>
              <w:t>The plan needs no second round: the base, conservative and upside cases all reach profitability on this R25M.</w:t>
            </w:r>
          </w:p>
        </w:tc>
      </w:tr>
    </w:tbl>
    <w:p>
      <w:pPr>
        <w:spacing w:after="0" w:line="160" w:lineRule="exact"/>
      </w:pPr>
    </w:p>
    <w:p>
      <w:pPr>
        <w:pStyle w:val="Heading1"/>
        <w:pageBreakBefore/>
      </w:pPr>
      <w:r>
        <w:rPr/>
        <w:t>2. Company overview</w:t>
      </w:r>
    </w:p>
    <w:p>
      <w:pPr>
        <w:pStyle w:val="Heading2"/>
      </w:pPr>
      <w:r>
        <w:rPr/>
        <w:t>Legal entity and ownership</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company details"/>
      </w:tblPr>
      <w:tblGrid>
        <w:gridCol w:w="2834"/>
        <w:gridCol w:w="6803"/>
      </w:tblGrid>
      <w:tr>
        <w:trPr>
          <w:cantSplit/>
        </w:trPr>
        <w:tc>
          <w:tcPr>
            <w:tcW w:type="dxa" w:w="2835"/>
            <w:shd w:val="clear" w:color="auto" w:fill="F3F4F6"/>
            <w:vAlign w:val="center"/>
          </w:tcPr>
          <w:p>
            <w:pPr>
              <w:spacing w:after="20" w:line="252" w:lineRule="auto"/>
            </w:pPr>
            <w:r>
              <w:rPr>
                <w:b/>
                <w:sz w:val="20"/>
              </w:rPr>
              <w:t>Registered name</w:t>
            </w:r>
          </w:p>
        </w:tc>
        <w:tc>
          <w:tcPr>
            <w:tcW w:type="dxa" w:w="6803"/>
            <w:vAlign w:val="center"/>
          </w:tcPr>
          <w:p>
            <w:pPr>
              <w:spacing w:after="20" w:line="252" w:lineRule="auto"/>
            </w:pPr>
            <w:r>
              <w:rPr>
                <w:sz w:val="20"/>
              </w:rPr>
              <w:t>Fluxmuse Pty Ltd</w:t>
            </w:r>
          </w:p>
        </w:tc>
      </w:tr>
      <w:tr>
        <w:trPr>
          <w:cantSplit/>
        </w:trPr>
        <w:tc>
          <w:tcPr>
            <w:tcW w:type="dxa" w:w="2835"/>
            <w:shd w:val="clear" w:color="auto" w:fill="F3F4F6"/>
            <w:vAlign w:val="center"/>
          </w:tcPr>
          <w:p>
            <w:pPr>
              <w:spacing w:after="20" w:line="252" w:lineRule="auto"/>
            </w:pPr>
            <w:r>
              <w:rPr>
                <w:b/>
                <w:sz w:val="20"/>
              </w:rPr>
              <w:t>Jurisdiction</w:t>
            </w:r>
          </w:p>
        </w:tc>
        <w:tc>
          <w:tcPr>
            <w:tcW w:type="dxa" w:w="6803"/>
            <w:vAlign w:val="center"/>
          </w:tcPr>
          <w:p>
            <w:pPr>
              <w:spacing w:after="20" w:line="252" w:lineRule="auto"/>
            </w:pPr>
            <w:r>
              <w:rPr>
                <w:sz w:val="20"/>
              </w:rPr>
              <w:t>South Africa</w:t>
            </w:r>
          </w:p>
        </w:tc>
      </w:tr>
      <w:tr>
        <w:trPr>
          <w:cantSplit/>
        </w:trPr>
        <w:tc>
          <w:tcPr>
            <w:tcW w:type="dxa" w:w="2835"/>
            <w:shd w:val="clear" w:color="auto" w:fill="F3F4F6"/>
            <w:vAlign w:val="center"/>
          </w:tcPr>
          <w:p>
            <w:pPr>
              <w:spacing w:after="20" w:line="252" w:lineRule="auto"/>
            </w:pPr>
            <w:r>
              <w:rPr>
                <w:b/>
                <w:sz w:val="20"/>
              </w:rPr>
              <w:t>Registration number</w:t>
            </w:r>
          </w:p>
        </w:tc>
        <w:tc>
          <w:tcPr>
            <w:tcW w:type="dxa" w:w="6803"/>
            <w:vAlign w:val="center"/>
          </w:tcPr>
          <w:p>
            <w:pPr>
              <w:spacing w:after="20" w:line="252" w:lineRule="auto"/>
            </w:pPr>
            <w:r>
              <w:rPr>
                <w:b/>
                <w:color w:val="20242B"/>
                <w:sz w:val="20"/>
                <w:shd w:val="clear" w:color="auto" w:fill="FFF1A8"/>
              </w:rPr>
              <w:t>[[COMPANY REGISTRATION NUMBER]]</w:t>
            </w:r>
          </w:p>
        </w:tc>
      </w:tr>
      <w:tr>
        <w:trPr>
          <w:cantSplit/>
        </w:trPr>
        <w:tc>
          <w:tcPr>
            <w:tcW w:type="dxa" w:w="2835"/>
            <w:shd w:val="clear" w:color="auto" w:fill="F3F4F6"/>
            <w:vAlign w:val="center"/>
          </w:tcPr>
          <w:p>
            <w:pPr>
              <w:spacing w:after="20" w:line="252" w:lineRule="auto"/>
            </w:pPr>
            <w:r>
              <w:rPr>
                <w:b/>
                <w:sz w:val="20"/>
              </w:rPr>
              <w:t>Date of incorporation</w:t>
            </w:r>
          </w:p>
        </w:tc>
        <w:tc>
          <w:tcPr>
            <w:tcW w:type="dxa" w:w="6803"/>
            <w:vAlign w:val="center"/>
          </w:tcPr>
          <w:p>
            <w:pPr>
              <w:spacing w:after="20" w:line="252" w:lineRule="auto"/>
            </w:pPr>
            <w:r>
              <w:rPr>
                <w:b/>
                <w:color w:val="20242B"/>
                <w:sz w:val="20"/>
                <w:shd w:val="clear" w:color="auto" w:fill="FFF1A8"/>
              </w:rPr>
              <w:t>[[FOUNDING DATE]]</w:t>
            </w:r>
          </w:p>
        </w:tc>
      </w:tr>
      <w:tr>
        <w:trPr>
          <w:cantSplit/>
        </w:trPr>
        <w:tc>
          <w:tcPr>
            <w:tcW w:type="dxa" w:w="2835"/>
            <w:shd w:val="clear" w:color="auto" w:fill="F3F4F6"/>
            <w:vAlign w:val="center"/>
          </w:tcPr>
          <w:p>
            <w:pPr>
              <w:spacing w:after="20" w:line="252" w:lineRule="auto"/>
            </w:pPr>
            <w:r>
              <w:rPr>
                <w:b/>
                <w:sz w:val="20"/>
              </w:rPr>
              <w:t>Registered address</w:t>
            </w:r>
          </w:p>
        </w:tc>
        <w:tc>
          <w:tcPr>
            <w:tcW w:type="dxa" w:w="6803"/>
            <w:vAlign w:val="center"/>
          </w:tcPr>
          <w:p>
            <w:pPr>
              <w:spacing w:after="20" w:line="252" w:lineRule="auto"/>
            </w:pPr>
            <w:r>
              <w:rPr>
                <w:b/>
                <w:color w:val="20242B"/>
                <w:sz w:val="20"/>
                <w:shd w:val="clear" w:color="auto" w:fill="FFF1A8"/>
              </w:rPr>
              <w:t>[[REGISTERED ADDRESS]]</w:t>
            </w:r>
          </w:p>
        </w:tc>
      </w:tr>
      <w:tr>
        <w:trPr>
          <w:cantSplit/>
        </w:trPr>
        <w:tc>
          <w:tcPr>
            <w:tcW w:type="dxa" w:w="2835"/>
            <w:shd w:val="clear" w:color="auto" w:fill="F3F4F6"/>
            <w:vAlign w:val="center"/>
          </w:tcPr>
          <w:p>
            <w:pPr>
              <w:spacing w:after="20" w:line="252" w:lineRule="auto"/>
            </w:pPr>
            <w:r>
              <w:rPr>
                <w:b/>
                <w:sz w:val="20"/>
              </w:rPr>
              <w:t>Operating location</w:t>
            </w:r>
          </w:p>
        </w:tc>
        <w:tc>
          <w:tcPr>
            <w:tcW w:type="dxa" w:w="6803"/>
            <w:vAlign w:val="center"/>
          </w:tcPr>
          <w:p>
            <w:pPr>
              <w:spacing w:after="20" w:line="252" w:lineRule="auto"/>
            </w:pPr>
            <w:r>
              <w:rPr>
                <w:b/>
                <w:color w:val="20242B"/>
                <w:sz w:val="20"/>
                <w:shd w:val="clear" w:color="auto" w:fill="FFF1A8"/>
              </w:rPr>
              <w:t>[[OPERATING LOCATION / OFFICE]]</w:t>
            </w:r>
          </w:p>
        </w:tc>
      </w:tr>
      <w:tr>
        <w:trPr>
          <w:cantSplit/>
        </w:trPr>
        <w:tc>
          <w:tcPr>
            <w:tcW w:type="dxa" w:w="2835"/>
            <w:shd w:val="clear" w:color="auto" w:fill="F3F4F6"/>
            <w:vAlign w:val="center"/>
          </w:tcPr>
          <w:p>
            <w:pPr>
              <w:spacing w:after="20" w:line="252" w:lineRule="auto"/>
            </w:pPr>
            <w:r>
              <w:rPr>
                <w:b/>
                <w:sz w:val="20"/>
              </w:rPr>
              <w:t>Directors</w:t>
            </w:r>
          </w:p>
        </w:tc>
        <w:tc>
          <w:tcPr>
            <w:tcW w:type="dxa" w:w="6803"/>
            <w:vAlign w:val="center"/>
          </w:tcPr>
          <w:p>
            <w:pPr>
              <w:spacing w:after="20" w:line="252" w:lineRule="auto"/>
            </w:pPr>
            <w:r>
              <w:rPr>
                <w:b/>
                <w:color w:val="20242B"/>
                <w:sz w:val="20"/>
                <w:shd w:val="clear" w:color="auto" w:fill="FFF1A8"/>
              </w:rPr>
              <w:t>[[DIRECTORS]]</w:t>
            </w:r>
          </w:p>
        </w:tc>
      </w:tr>
      <w:tr>
        <w:trPr>
          <w:cantSplit/>
        </w:trPr>
        <w:tc>
          <w:tcPr>
            <w:tcW w:type="dxa" w:w="2835"/>
            <w:shd w:val="clear" w:color="auto" w:fill="F3F4F6"/>
            <w:vAlign w:val="center"/>
          </w:tcPr>
          <w:p>
            <w:pPr>
              <w:spacing w:after="20" w:line="252" w:lineRule="auto"/>
            </w:pPr>
            <w:r>
              <w:rPr>
                <w:b/>
                <w:sz w:val="20"/>
              </w:rPr>
              <w:t>Shareholders and cap table</w:t>
            </w:r>
          </w:p>
        </w:tc>
        <w:tc>
          <w:tcPr>
            <w:tcW w:type="dxa" w:w="6803"/>
            <w:vAlign w:val="center"/>
          </w:tcPr>
          <w:p>
            <w:pPr>
              <w:spacing w:after="20" w:line="252" w:lineRule="auto"/>
            </w:pPr>
            <w:r>
              <w:rPr>
                <w:b/>
                <w:color w:val="20242B"/>
                <w:sz w:val="20"/>
                <w:shd w:val="clear" w:color="auto" w:fill="FFF1A8"/>
              </w:rPr>
              <w:t>[[CAP TABLE: SHAREHOLDERS AND PERCENTAGES, OPTION POOL]]</w:t>
            </w:r>
          </w:p>
        </w:tc>
      </w:tr>
      <w:tr>
        <w:trPr>
          <w:cantSplit/>
        </w:trPr>
        <w:tc>
          <w:tcPr>
            <w:tcW w:type="dxa" w:w="2835"/>
            <w:shd w:val="clear" w:color="auto" w:fill="F3F4F6"/>
            <w:vAlign w:val="center"/>
          </w:tcPr>
          <w:p>
            <w:pPr>
              <w:spacing w:after="20" w:line="252" w:lineRule="auto"/>
            </w:pPr>
            <w:r>
              <w:rPr>
                <w:b/>
                <w:sz w:val="20"/>
              </w:rPr>
              <w:t>B-BBEE status</w:t>
            </w:r>
          </w:p>
        </w:tc>
        <w:tc>
          <w:tcPr>
            <w:tcW w:type="dxa" w:w="6803"/>
            <w:vAlign w:val="center"/>
          </w:tcPr>
          <w:p>
            <w:pPr>
              <w:spacing w:after="20" w:line="252" w:lineRule="auto"/>
            </w:pPr>
            <w:r>
              <w:rPr>
                <w:b/>
                <w:color w:val="20242B"/>
                <w:sz w:val="20"/>
                <w:shd w:val="clear" w:color="auto" w:fill="FFF1A8"/>
              </w:rPr>
              <w:t>[[B-BBEE LEVEL AND VERIFICATION DATE]]</w:t>
            </w:r>
          </w:p>
        </w:tc>
      </w:tr>
      <w:tr>
        <w:trPr>
          <w:cantSplit/>
        </w:trPr>
        <w:tc>
          <w:tcPr>
            <w:tcW w:type="dxa" w:w="2835"/>
            <w:shd w:val="clear" w:color="auto" w:fill="F3F4F6"/>
            <w:vAlign w:val="center"/>
          </w:tcPr>
          <w:p>
            <w:pPr>
              <w:spacing w:after="20" w:line="252" w:lineRule="auto"/>
            </w:pPr>
            <w:r>
              <w:rPr>
                <w:b/>
                <w:sz w:val="20"/>
              </w:rPr>
              <w:t>Tax and VAT</w:t>
            </w:r>
          </w:p>
        </w:tc>
        <w:tc>
          <w:tcPr>
            <w:tcW w:type="dxa" w:w="6803"/>
            <w:vAlign w:val="center"/>
          </w:tcPr>
          <w:p>
            <w:pPr>
              <w:spacing w:after="20" w:line="252" w:lineRule="auto"/>
            </w:pPr>
            <w:r>
              <w:rPr>
                <w:b/>
                <w:color w:val="20242B"/>
                <w:sz w:val="20"/>
                <w:shd w:val="clear" w:color="auto" w:fill="FFF1A8"/>
              </w:rPr>
              <w:t>[[INCOME TAX NUMBER]]</w:t>
            </w:r>
            <w:r>
              <w:rPr>
                <w:sz w:val="20"/>
              </w:rPr>
              <w:t xml:space="preserve"> · </w:t>
            </w:r>
            <w:r>
              <w:rPr>
                <w:b/>
                <w:color w:val="20242B"/>
                <w:sz w:val="20"/>
                <w:shd w:val="clear" w:color="auto" w:fill="FFF1A8"/>
              </w:rPr>
              <w:t>[[VAT NUMBER / VAT TREATMENT]]</w:t>
            </w:r>
          </w:p>
        </w:tc>
      </w:tr>
      <w:tr>
        <w:trPr>
          <w:cantSplit/>
        </w:trPr>
        <w:tc>
          <w:tcPr>
            <w:tcW w:type="dxa" w:w="2835"/>
            <w:shd w:val="clear" w:color="auto" w:fill="F3F4F6"/>
            <w:vAlign w:val="center"/>
          </w:tcPr>
          <w:p>
            <w:pPr>
              <w:spacing w:after="20" w:line="252" w:lineRule="auto"/>
            </w:pPr>
            <w:r>
              <w:rPr>
                <w:b/>
                <w:sz w:val="20"/>
              </w:rPr>
              <w:t>Auditor / accountant</w:t>
            </w:r>
          </w:p>
        </w:tc>
        <w:tc>
          <w:tcPr>
            <w:tcW w:type="dxa" w:w="6803"/>
            <w:vAlign w:val="center"/>
          </w:tcPr>
          <w:p>
            <w:pPr>
              <w:spacing w:after="20" w:line="252" w:lineRule="auto"/>
            </w:pPr>
            <w:r>
              <w:rPr>
                <w:b/>
                <w:color w:val="20242B"/>
                <w:sz w:val="20"/>
                <w:shd w:val="clear" w:color="auto" w:fill="FFF1A8"/>
              </w:rPr>
              <w:t>[[AUDITOR OR ACCOUNTING OFFICER]]</w:t>
            </w:r>
          </w:p>
        </w:tc>
      </w:tr>
      <w:tr>
        <w:trPr>
          <w:cantSplit/>
        </w:trPr>
        <w:tc>
          <w:tcPr>
            <w:tcW w:type="dxa" w:w="2835"/>
            <w:shd w:val="clear" w:color="auto" w:fill="F3F4F6"/>
            <w:vAlign w:val="center"/>
          </w:tcPr>
          <w:p>
            <w:pPr>
              <w:spacing w:after="20" w:line="252" w:lineRule="auto"/>
            </w:pPr>
            <w:r>
              <w:rPr>
                <w:b/>
                <w:sz w:val="20"/>
              </w:rPr>
              <w:t>Banker</w:t>
            </w:r>
          </w:p>
        </w:tc>
        <w:tc>
          <w:tcPr>
            <w:tcW w:type="dxa" w:w="6803"/>
            <w:vAlign w:val="center"/>
          </w:tcPr>
          <w:p>
            <w:pPr>
              <w:spacing w:after="20" w:line="252" w:lineRule="auto"/>
            </w:pPr>
            <w:r>
              <w:rPr>
                <w:b/>
                <w:color w:val="20242B"/>
                <w:sz w:val="20"/>
                <w:shd w:val="clear" w:color="auto" w:fill="FFF1A8"/>
              </w:rPr>
              <w:t>[[BANK]]</w:t>
            </w:r>
          </w:p>
        </w:tc>
      </w:tr>
      <w:tr>
        <w:trPr>
          <w:cantSplit/>
        </w:trPr>
        <w:tc>
          <w:tcPr>
            <w:tcW w:type="dxa" w:w="2835"/>
            <w:shd w:val="clear" w:color="auto" w:fill="F3F4F6"/>
            <w:vAlign w:val="center"/>
          </w:tcPr>
          <w:p>
            <w:pPr>
              <w:spacing w:after="20" w:line="252" w:lineRule="auto"/>
            </w:pPr>
            <w:r>
              <w:rPr>
                <w:b/>
                <w:sz w:val="20"/>
              </w:rPr>
              <w:t>Product</w:t>
            </w:r>
          </w:p>
        </w:tc>
        <w:tc>
          <w:tcPr>
            <w:tcW w:type="dxa" w:w="6803"/>
            <w:vAlign w:val="center"/>
          </w:tcPr>
          <w:p>
            <w:pPr>
              <w:spacing w:after="20" w:line="252" w:lineRule="auto"/>
            </w:pPr>
            <w:r>
              <w:rPr>
                <w:sz w:val="20"/>
              </w:rPr>
              <w:t>FluxMuse (fluxmuse.ai): AI marketing and WhatsApp commerce platform</w:t>
            </w:r>
          </w:p>
        </w:tc>
      </w:tr>
    </w:tbl>
    <w:p>
      <w:pPr>
        <w:spacing w:after="0" w:line="120" w:lineRule="exact"/>
      </w:pPr>
    </w:p>
    <w:p>
      <w:pPr>
        <w:spacing w:after="160"/>
      </w:pPr>
      <w:r>
        <w:rPr>
          <w:i/>
          <w:color w:val="5B6570"/>
          <w:sz w:val="18"/>
        </w:rPr>
        <w:t xml:space="preserve">Every field marked </w:t>
      </w:r>
      <w:r>
        <w:rPr>
          <w:b/>
          <w:i/>
          <w:color w:val="20242B"/>
          <w:sz w:val="18"/>
          <w:shd w:val="clear" w:color="auto" w:fill="FFF1A8"/>
        </w:rPr>
        <w:t>[[ ]]</w:t>
      </w:r>
      <w:r>
        <w:rPr>
          <w:i/>
          <w:color w:val="5B6570"/>
          <w:sz w:val="18"/>
        </w:rPr>
        <w:t xml:space="preserve"> must be completed from the company records before this plan goes to a funder. Development-finance funders will also ask for the items listed in Appendix E.</w:t>
      </w:r>
    </w:p>
    <w:p>
      <w:pPr>
        <w:pStyle w:val="Heading2"/>
      </w:pPr>
      <w:r>
        <w:rPr/>
        <w:t>Mission, vision and promise</w:t>
      </w:r>
    </w:p>
    <w:p>
      <w:r>
        <w:rPr>
          <w:b/>
        </w:rPr>
        <w:t>Mission.</w:t>
      </w:r>
      <w:r>
        <w:rPr/>
        <w:t xml:space="preserve"> Give every African business a marketing team and a checkout, inside the chat app its customers already use.</w:t>
      </w:r>
    </w:p>
    <w:p>
      <w:r>
        <w:rPr>
          <w:b/>
        </w:rPr>
        <w:t>Vision.</w:t>
      </w:r>
      <w:r>
        <w:rPr/>
        <w:t xml:space="preserve"> A braider in Tembisa, a baker in Lagos and an agency in Nairobi market, sell and get paid as easily as any global brand, in their own language and their own currency.</w:t>
      </w:r>
    </w:p>
    <w:p>
      <w:r>
        <w:rPr>
          <w:b/>
        </w:rPr>
        <w:t>Promise.</w:t>
      </w:r>
      <w:r>
        <w:rPr/>
        <w:t xml:space="preserve"> Less admin, more sales you can see.</w:t>
      </w:r>
    </w:p>
    <w:p>
      <w:pPr>
        <w:spacing w:after="160"/>
      </w:pPr>
      <w:r>
        <w:rPr>
          <w:i/>
          <w:color w:val="5B6570"/>
          <w:sz w:val="18"/>
        </w:rPr>
        <w:t xml:space="preserve">Mission, vision and promise are v1.0 drafts from the brand kit and need founder sign-off before external use. </w:t>
      </w:r>
      <w:r>
        <w:rPr>
          <w:b/>
          <w:i/>
          <w:color w:val="20242B"/>
          <w:sz w:val="18"/>
          <w:shd w:val="clear" w:color="auto" w:fill="FFF1A8"/>
        </w:rPr>
        <w:t>[[FOUNDER SIGN-OFF ON MISSION, VISION AND PROMISE]]</w:t>
      </w:r>
    </w:p>
    <w:p>
      <w:pPr>
        <w:pStyle w:val="Heading2"/>
      </w:pPr>
      <w:r>
        <w:rPr/>
        <w:t>Platform verification and regulatory status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Verification and regulatory status"/>
      </w:tblPr>
      <w:tblGrid>
        <w:gridCol w:w="2381"/>
        <w:gridCol w:w="7256"/>
      </w:tblGrid>
      <w:tr>
        <w:trPr>
          <w:cantSplit/>
          <w:tblHeader/>
        </w:trPr>
        <w:tc>
          <w:tcPr>
            <w:tcW w:type="dxa" w:w="2381"/>
            <w:shd w:val="clear" w:color="auto" w:fill="FF6A00"/>
            <w:vAlign w:val="center"/>
          </w:tcPr>
          <w:p>
            <w:pPr>
              <w:keepNext/>
              <w:spacing w:after="20" w:line="252" w:lineRule="auto"/>
            </w:pPr>
            <w:r>
              <w:rPr>
                <w:rFonts w:ascii="Poppins" w:hAnsi="Poppins" w:cs="Poppins" w:eastAsia="Poppins"/>
                <w:b/>
                <w:color w:val="20242B"/>
                <w:sz w:val="18"/>
              </w:rPr>
              <w:t>Area</w:t>
            </w:r>
          </w:p>
        </w:tc>
        <w:tc>
          <w:tcPr>
            <w:tcW w:type="dxa" w:w="7257"/>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2381"/>
            <w:vAlign w:val="center"/>
          </w:tcPr>
          <w:p>
            <w:pPr>
              <w:spacing w:after="20" w:line="252" w:lineRule="auto"/>
            </w:pPr>
            <w:r>
              <w:rPr>
                <w:b/>
                <w:sz w:val="18"/>
              </w:rPr>
              <w:t>Meta Business Verification</w:t>
            </w:r>
          </w:p>
        </w:tc>
        <w:tc>
          <w:tcPr>
            <w:tcW w:type="dxa" w:w="7257"/>
            <w:vAlign w:val="center"/>
          </w:tcPr>
          <w:p>
            <w:pPr>
              <w:spacing w:after="20" w:line="252" w:lineRule="auto"/>
            </w:pPr>
            <w:r>
              <w:rPr>
                <w:sz w:val="18"/>
              </w:rPr>
              <w:t>Verified</w:t>
            </w:r>
          </w:p>
        </w:tc>
      </w:tr>
      <w:tr>
        <w:trPr>
          <w:cantSplit/>
        </w:trPr>
        <w:tc>
          <w:tcPr>
            <w:tcW w:type="dxa" w:w="2381"/>
            <w:shd w:val="clear" w:color="auto" w:fill="FAFAFB"/>
            <w:vAlign w:val="center"/>
          </w:tcPr>
          <w:p>
            <w:pPr>
              <w:spacing w:after="20" w:line="252" w:lineRule="auto"/>
            </w:pPr>
            <w:r>
              <w:rPr>
                <w:b/>
                <w:sz w:val="18"/>
              </w:rPr>
              <w:t>Meta Access Verification</w:t>
            </w:r>
          </w:p>
        </w:tc>
        <w:tc>
          <w:tcPr>
            <w:tcW w:type="dxa" w:w="7257"/>
            <w:shd w:val="clear" w:color="auto" w:fill="FAFAFB"/>
            <w:vAlign w:val="center"/>
          </w:tcPr>
          <w:p>
            <w:pPr>
              <w:spacing w:after="20" w:line="252" w:lineRule="auto"/>
            </w:pPr>
            <w:r>
              <w:rPr>
                <w:sz w:val="18"/>
              </w:rPr>
              <w:t>Verified (Tech Provider)</w:t>
            </w:r>
          </w:p>
        </w:tc>
      </w:tr>
      <w:tr>
        <w:trPr>
          <w:cantSplit/>
        </w:trPr>
        <w:tc>
          <w:tcPr>
            <w:tcW w:type="dxa" w:w="2381"/>
            <w:vAlign w:val="center"/>
          </w:tcPr>
          <w:p>
            <w:pPr>
              <w:spacing w:after="20" w:line="252" w:lineRule="auto"/>
            </w:pPr>
            <w:r>
              <w:rPr>
                <w:b/>
                <w:sz w:val="18"/>
              </w:rPr>
              <w:t>Meta permissions approved</w:t>
            </w:r>
          </w:p>
        </w:tc>
        <w:tc>
          <w:tcPr>
            <w:tcW w:type="dxa" w:w="7257"/>
            <w:vAlign w:val="center"/>
          </w:tcPr>
          <w:p>
            <w:pPr>
              <w:spacing w:after="20" w:line="252" w:lineRule="auto"/>
            </w:pPr>
            <w:r>
              <w:rPr>
                <w:sz w:val="18"/>
              </w:rPr>
              <w:t>pages_show_list, pages_manage_metadata, pages_messaging, whatsapp_business_messaging, whatsapp_business_management, public_profile</w:t>
            </w:r>
          </w:p>
        </w:tc>
      </w:tr>
      <w:tr>
        <w:trPr>
          <w:cantSplit/>
        </w:trPr>
        <w:tc>
          <w:tcPr>
            <w:tcW w:type="dxa" w:w="2381"/>
            <w:shd w:val="clear" w:color="auto" w:fill="FAFAFB"/>
            <w:vAlign w:val="center"/>
          </w:tcPr>
          <w:p>
            <w:pPr>
              <w:spacing w:after="20" w:line="252" w:lineRule="auto"/>
            </w:pPr>
            <w:r>
              <w:rPr>
                <w:b/>
                <w:sz w:val="18"/>
              </w:rPr>
              <w:t>In Meta App Review (not live)</w:t>
            </w:r>
          </w:p>
        </w:tc>
        <w:tc>
          <w:tcPr>
            <w:tcW w:type="dxa" w:w="7257"/>
            <w:shd w:val="clear" w:color="auto" w:fill="FAFAFB"/>
            <w:vAlign w:val="center"/>
          </w:tcPr>
          <w:p>
            <w:pPr>
              <w:spacing w:after="20" w:line="252" w:lineRule="auto"/>
            </w:pPr>
            <w:r>
              <w:rPr>
                <w:sz w:val="18"/>
              </w:rPr>
              <w:t>pages_manage_posts, pages_read_engagement, instagram_basic, instagram_content_publish, instagram_manage_comments, instagram_manage_messages, business_management</w:t>
            </w:r>
          </w:p>
        </w:tc>
      </w:tr>
      <w:tr>
        <w:trPr>
          <w:cantSplit/>
        </w:trPr>
        <w:tc>
          <w:tcPr>
            <w:tcW w:type="dxa" w:w="2381"/>
            <w:vAlign w:val="center"/>
          </w:tcPr>
          <w:p>
            <w:pPr>
              <w:spacing w:after="20" w:line="252" w:lineRule="auto"/>
            </w:pPr>
            <w:r>
              <w:rPr>
                <w:b/>
                <w:sz w:val="18"/>
              </w:rPr>
              <w:t>Payment licensing</w:t>
            </w:r>
          </w:p>
        </w:tc>
        <w:tc>
          <w:tcPr>
            <w:tcW w:type="dxa" w:w="7257"/>
            <w:vAlign w:val="center"/>
          </w:tcPr>
          <w:p>
            <w:pPr>
              <w:spacing w:after="20" w:line="252" w:lineRule="auto"/>
            </w:pPr>
            <w:r>
              <w:rPr>
                <w:sz w:val="18"/>
              </w:rPr>
              <w:t>FluxMuse is not a payment institution. Collections and payouts run through licensed providers: Yoco, Ozow, Paystack, pawaPay and Fincra, which hold the relevant licences in their markets.</w:t>
            </w:r>
          </w:p>
        </w:tc>
      </w:tr>
      <w:tr>
        <w:trPr>
          <w:cantSplit/>
        </w:trPr>
        <w:tc>
          <w:tcPr>
            <w:tcW w:type="dxa" w:w="2381"/>
            <w:shd w:val="clear" w:color="auto" w:fill="FAFAFB"/>
            <w:vAlign w:val="center"/>
          </w:tcPr>
          <w:p>
            <w:pPr>
              <w:spacing w:after="20" w:line="252" w:lineRule="auto"/>
            </w:pPr>
            <w:r>
              <w:rPr>
                <w:b/>
                <w:sz w:val="18"/>
              </w:rPr>
              <w:t>Data protection</w:t>
            </w:r>
          </w:p>
        </w:tc>
        <w:tc>
          <w:tcPr>
            <w:tcW w:type="dxa" w:w="7257"/>
            <w:shd w:val="clear" w:color="auto" w:fill="FAFAFB"/>
            <w:vAlign w:val="center"/>
          </w:tcPr>
          <w:p>
            <w:pPr>
              <w:spacing w:after="20" w:line="252" w:lineRule="auto"/>
            </w:pPr>
            <w:r>
              <w:rPr>
                <w:sz w:val="18"/>
              </w:rPr>
              <w:t xml:space="preserve">Built to be POPIA, NDPR and GDPR ready: row-level security on every table, encrypted tokens, audit export, data export and account deletion. Information Officer: </w:t>
            </w:r>
            <w:r>
              <w:rPr>
                <w:b/>
                <w:color w:val="20242B"/>
                <w:sz w:val="18"/>
                <w:shd w:val="clear" w:color="auto" w:fill="FFF1A8"/>
              </w:rPr>
              <w:t>[[INFORMATION OFFICER NAME AND EMAIL]]</w:t>
            </w:r>
          </w:p>
        </w:tc>
      </w:tr>
      <w:tr>
        <w:trPr>
          <w:cantSplit/>
        </w:trPr>
        <w:tc>
          <w:tcPr>
            <w:tcW w:type="dxa" w:w="2381"/>
            <w:vAlign w:val="center"/>
          </w:tcPr>
          <w:p>
            <w:pPr>
              <w:spacing w:after="20" w:line="252" w:lineRule="auto"/>
            </w:pPr>
            <w:r>
              <w:rPr>
                <w:b/>
                <w:sz w:val="18"/>
              </w:rPr>
              <w:t>Registrations outstanding</w:t>
            </w:r>
          </w:p>
        </w:tc>
        <w:tc>
          <w:tcPr>
            <w:tcW w:type="dxa" w:w="7257"/>
            <w:vAlign w:val="center"/>
          </w:tcPr>
          <w:p>
            <w:pPr>
              <w:spacing w:after="20" w:line="252" w:lineRule="auto"/>
            </w:pPr>
            <w:r>
              <w:rPr>
                <w:b/>
                <w:color w:val="20242B"/>
                <w:sz w:val="18"/>
                <w:shd w:val="clear" w:color="auto" w:fill="FFF1A8"/>
              </w:rPr>
              <w:t>[[NDPR / NDPA, KENYA DPA AND GHANA DPC REGISTRATIONS: STATUS]]</w:t>
            </w:r>
            <w:r>
              <w:rPr>
                <w:sz w:val="18"/>
              </w:rPr>
              <w:t xml:space="preserve"> · </w:t>
            </w:r>
            <w:r>
              <w:rPr>
                <w:b/>
                <w:color w:val="20242B"/>
                <w:sz w:val="18"/>
                <w:shd w:val="clear" w:color="auto" w:fill="FFF1A8"/>
              </w:rPr>
              <w:t>[[VAT REGISTRATIONS FOR SELF-SERVE MARKETS]]</w:t>
            </w:r>
          </w:p>
        </w:tc>
      </w:tr>
      <w:tr>
        <w:trPr>
          <w:cantSplit/>
        </w:trPr>
        <w:tc>
          <w:tcPr>
            <w:tcW w:type="dxa" w:w="2381"/>
            <w:shd w:val="clear" w:color="auto" w:fill="FAFAFB"/>
            <w:vAlign w:val="center"/>
          </w:tcPr>
          <w:p>
            <w:pPr>
              <w:spacing w:after="20" w:line="252" w:lineRule="auto"/>
            </w:pPr>
            <w:r>
              <w:rPr>
                <w:b/>
                <w:sz w:val="18"/>
              </w:rPr>
              <w:t>Intellectual property</w:t>
            </w:r>
          </w:p>
        </w:tc>
        <w:tc>
          <w:tcPr>
            <w:tcW w:type="dxa" w:w="7257"/>
            <w:shd w:val="clear" w:color="auto" w:fill="FAFAFB"/>
            <w:vAlign w:val="center"/>
          </w:tcPr>
          <w:p>
            <w:pPr>
              <w:spacing w:after="20" w:line="252" w:lineRule="auto"/>
            </w:pPr>
            <w:r>
              <w:rPr>
                <w:sz w:val="18"/>
              </w:rPr>
              <w:t xml:space="preserve">Platform code, brand and the Muse icon owned by Fluxmuse Pty Ltd. Trade mark registration: </w:t>
            </w:r>
            <w:r>
              <w:rPr>
                <w:b/>
                <w:color w:val="20242B"/>
                <w:sz w:val="18"/>
                <w:shd w:val="clear" w:color="auto" w:fill="FFF1A8"/>
              </w:rPr>
              <w:t>[[TRADE MARK STATUS]]</w:t>
            </w:r>
          </w:p>
        </w:tc>
      </w:tr>
    </w:tbl>
    <w:p>
      <w:pPr>
        <w:spacing w:after="0" w:line="120" w:lineRule="exact"/>
      </w:pPr>
    </w:p>
    <w:p>
      <w:pPr>
        <w:spacing w:after="160"/>
      </w:pPr>
      <w:r>
        <w:rPr>
          <w:i/>
          <w:color w:val="5B6570"/>
          <w:sz w:val="18"/>
        </w:rPr>
        <w:t>Instagram features stay switched off in the product until Meta approves them, and are never sold as live. This is the single biggest platform dependency in the plan (section 14).</w:t>
      </w:r>
    </w:p>
    <w:p>
      <w:pPr>
        <w:pStyle w:val="Heading1"/>
        <w:pageBreakBefore/>
      </w:pPr>
      <w:r>
        <w:rPr/>
        <w:t>3. Problem and opportunity</w:t>
      </w:r>
    </w:p>
    <w:p>
      <w:pPr>
        <w:pStyle w:val="Heading2"/>
      </w:pPr>
      <w:r>
        <w:rPr/>
        <w:t>The problem</w:t>
      </w:r>
    </w:p>
    <w:p>
      <w:r>
        <w:rPr/>
        <w:t>A small business in Johannesburg, Lagos or Nairobi sells through WhatsApp, Instagram and Facebook. Marketing is a person, usually the owner, doing it late at night between jobs. The tools that exist were built for somewhere else:</w:t>
      </w:r>
    </w:p>
    <w:p>
      <w:pPr>
        <w:pStyle w:val="ListBullet"/>
      </w:pPr>
      <w:r>
        <w:rPr>
          <w:b/>
        </w:rPr>
        <w:t>A patchwork of disconnected tools</w:t>
      </w:r>
      <w:r>
        <w:rPr/>
        <w:t xml:space="preserve"> for posts, chats, email, SMS and payments, none of which talk to each other.</w:t>
      </w:r>
    </w:p>
    <w:p>
      <w:pPr>
        <w:pStyle w:val="ListBullet"/>
      </w:pPr>
      <w:r>
        <w:rPr>
          <w:b/>
        </w:rPr>
        <w:t>Agency retainers priced beyond most small-business budgets</w:t>
      </w:r>
      <w:r>
        <w:rPr/>
        <w:t>, with little visibility of what the money bought.</w:t>
      </w:r>
    </w:p>
    <w:p>
      <w:pPr>
        <w:pStyle w:val="ListBullet"/>
      </w:pPr>
      <w:r>
        <w:rPr>
          <w:b/>
        </w:rPr>
        <w:t>Buyers drop off</w:t>
      </w:r>
      <w:r>
        <w:rPr/>
        <w:t xml:space="preserve"> when a conversation sends them to an external payment link.</w:t>
      </w:r>
    </w:p>
    <w:p>
      <w:pPr>
        <w:pStyle w:val="ListBullet"/>
      </w:pPr>
      <w:r>
        <w:rPr>
          <w:b/>
        </w:rPr>
        <w:t>Checkout that doesn't offer local ways to pay</w:t>
      </w:r>
      <w:r>
        <w:rPr/>
        <w:t>, such as instant EFT or mobile money.</w:t>
      </w:r>
    </w:p>
    <w:p>
      <w:pPr>
        <w:pStyle w:val="ListBullet"/>
      </w:pPr>
      <w:r>
        <w:rPr>
          <w:b/>
        </w:rPr>
        <w:t>Content in the wrong language and register</w:t>
      </w:r>
      <w:r>
        <w:rPr/>
        <w:t xml:space="preserve"> for the customer being sold to.</w:t>
      </w:r>
    </w:p>
    <w:p>
      <w:pPr>
        <w:keepNext/>
        <w:spacing w:before="120" w:after="0"/>
        <w:jc w:val="center"/>
      </w:pPr>
      <w:r>
        <w:drawing>
          <wp:inline xmlns:a="http://schemas.openxmlformats.org/drawingml/2006/main" xmlns:pic="http://schemas.openxmlformats.org/drawingml/2006/picture">
            <wp:extent cx="4896000" cy="2754000"/>
            <wp:docPr id="3" name="Picture 3" descr="Comparison: today, a stack of disconnected tools, agency retainers, payment-link drop-off and checkout without local payment options; with FluxMuse, one AI marketing team, plans from R499 a month with a 14-day free trial, catalog and checkout inside WhatsApp, and five local payment rails."/>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896000" cy="2754000"/>
                    </a:xfrm>
                    <a:prstGeom prst="rect"/>
                  </pic:spPr>
                </pic:pic>
              </a:graphicData>
            </a:graphic>
          </wp:inline>
        </w:drawing>
      </w:r>
    </w:p>
    <w:p>
      <w:pPr>
        <w:pStyle w:val="Caption"/>
        <w:jc w:val="center"/>
      </w:pPr>
      <w:r>
        <w:rPr>
          <w:b/>
        </w:rPr>
        <w:t>Figure 2.</w:t>
      </w:r>
      <w:r>
        <w:rPr/>
        <w:t xml:space="preserve"> The problem we solve, and what replaces it.</w:t>
      </w:r>
    </w:p>
    <w:p>
      <w:pPr>
        <w:pStyle w:val="Heading2"/>
      </w:pPr>
      <w:r>
        <w:rPr/>
        <w:t>Why now</w:t>
      </w:r>
    </w:p>
    <w:p>
      <w:pPr>
        <w:pStyle w:val="ListBullet"/>
      </w:pPr>
      <w:r>
        <w:rPr>
          <w:b/>
        </w:rPr>
        <w:t>The channel is settled.</w:t>
      </w:r>
      <w:r>
        <w:rPr/>
        <w:t xml:space="preserve"> WhatsApp is where African SMBs already sell, and the WhatsApp Cloud API makes catalog and checkout inside the chat possible for small businesses, not only enterprises.</w:t>
      </w:r>
    </w:p>
    <w:p>
      <w:pPr>
        <w:pStyle w:val="ListBullet"/>
      </w:pPr>
      <w:r>
        <w:rPr>
          <w:b/>
        </w:rPr>
        <w:t>Payments have caught up.</w:t>
      </w:r>
      <w:r>
        <w:rPr/>
        <w:t xml:space="preserve"> Mobile money and instant EFT now reach across the continent through aggregators, so a platform can collect and pay out in 23 countries without 23 integrations.</w:t>
      </w:r>
    </w:p>
    <w:p>
      <w:pPr>
        <w:pStyle w:val="ListBullet"/>
      </w:pPr>
      <w:r>
        <w:rPr>
          <w:b/>
        </w:rPr>
        <w:t>AI has made the marketing team affordable.</w:t>
      </w:r>
      <w:r>
        <w:rPr/>
        <w:t xml:space="preserve"> What used to need a strategist, a copywriter, a designer and an analyst can now run as agents at a price a R499-a-month business can pay.</w:t>
      </w:r>
    </w:p>
    <w:p>
      <w:pPr>
        <w:pStyle w:val="ListBullet"/>
      </w:pPr>
      <w:r>
        <w:rPr>
          <w:b/>
        </w:rPr>
        <w:t>The gate is verification, not code.</w:t>
      </w:r>
      <w:r>
        <w:rPr/>
        <w:t xml:space="preserve"> Meta Tech Provider verification and payment-rail contracts take months and are already held.</w:t>
      </w:r>
    </w:p>
    <w:p>
      <w:pPr>
        <w:pStyle w:val="Heading2"/>
      </w:pPr>
      <w:r>
        <w:rPr/>
        <w:t>The gap in the market</w:t>
      </w:r>
    </w:p>
    <w:p>
      <w:r>
        <w:rPr/>
        <w:t xml:space="preserve">Global social-media tools publish but don't sell, and don't support local payment methods. WhatsApp chatbot vendors handle conversations but don't do marketing or content. E-commerce platforms sell on a website, not inside a chat. Local agencies deliver services at retainer prices that most of this market cannot pay. </w:t>
      </w:r>
      <w:r>
        <w:rPr>
          <w:b/>
        </w:rPr>
        <w:t>Nobody covers plan → create → publish → sell → get paid → learn in one product, priced in local currency.</w:t>
      </w:r>
      <w:r>
        <w:rPr/>
        <w:t xml:space="preserve"> Section 7 sets this out in detail.</w:t>
      </w:r>
    </w:p>
    <w:p>
      <w:pPr>
        <w:pStyle w:val="Heading1"/>
        <w:pageBreakBefore/>
      </w:pPr>
      <w:r>
        <w:rPr/>
        <w:t>4. Solution: products and services</w:t>
      </w:r>
    </w:p>
    <w:p>
      <w:r>
        <w:rPr/>
        <w:t>FluxMuse is one platform that runs a marketing loop and closes the sale in the same place.</w:t>
      </w:r>
    </w:p>
    <w:p>
      <w:pPr>
        <w:keepNext/>
        <w:spacing w:before="120" w:after="0"/>
        <w:jc w:val="center"/>
      </w:pPr>
      <w:r>
        <w:drawing>
          <wp:inline xmlns:a="http://schemas.openxmlformats.org/drawingml/2006/main" xmlns:pic="http://schemas.openxmlformats.org/drawingml/2006/picture">
            <wp:extent cx="4896000" cy="2754000"/>
            <wp:docPr id="4" name="Picture 4" descr="Circular diagram: Strategist plans goals, channel mix, budget and ROI forecast; Creator writes multilingual copy and images; Publisher schedules to social, WhatsApp, email, SMS and USSD; WhatsApp commerce sells with catalog, cart and local payments; Analyst learns from orders and data and feeds insights back to the Strategist."/>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896000" cy="2754000"/>
                    </a:xfrm>
                    <a:prstGeom prst="rect"/>
                  </pic:spPr>
                </pic:pic>
              </a:graphicData>
            </a:graphic>
          </wp:inline>
        </w:drawing>
      </w:r>
    </w:p>
    <w:p>
      <w:pPr>
        <w:pStyle w:val="Caption"/>
        <w:jc w:val="center"/>
      </w:pPr>
      <w:r>
        <w:rPr>
          <w:b/>
        </w:rPr>
        <w:t>Figure 3.</w:t>
      </w:r>
      <w:r>
        <w:rPr/>
        <w:t xml:space="preserve"> The loop: Plan, Create, Publish, Sell, Learn, run by the four core agents.</w:t>
      </w:r>
    </w:p>
    <w:p>
      <w:pPr>
        <w:pStyle w:val="Heading2"/>
      </w:pPr>
      <w:r>
        <w:rPr/>
        <w:t>The AI marketing team</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e AI marketing team"/>
      </w:tblPr>
      <w:tblGrid>
        <w:gridCol w:w="2381"/>
        <w:gridCol w:w="7256"/>
      </w:tblGrid>
      <w:tr>
        <w:trPr>
          <w:cantSplit/>
          <w:tblHeader/>
        </w:trPr>
        <w:tc>
          <w:tcPr>
            <w:tcW w:type="dxa" w:w="2381"/>
            <w:shd w:val="clear" w:color="auto" w:fill="FF6A00"/>
            <w:vAlign w:val="center"/>
          </w:tcPr>
          <w:p>
            <w:pPr>
              <w:keepNext/>
              <w:spacing w:after="20" w:line="252" w:lineRule="auto"/>
            </w:pPr>
            <w:r>
              <w:rPr>
                <w:rFonts w:ascii="Poppins" w:hAnsi="Poppins" w:cs="Poppins" w:eastAsia="Poppins"/>
                <w:b/>
                <w:color w:val="20242B"/>
                <w:sz w:val="19"/>
              </w:rPr>
              <w:t>Agent</w:t>
            </w:r>
          </w:p>
        </w:tc>
        <w:tc>
          <w:tcPr>
            <w:tcW w:type="dxa" w:w="7257"/>
            <w:shd w:val="clear" w:color="auto" w:fill="FF6A00"/>
            <w:vAlign w:val="center"/>
          </w:tcPr>
          <w:p>
            <w:pPr>
              <w:keepNext/>
              <w:spacing w:after="20" w:line="252" w:lineRule="auto"/>
            </w:pPr>
            <w:r>
              <w:rPr>
                <w:rFonts w:ascii="Poppins" w:hAnsi="Poppins" w:cs="Poppins" w:eastAsia="Poppins"/>
                <w:b/>
                <w:color w:val="20242B"/>
                <w:sz w:val="19"/>
              </w:rPr>
              <w:t>What it does</w:t>
            </w:r>
          </w:p>
        </w:tc>
      </w:tr>
      <w:tr>
        <w:trPr>
          <w:cantSplit/>
        </w:trPr>
        <w:tc>
          <w:tcPr>
            <w:tcW w:type="dxa" w:w="2381"/>
            <w:vAlign w:val="center"/>
          </w:tcPr>
          <w:p>
            <w:pPr>
              <w:spacing w:after="20" w:line="252" w:lineRule="auto"/>
            </w:pPr>
            <w:r>
              <w:rPr>
                <w:b/>
                <w:sz w:val="19"/>
              </w:rPr>
              <w:t>Strategist</w:t>
            </w:r>
          </w:p>
        </w:tc>
        <w:tc>
          <w:tcPr>
            <w:tcW w:type="dxa" w:w="7257"/>
            <w:vAlign w:val="center"/>
          </w:tcPr>
          <w:p>
            <w:pPr>
              <w:spacing w:after="20" w:line="252" w:lineRule="auto"/>
            </w:pPr>
            <w:r>
              <w:rPr>
                <w:sz w:val="19"/>
              </w:rPr>
              <w:t>Goal decomposition, budget allocation, ROI forecasting</w:t>
            </w:r>
          </w:p>
        </w:tc>
      </w:tr>
      <w:tr>
        <w:trPr>
          <w:cantSplit/>
        </w:trPr>
        <w:tc>
          <w:tcPr>
            <w:tcW w:type="dxa" w:w="2381"/>
            <w:shd w:val="clear" w:color="auto" w:fill="FAFAFB"/>
            <w:vAlign w:val="center"/>
          </w:tcPr>
          <w:p>
            <w:pPr>
              <w:spacing w:after="20" w:line="252" w:lineRule="auto"/>
            </w:pPr>
            <w:r>
              <w:rPr>
                <w:b/>
                <w:sz w:val="19"/>
              </w:rPr>
              <w:t>Creator</w:t>
            </w:r>
          </w:p>
        </w:tc>
        <w:tc>
          <w:tcPr>
            <w:tcW w:type="dxa" w:w="7257"/>
            <w:shd w:val="clear" w:color="auto" w:fill="FAFAFB"/>
            <w:vAlign w:val="center"/>
          </w:tcPr>
          <w:p>
            <w:pPr>
              <w:spacing w:after="20" w:line="252" w:lineRule="auto"/>
            </w:pPr>
            <w:r>
              <w:rPr>
                <w:sz w:val="19"/>
              </w:rPr>
              <w:t>Multilingual copy in isiZulu, Pidgin, Swahili, Afrikaans, English and more; image generation</w:t>
            </w:r>
          </w:p>
        </w:tc>
      </w:tr>
      <w:tr>
        <w:trPr>
          <w:cantSplit/>
        </w:trPr>
        <w:tc>
          <w:tcPr>
            <w:tcW w:type="dxa" w:w="2381"/>
            <w:vAlign w:val="center"/>
          </w:tcPr>
          <w:p>
            <w:pPr>
              <w:spacing w:after="20" w:line="252" w:lineRule="auto"/>
            </w:pPr>
            <w:r>
              <w:rPr>
                <w:b/>
                <w:sz w:val="19"/>
              </w:rPr>
              <w:t>Publisher</w:t>
            </w:r>
          </w:p>
        </w:tc>
        <w:tc>
          <w:tcPr>
            <w:tcW w:type="dxa" w:w="7257"/>
            <w:vAlign w:val="center"/>
          </w:tcPr>
          <w:p>
            <w:pPr>
              <w:spacing w:after="20" w:line="252" w:lineRule="auto"/>
            </w:pPr>
            <w:r>
              <w:rPr>
                <w:sz w:val="19"/>
              </w:rPr>
              <w:t>Scheduling, WhatsApp catalog and checkout flows</w:t>
            </w:r>
          </w:p>
        </w:tc>
      </w:tr>
      <w:tr>
        <w:trPr>
          <w:cantSplit/>
        </w:trPr>
        <w:tc>
          <w:tcPr>
            <w:tcW w:type="dxa" w:w="2381"/>
            <w:shd w:val="clear" w:color="auto" w:fill="FAFAFB"/>
            <w:vAlign w:val="center"/>
          </w:tcPr>
          <w:p>
            <w:pPr>
              <w:spacing w:after="20" w:line="252" w:lineRule="auto"/>
            </w:pPr>
            <w:r>
              <w:rPr>
                <w:b/>
                <w:sz w:val="19"/>
              </w:rPr>
              <w:t>Analyst</w:t>
            </w:r>
          </w:p>
        </w:tc>
        <w:tc>
          <w:tcPr>
            <w:tcW w:type="dxa" w:w="7257"/>
            <w:shd w:val="clear" w:color="auto" w:fill="FAFAFB"/>
            <w:vAlign w:val="center"/>
          </w:tcPr>
          <w:p>
            <w:pPr>
              <w:spacing w:after="20" w:line="252" w:lineRule="auto"/>
            </w:pPr>
            <w:r>
              <w:rPr>
                <w:sz w:val="19"/>
              </w:rPr>
              <w:t>RAG memory, cohort analysis, auto-optimisation</w:t>
            </w:r>
          </w:p>
        </w:tc>
      </w:tr>
      <w:tr>
        <w:trPr>
          <w:cantSplit/>
        </w:trPr>
        <w:tc>
          <w:tcPr>
            <w:tcW w:type="dxa" w:w="2381"/>
            <w:vAlign w:val="center"/>
          </w:tcPr>
          <w:p>
            <w:pPr>
              <w:spacing w:after="20" w:line="252" w:lineRule="auto"/>
            </w:pPr>
            <w:r>
              <w:rPr>
                <w:b/>
                <w:sz w:val="19"/>
              </w:rPr>
              <w:t>23 specialist Flux agents</w:t>
            </w:r>
          </w:p>
        </w:tc>
        <w:tc>
          <w:tcPr>
            <w:tcW w:type="dxa" w:w="7257"/>
            <w:vAlign w:val="center"/>
          </w:tcPr>
          <w:p>
            <w:pPr>
              <w:spacing w:after="20" w:line="252" w:lineRule="auto"/>
            </w:pPr>
            <w:r>
              <w:rPr>
                <w:sz w:val="19"/>
              </w:rPr>
              <w:t>Content, Create, Design, Ads, Growth, Nurture, Sales, Support, Commerce, Community, Insights, Advisor, Finance, Compliance, Ops, DevOps, Integrate, Onboarding, Partner, Product, Discover, Personal and Agentic, plus an AI Agent Marketplace</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4896000" cy="2754000"/>
            <wp:docPr id="5" name="Picture 5" descr="Cards for Strategist, Creator, Publisher and Analyst with their responsibilities, and the 23 specialist Flux agents grouped into marketing and content, sales and service, and business and operation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896000" cy="2754000"/>
                    </a:xfrm>
                    <a:prstGeom prst="rect"/>
                  </pic:spPr>
                </pic:pic>
              </a:graphicData>
            </a:graphic>
          </wp:inline>
        </w:drawing>
      </w:r>
    </w:p>
    <w:p>
      <w:pPr>
        <w:pStyle w:val="Caption"/>
        <w:jc w:val="center"/>
      </w:pPr>
      <w:r>
        <w:rPr>
          <w:b/>
        </w:rPr>
        <w:t>Figure 4.</w:t>
      </w:r>
      <w:r>
        <w:rPr/>
        <w:t xml:space="preserve"> Four core agents, backed by 23 specialists and an agent marketplace.</w:t>
      </w:r>
    </w:p>
    <w:p>
      <w:pPr>
        <w:pStyle w:val="Heading2"/>
      </w:pPr>
      <w:r>
        <w:rPr/>
        <w:t>WhatsApp commerce</w:t>
      </w:r>
    </w:p>
    <w:p>
      <w:r>
        <w:rPr/>
        <w:t>The differentiator: the customer never leaves the conversation. Discovery through an ad, post, QR code or wa.me link; a chatbot or WhatsApp Flow replies; the buyer browses the catalog, fills a cart and pays through a local rail; the order is confirmed with status updates; loyalty and retargeting bring them back. Abandoned carts trigger an automatic recovery message.</w:t>
      </w:r>
    </w:p>
    <w:p>
      <w:pPr>
        <w:keepNext/>
        <w:spacing w:before="120" w:after="0"/>
        <w:jc w:val="center"/>
      </w:pPr>
      <w:r>
        <w:drawing>
          <wp:inline xmlns:a="http://schemas.openxmlformats.org/drawingml/2006/main" xmlns:pic="http://schemas.openxmlformats.org/drawingml/2006/picture">
            <wp:extent cx="4896000" cy="2754000"/>
            <wp:docPr id="6" name="Picture 6" descr="Flow: Discover, Chat, Catalog, Cart, Pay through Yoco card, Ozow EFT, Paystack, pawaPay mobile money and Fincra, Confirmed, Loyalty, with abandoned-cart recovery and retargeting loops."/>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896000" cy="2754000"/>
                    </a:xfrm>
                    <a:prstGeom prst="rect"/>
                  </pic:spPr>
                </pic:pic>
              </a:graphicData>
            </a:graphic>
          </wp:inline>
        </w:drawing>
      </w:r>
    </w:p>
    <w:p>
      <w:pPr>
        <w:pStyle w:val="Caption"/>
        <w:jc w:val="center"/>
      </w:pPr>
      <w:r>
        <w:rPr>
          <w:b/>
        </w:rPr>
        <w:t>Figure 5.</w:t>
      </w:r>
      <w:r>
        <w:rPr/>
        <w:t xml:space="preserve"> From first tap to repeat order, inside WhatsApp.</w:t>
      </w:r>
    </w:p>
    <w:p>
      <w:pPr>
        <w:pStyle w:val="Heading2"/>
      </w:pPr>
      <w:r>
        <w:rPr/>
        <w:t>The platform</w:t>
      </w:r>
    </w:p>
    <w:p>
      <w:pPr>
        <w:keepNext/>
        <w:spacing w:before="120" w:after="0"/>
        <w:jc w:val="center"/>
      </w:pPr>
      <w:r>
        <w:drawing>
          <wp:inline xmlns:a="http://schemas.openxmlformats.org/drawingml/2006/main" xmlns:pic="http://schemas.openxmlformats.org/drawingml/2006/picture">
            <wp:extent cx="4896000" cy="2754000"/>
            <wp:docPr id="7" name="Picture 7" descr="Six-layer stack: channels including WhatsApp Cloud API, Facebook Pages, Instagram in Meta review, Messenger, email, SMS, USSD, website chat widget and link-in-bio; the AI workforce; commerce and payments with five live rails; growth and CRM; integrations; and trust."/>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896000" cy="2754000"/>
                    </a:xfrm>
                    <a:prstGeom prst="rect"/>
                  </pic:spPr>
                </pic:pic>
              </a:graphicData>
            </a:graphic>
          </wp:inline>
        </w:drawing>
      </w:r>
    </w:p>
    <w:p>
      <w:pPr>
        <w:pStyle w:val="Caption"/>
        <w:jc w:val="center"/>
      </w:pPr>
      <w:r>
        <w:rPr>
          <w:b/>
        </w:rPr>
        <w:t>Figure 6.</w:t>
      </w:r>
      <w:r>
        <w:rPr/>
        <w:t xml:space="preserve"> One platform, from channel to checkout. Instagram is marked as in Meta review, not live.</w:t>
      </w:r>
    </w:p>
    <w:p>
      <w:pPr>
        <w:pStyle w:val="Heading2"/>
      </w:pPr>
      <w:r>
        <w:rPr/>
        <w:t>What is live, in review, and on the roadmap</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 is live, in review and on the roadmap"/>
      </w:tblPr>
      <w:tblGrid>
        <w:gridCol w:w="6236"/>
        <w:gridCol w:w="3401"/>
      </w:tblGrid>
      <w:tr>
        <w:trPr>
          <w:cantSplit/>
          <w:tblHeader/>
        </w:trPr>
        <w:tc>
          <w:tcPr>
            <w:tcW w:type="dxa" w:w="6236"/>
            <w:shd w:val="clear" w:color="auto" w:fill="FF6A00"/>
            <w:vAlign w:val="center"/>
          </w:tcPr>
          <w:p>
            <w:pPr>
              <w:keepNext/>
              <w:spacing w:after="20" w:line="252" w:lineRule="auto"/>
            </w:pPr>
            <w:r>
              <w:rPr>
                <w:rFonts w:ascii="Poppins" w:hAnsi="Poppins" w:cs="Poppins" w:eastAsia="Poppins"/>
                <w:b/>
                <w:color w:val="20242B"/>
                <w:sz w:val="18"/>
              </w:rPr>
              <w:t>Capability</w:t>
            </w:r>
          </w:p>
        </w:tc>
        <w:tc>
          <w:tcPr>
            <w:tcW w:type="dxa" w:w="3402"/>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6236"/>
            <w:vAlign w:val="center"/>
          </w:tcPr>
          <w:p>
            <w:pPr>
              <w:spacing w:after="20" w:line="252" w:lineRule="auto"/>
            </w:pPr>
            <w:r>
              <w:rPr>
                <w:b/>
                <w:sz w:val="18"/>
              </w:rPr>
              <w:t>AI agents, content, campaigns, calendar, templates</w:t>
            </w:r>
          </w:p>
        </w:tc>
        <w:tc>
          <w:tcPr>
            <w:tcW w:type="dxa" w:w="3402"/>
            <w:vAlign w:val="center"/>
          </w:tcPr>
          <w:p>
            <w:pPr>
              <w:spacing w:after="20" w:line="252" w:lineRule="auto"/>
            </w:pPr>
            <w:r>
              <w:rPr>
                <w:sz w:val="18"/>
              </w:rPr>
              <w:t>Live</w:t>
            </w:r>
          </w:p>
        </w:tc>
      </w:tr>
      <w:tr>
        <w:trPr>
          <w:cantSplit/>
        </w:trPr>
        <w:tc>
          <w:tcPr>
            <w:tcW w:type="dxa" w:w="6236"/>
            <w:shd w:val="clear" w:color="auto" w:fill="FAFAFB"/>
            <w:vAlign w:val="center"/>
          </w:tcPr>
          <w:p>
            <w:pPr>
              <w:spacing w:after="20" w:line="252" w:lineRule="auto"/>
            </w:pPr>
            <w:r>
              <w:rPr>
                <w:b/>
                <w:sz w:val="18"/>
              </w:rPr>
              <w:t>WhatsApp Cloud API: contacts, templates, Flows, chatbots, catalog, cart checkout, orders, abandoned-cart recovery</w:t>
            </w:r>
          </w:p>
        </w:tc>
        <w:tc>
          <w:tcPr>
            <w:tcW w:type="dxa" w:w="3402"/>
            <w:shd w:val="clear" w:color="auto" w:fill="FAFAFB"/>
            <w:vAlign w:val="center"/>
          </w:tcPr>
          <w:p>
            <w:pPr>
              <w:spacing w:after="20" w:line="252" w:lineRule="auto"/>
            </w:pPr>
            <w:r>
              <w:rPr>
                <w:sz w:val="18"/>
              </w:rPr>
              <w:t>Live</w:t>
            </w:r>
          </w:p>
        </w:tc>
      </w:tr>
      <w:tr>
        <w:trPr>
          <w:cantSplit/>
        </w:trPr>
        <w:tc>
          <w:tcPr>
            <w:tcW w:type="dxa" w:w="6236"/>
            <w:vAlign w:val="center"/>
          </w:tcPr>
          <w:p>
            <w:pPr>
              <w:spacing w:after="20" w:line="252" w:lineRule="auto"/>
            </w:pPr>
            <w:r>
              <w:rPr>
                <w:b/>
                <w:sz w:val="18"/>
              </w:rPr>
              <w:t>Facebook Pages publishing and Messenger bot</w:t>
            </w:r>
          </w:p>
        </w:tc>
        <w:tc>
          <w:tcPr>
            <w:tcW w:type="dxa" w:w="3402"/>
            <w:vAlign w:val="center"/>
          </w:tcPr>
          <w:p>
            <w:pPr>
              <w:spacing w:after="20" w:line="252" w:lineRule="auto"/>
            </w:pPr>
            <w:r>
              <w:rPr>
                <w:sz w:val="18"/>
              </w:rPr>
              <w:t>Live</w:t>
            </w:r>
          </w:p>
        </w:tc>
      </w:tr>
      <w:tr>
        <w:trPr>
          <w:cantSplit/>
        </w:trPr>
        <w:tc>
          <w:tcPr>
            <w:tcW w:type="dxa" w:w="6236"/>
            <w:shd w:val="clear" w:color="auto" w:fill="FAFAFB"/>
            <w:vAlign w:val="center"/>
          </w:tcPr>
          <w:p>
            <w:pPr>
              <w:spacing w:after="20" w:line="252" w:lineRule="auto"/>
            </w:pPr>
            <w:r>
              <w:rPr>
                <w:b/>
                <w:sz w:val="18"/>
              </w:rPr>
              <w:t>Email marketing, SMS broadcasts, USSD handler, landing pages, link-in-bio, A/B testing</w:t>
            </w:r>
          </w:p>
        </w:tc>
        <w:tc>
          <w:tcPr>
            <w:tcW w:type="dxa" w:w="3402"/>
            <w:shd w:val="clear" w:color="auto" w:fill="FAFAFB"/>
            <w:vAlign w:val="center"/>
          </w:tcPr>
          <w:p>
            <w:pPr>
              <w:spacing w:after="20" w:line="252" w:lineRule="auto"/>
            </w:pPr>
            <w:r>
              <w:rPr>
                <w:sz w:val="18"/>
              </w:rPr>
              <w:t>Live</w:t>
            </w:r>
          </w:p>
        </w:tc>
      </w:tr>
      <w:tr>
        <w:trPr>
          <w:cantSplit/>
        </w:trPr>
        <w:tc>
          <w:tcPr>
            <w:tcW w:type="dxa" w:w="6236"/>
            <w:vAlign w:val="center"/>
          </w:tcPr>
          <w:p>
            <w:pPr>
              <w:spacing w:after="20" w:line="252" w:lineRule="auto"/>
            </w:pPr>
            <w:r>
              <w:rPr>
                <w:b/>
                <w:sz w:val="18"/>
              </w:rPr>
              <w:t>Growth and CRM: lead scoring, deals, segmentation, loyalty, churn risk, sentiment, custom reports</w:t>
            </w:r>
          </w:p>
        </w:tc>
        <w:tc>
          <w:tcPr>
            <w:tcW w:type="dxa" w:w="3402"/>
            <w:vAlign w:val="center"/>
          </w:tcPr>
          <w:p>
            <w:pPr>
              <w:spacing w:after="20" w:line="252" w:lineRule="auto"/>
            </w:pPr>
            <w:r>
              <w:rPr>
                <w:sz w:val="18"/>
              </w:rPr>
              <w:t>Live</w:t>
            </w:r>
          </w:p>
        </w:tc>
      </w:tr>
      <w:tr>
        <w:trPr>
          <w:cantSplit/>
        </w:trPr>
        <w:tc>
          <w:tcPr>
            <w:tcW w:type="dxa" w:w="6236"/>
            <w:shd w:val="clear" w:color="auto" w:fill="FAFAFB"/>
            <w:vAlign w:val="center"/>
          </w:tcPr>
          <w:p>
            <w:pPr>
              <w:spacing w:after="20" w:line="252" w:lineRule="auto"/>
            </w:pPr>
            <w:r>
              <w:rPr>
                <w:b/>
                <w:sz w:val="18"/>
              </w:rPr>
              <w:t>Automation and integrations: workflow builder, Zapier, public API, Shopify, WooCommerce, Takealot, HubSpot, accounting sync, Slack</w:t>
            </w:r>
          </w:p>
        </w:tc>
        <w:tc>
          <w:tcPr>
            <w:tcW w:type="dxa" w:w="3402"/>
            <w:shd w:val="clear" w:color="auto" w:fill="FAFAFB"/>
            <w:vAlign w:val="center"/>
          </w:tcPr>
          <w:p>
            <w:pPr>
              <w:spacing w:after="20" w:line="252" w:lineRule="auto"/>
            </w:pPr>
            <w:r>
              <w:rPr>
                <w:sz w:val="18"/>
              </w:rPr>
              <w:t>Live</w:t>
            </w:r>
          </w:p>
        </w:tc>
      </w:tr>
      <w:tr>
        <w:trPr>
          <w:cantSplit/>
        </w:trPr>
        <w:tc>
          <w:tcPr>
            <w:tcW w:type="dxa" w:w="6236"/>
            <w:vAlign w:val="center"/>
          </w:tcPr>
          <w:p>
            <w:pPr>
              <w:spacing w:after="20" w:line="252" w:lineRule="auto"/>
            </w:pPr>
            <w:r>
              <w:rPr>
                <w:b/>
                <w:sz w:val="18"/>
              </w:rPr>
              <w:t>Agency white-label, sub-accounts, reseller billing, partner directory</w:t>
            </w:r>
          </w:p>
        </w:tc>
        <w:tc>
          <w:tcPr>
            <w:tcW w:type="dxa" w:w="3402"/>
            <w:vAlign w:val="center"/>
          </w:tcPr>
          <w:p>
            <w:pPr>
              <w:spacing w:after="20" w:line="252" w:lineRule="auto"/>
            </w:pPr>
            <w:r>
              <w:rPr>
                <w:sz w:val="18"/>
              </w:rPr>
              <w:t>Live</w:t>
            </w:r>
          </w:p>
        </w:tc>
      </w:tr>
      <w:tr>
        <w:trPr>
          <w:cantSplit/>
        </w:trPr>
        <w:tc>
          <w:tcPr>
            <w:tcW w:type="dxa" w:w="6236"/>
            <w:shd w:val="clear" w:color="auto" w:fill="FAFAFB"/>
            <w:vAlign w:val="center"/>
          </w:tcPr>
          <w:p>
            <w:pPr>
              <w:spacing w:after="20" w:line="252" w:lineRule="auto"/>
            </w:pPr>
            <w:r>
              <w:rPr>
                <w:b/>
                <w:sz w:val="18"/>
              </w:rPr>
              <w:t>Payments: Yoco, Ozow, Paystack live in product; pawaPay and Fincra live September 2026</w:t>
            </w:r>
          </w:p>
        </w:tc>
        <w:tc>
          <w:tcPr>
            <w:tcW w:type="dxa" w:w="3402"/>
            <w:shd w:val="clear" w:color="auto" w:fill="FAFAFB"/>
            <w:vAlign w:val="center"/>
          </w:tcPr>
          <w:p>
            <w:pPr>
              <w:spacing w:after="20" w:line="252" w:lineRule="auto"/>
            </w:pPr>
            <w:r>
              <w:rPr>
                <w:sz w:val="18"/>
              </w:rPr>
              <w:t>Live September 2026</w:t>
            </w:r>
          </w:p>
        </w:tc>
      </w:tr>
      <w:tr>
        <w:trPr>
          <w:cantSplit/>
        </w:trPr>
        <w:tc>
          <w:tcPr>
            <w:tcW w:type="dxa" w:w="6236"/>
            <w:vAlign w:val="center"/>
          </w:tcPr>
          <w:p>
            <w:pPr>
              <w:spacing w:after="20" w:line="252" w:lineRule="auto"/>
            </w:pPr>
            <w:r>
              <w:rPr>
                <w:b/>
                <w:sz w:val="18"/>
              </w:rPr>
              <w:t>Instagram publishing, comments and DMs; Facebook Pages posting and engagement insights; business management</w:t>
            </w:r>
          </w:p>
        </w:tc>
        <w:tc>
          <w:tcPr>
            <w:tcW w:type="dxa" w:w="3402"/>
            <w:vAlign w:val="center"/>
          </w:tcPr>
          <w:p>
            <w:pPr>
              <w:spacing w:after="20" w:line="252" w:lineRule="auto"/>
            </w:pPr>
            <w:r>
              <w:rPr>
                <w:sz w:val="18"/>
              </w:rPr>
              <w:t>In Meta App Review, not live</w:t>
            </w:r>
          </w:p>
        </w:tc>
      </w:tr>
      <w:tr>
        <w:trPr>
          <w:cantSplit/>
        </w:trPr>
        <w:tc>
          <w:tcPr>
            <w:tcW w:type="dxa" w:w="6236"/>
            <w:shd w:val="clear" w:color="auto" w:fill="FAFAFB"/>
            <w:vAlign w:val="center"/>
          </w:tcPr>
          <w:p>
            <w:pPr>
              <w:spacing w:after="20" w:line="252" w:lineRule="auto"/>
            </w:pPr>
            <w:r>
              <w:rPr>
                <w:b/>
                <w:sz w:val="18"/>
              </w:rPr>
              <w:t>Social adapters: Instagram Login, Threads, LinkedIn, X, TikTok, YouTube, Pinterest</w:t>
            </w:r>
          </w:p>
        </w:tc>
        <w:tc>
          <w:tcPr>
            <w:tcW w:type="dxa" w:w="3402"/>
            <w:shd w:val="clear" w:color="auto" w:fill="FAFAFB"/>
            <w:vAlign w:val="center"/>
          </w:tcPr>
          <w:p>
            <w:pPr>
              <w:spacing w:after="20" w:line="252" w:lineRule="auto"/>
            </w:pPr>
            <w:r>
              <w:rPr>
                <w:sz w:val="18"/>
              </w:rPr>
              <w:t>Roadmap stage 2</w:t>
            </w:r>
          </w:p>
        </w:tc>
      </w:tr>
      <w:tr>
        <w:trPr>
          <w:cantSplit/>
        </w:trPr>
        <w:tc>
          <w:tcPr>
            <w:tcW w:type="dxa" w:w="6236"/>
            <w:vAlign w:val="center"/>
          </w:tcPr>
          <w:p>
            <w:pPr>
              <w:spacing w:after="20" w:line="252" w:lineRule="auto"/>
            </w:pPr>
            <w:r>
              <w:rPr>
                <w:b/>
                <w:sz w:val="18"/>
              </w:rPr>
              <w:t>Further business-app integrations: commerce, CRM, accounting, email and SMS providers</w:t>
            </w:r>
          </w:p>
        </w:tc>
        <w:tc>
          <w:tcPr>
            <w:tcW w:type="dxa" w:w="3402"/>
            <w:vAlign w:val="center"/>
          </w:tcPr>
          <w:p>
            <w:pPr>
              <w:spacing w:after="20" w:line="252" w:lineRule="auto"/>
            </w:pPr>
            <w:r>
              <w:rPr>
                <w:sz w:val="18"/>
              </w:rPr>
              <w:t>Roadmap stage 3</w:t>
            </w:r>
          </w:p>
        </w:tc>
      </w:tr>
      <w:tr>
        <w:trPr>
          <w:cantSplit/>
        </w:trPr>
        <w:tc>
          <w:tcPr>
            <w:tcW w:type="dxa" w:w="6236"/>
            <w:shd w:val="clear" w:color="auto" w:fill="FAFAFB"/>
            <w:vAlign w:val="center"/>
          </w:tcPr>
          <w:p>
            <w:pPr>
              <w:spacing w:after="20" w:line="252" w:lineRule="auto"/>
            </w:pPr>
            <w:r>
              <w:rPr>
                <w:b/>
                <w:sz w:val="18"/>
              </w:rPr>
              <w:t>Flux_Partner programme: referral tracking, partner-managed workspaces</w:t>
            </w:r>
          </w:p>
        </w:tc>
        <w:tc>
          <w:tcPr>
            <w:tcW w:type="dxa" w:w="3402"/>
            <w:shd w:val="clear" w:color="auto" w:fill="FAFAFB"/>
            <w:vAlign w:val="center"/>
          </w:tcPr>
          <w:p>
            <w:pPr>
              <w:spacing w:after="20" w:line="252" w:lineRule="auto"/>
            </w:pPr>
            <w:r>
              <w:rPr>
                <w:sz w:val="18"/>
              </w:rPr>
              <w:t>Roadmap stage 4</w:t>
            </w:r>
          </w:p>
        </w:tc>
      </w:tr>
      <w:tr>
        <w:trPr>
          <w:cantSplit/>
        </w:trPr>
        <w:tc>
          <w:tcPr>
            <w:tcW w:type="dxa" w:w="6236"/>
            <w:vAlign w:val="center"/>
          </w:tcPr>
          <w:p>
            <w:pPr>
              <w:spacing w:after="20" w:line="252" w:lineRule="auto"/>
            </w:pPr>
            <w:r>
              <w:rPr>
                <w:b/>
                <w:sz w:val="18"/>
              </w:rPr>
              <w:t>Fixed local price points in the app for Nigeria, Kenya and Ghana, and a Ghana region</w:t>
            </w:r>
          </w:p>
        </w:tc>
        <w:tc>
          <w:tcPr>
            <w:tcW w:type="dxa" w:w="3402"/>
            <w:vAlign w:val="center"/>
          </w:tcPr>
          <w:p>
            <w:pPr>
              <w:spacing w:after="20" w:line="252" w:lineRule="auto"/>
            </w:pPr>
            <w:r>
              <w:rPr>
                <w:sz w:val="18"/>
              </w:rPr>
              <w:t>Roadmap: the app currently converts ZAR at the day's FX rate</w:t>
            </w:r>
          </w:p>
        </w:tc>
      </w:tr>
    </w:tbl>
    <w:p>
      <w:pPr>
        <w:spacing w:after="0" w:line="120" w:lineRule="exact"/>
      </w:pPr>
    </w:p>
    <w:p>
      <w:pPr>
        <w:spacing w:after="160"/>
      </w:pPr>
      <w:r>
        <w:rPr>
          <w:i/>
          <w:color w:val="5B6570"/>
          <w:sz w:val="18"/>
        </w:rPr>
        <w:t>Nothing in Meta App Review is sold, demonstrated or priced as live until Meta approves it.</w:t>
      </w:r>
    </w:p>
    <w:p>
      <w:pPr>
        <w:pStyle w:val="Heading2"/>
      </w:pPr>
      <w:r>
        <w:rPr/>
        <w:t>The agency and white-label offering</w:t>
      </w:r>
    </w:p>
    <w:p>
      <w:r>
        <w:rPr/>
        <w:t xml:space="preserve">Agencies and resellers join the Flux_Partner programme and buy the Agency tier at the partner wholesale price of </w:t>
      </w:r>
      <w:r>
        <w:rPr>
          <w:b/>
        </w:rPr>
        <w:t>R5,599 a month</w:t>
      </w:r>
      <w:r>
        <w:rPr/>
        <w:t xml:space="preserve"> (30% off the R7,999 list price): full white-label, 50 client sub-accounts, reseller billing, 80 channels, 500,000 AI credits and dedicated support. The partner sets its own retail price for its clients and keeps the difference.</w:t>
      </w:r>
    </w:p>
    <w:p>
      <w:pPr>
        <w:keepNext/>
        <w:spacing w:before="120" w:after="0"/>
        <w:jc w:val="center"/>
      </w:pPr>
      <w:r>
        <w:drawing>
          <wp:inline xmlns:a="http://schemas.openxmlformats.org/drawingml/2006/main" xmlns:pic="http://schemas.openxmlformats.org/drawingml/2006/picture">
            <wp:extent cx="4896000" cy="2754000"/>
            <wp:docPr id="8" name="Picture 8" descr="Diagram: FluxMuse bills the agency the partner price of R5,599 a month for full white-label, 50 client sub-accounts and reseller billing; the agency bills its clients at a retail price it sets. Illustrative example: 20 clients at R1,500 a month bills R30,000, less R5,599, leaves a gross spread of R24,401 a month before the partner's own costs."/>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896000" cy="2754000"/>
                    </a:xfrm>
                    <a:prstGeom prst="rect"/>
                  </pic:spPr>
                </pic:pic>
              </a:graphicData>
            </a:graphic>
          </wp:inline>
        </w:drawing>
      </w:r>
    </w:p>
    <w:p>
      <w:pPr>
        <w:pStyle w:val="Caption"/>
        <w:jc w:val="center"/>
      </w:pPr>
      <w:r>
        <w:rPr>
          <w:b/>
        </w:rPr>
        <w:t>Figure 7.</w:t>
      </w:r>
      <w:r>
        <w:rPr/>
        <w:t xml:space="preserve"> The partner model. The worked example is illustrative, not a forecast: margin depends on the retail price the partner sets and on its own costs.</w:t>
      </w:r>
    </w:p>
    <w:p>
      <w:pPr>
        <w:spacing w:after="160"/>
      </w:pPr>
      <w:r>
        <w:rPr>
          <w:i/>
          <w:color w:val="5B6570"/>
          <w:sz w:val="18"/>
        </w:rPr>
        <w:t>Illustrative only. FluxMuse does not quote a fixed partner margin percentage, because it depends on the partner's retail price and delivery costs.</w:t>
      </w:r>
    </w:p>
    <w:p>
      <w:pPr>
        <w:pStyle w:val="Heading2"/>
      </w:pPr>
      <w:r>
        <w:rPr/>
        <w:t>Trust and compliance</w:t>
      </w:r>
    </w:p>
    <w:p>
      <w:pPr>
        <w:pStyle w:val="ListBullet"/>
      </w:pPr>
      <w:r>
        <w:rPr/>
        <w:t xml:space="preserve">Built to be </w:t>
      </w:r>
      <w:r>
        <w:rPr>
          <w:b/>
        </w:rPr>
        <w:t>POPIA, NDPR and GDPR ready</w:t>
      </w:r>
      <w:r>
        <w:rPr/>
        <w:t>, with row-level security on every database table, encrypted access tokens, audit export, and data export and account deletion on request.</w:t>
      </w:r>
    </w:p>
    <w:p>
      <w:pPr>
        <w:pStyle w:val="ListBullet"/>
      </w:pPr>
      <w:r>
        <w:rPr>
          <w:b/>
        </w:rPr>
        <w:t>WhatsApp policy</w:t>
      </w:r>
      <w:r>
        <w:rPr/>
        <w:t>: broadcasts use Meta-approved message templates and go only to contacts who opted in; every broadcast carries a way to opt out.</w:t>
      </w:r>
    </w:p>
    <w:p>
      <w:pPr>
        <w:pStyle w:val="ListBullet"/>
      </w:pPr>
      <w:r>
        <w:rPr>
          <w:b/>
        </w:rPr>
        <w:t>Payments</w:t>
      </w:r>
      <w:r>
        <w:rPr/>
        <w:t xml:space="preserve"> are handled by licensed providers; FluxMuse does not hold customer funds.</w:t>
      </w:r>
    </w:p>
    <w:p>
      <w:pPr>
        <w:pStyle w:val="Heading1"/>
        <w:pageBreakBefore/>
      </w:pPr>
      <w:r>
        <w:rPr/>
        <w:t>5. Market analysis</w:t>
      </w:r>
    </w:p>
    <w:p>
      <w:r>
        <w:rPr/>
        <w:t xml:space="preserve">All market figures below are </w:t>
      </w:r>
      <w:r>
        <w:rPr>
          <w:b/>
        </w:rPr>
        <w:t>estimates</w:t>
      </w:r>
      <w:r>
        <w:rPr/>
        <w:t xml:space="preserve"> and are labelled with their source. They are planning inputs, not measured results, and should be re-verified before any external commitment (</w:t>
      </w:r>
      <w:r>
        <w:rPr>
          <w:b/>
          <w:color w:val="20242B"/>
          <w:shd w:val="clear" w:color="auto" w:fill="FFF1A8"/>
        </w:rPr>
        <w:t>[[VERIFY MARKET SIZING WITH A CURRENT SOURCE]]</w:t>
      </w:r>
      <w:r>
        <w:rPr/>
        <w:t>).</w:t>
      </w:r>
    </w:p>
    <w:p>
      <w:pPr>
        <w:pStyle w:val="Heading2"/>
      </w:pPr>
      <w:r>
        <w:rPr/>
        <w:t>Market size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AM, SAM and SOM (estimates)"/>
      </w:tblPr>
      <w:tblGrid>
        <w:gridCol w:w="3288"/>
        <w:gridCol w:w="2948"/>
        <w:gridCol w:w="3401"/>
      </w:tblGrid>
      <w:tr>
        <w:trPr>
          <w:cantSplit/>
          <w:tblHeader/>
        </w:trPr>
        <w:tc>
          <w:tcPr>
            <w:tcW w:type="dxa" w:w="3288"/>
            <w:shd w:val="clear" w:color="auto" w:fill="FF6A00"/>
            <w:vAlign w:val="center"/>
          </w:tcPr>
          <w:p>
            <w:pPr>
              <w:keepNext/>
              <w:spacing w:after="20" w:line="252" w:lineRule="auto"/>
            </w:pPr>
            <w:r>
              <w:rPr>
                <w:rFonts w:ascii="Poppins" w:hAnsi="Poppins" w:cs="Poppins" w:eastAsia="Poppins"/>
                <w:b/>
                <w:color w:val="20242B"/>
                <w:sz w:val="18"/>
              </w:rPr>
              <w:t>Measure</w:t>
            </w:r>
          </w:p>
        </w:tc>
        <w:tc>
          <w:tcPr>
            <w:tcW w:type="dxa" w:w="2948"/>
            <w:shd w:val="clear" w:color="auto" w:fill="FF6A00"/>
            <w:vAlign w:val="center"/>
          </w:tcPr>
          <w:p>
            <w:pPr>
              <w:keepNext/>
              <w:spacing w:after="20" w:line="252" w:lineRule="auto"/>
            </w:pPr>
            <w:r>
              <w:rPr>
                <w:rFonts w:ascii="Poppins" w:hAnsi="Poppins" w:cs="Poppins" w:eastAsia="Poppins"/>
                <w:b/>
                <w:color w:val="20242B"/>
                <w:sz w:val="18"/>
              </w:rPr>
              <w:t>Estimate</w:t>
            </w:r>
          </w:p>
        </w:tc>
        <w:tc>
          <w:tcPr>
            <w:tcW w:type="dxa" w:w="3402"/>
            <w:shd w:val="clear" w:color="auto" w:fill="FF6A00"/>
            <w:vAlign w:val="center"/>
          </w:tcPr>
          <w:p>
            <w:pPr>
              <w:keepNext/>
              <w:spacing w:after="20" w:line="252" w:lineRule="auto"/>
            </w:pPr>
            <w:r>
              <w:rPr>
                <w:rFonts w:ascii="Poppins" w:hAnsi="Poppins" w:cs="Poppins" w:eastAsia="Poppins"/>
                <w:b/>
                <w:color w:val="20242B"/>
                <w:sz w:val="18"/>
              </w:rPr>
              <w:t>Basis</w:t>
            </w:r>
          </w:p>
        </w:tc>
      </w:tr>
      <w:tr>
        <w:trPr>
          <w:cantSplit/>
        </w:trPr>
        <w:tc>
          <w:tcPr>
            <w:tcW w:type="dxa" w:w="3288"/>
            <w:vAlign w:val="center"/>
          </w:tcPr>
          <w:p>
            <w:pPr>
              <w:spacing w:after="20" w:line="252" w:lineRule="auto"/>
            </w:pPr>
            <w:r>
              <w:rPr>
                <w:b/>
                <w:sz w:val="18"/>
              </w:rPr>
              <w:t>TAM: MSMEs in Sub-Saharan Africa</w:t>
            </w:r>
          </w:p>
        </w:tc>
        <w:tc>
          <w:tcPr>
            <w:tcW w:type="dxa" w:w="2948"/>
            <w:vAlign w:val="center"/>
          </w:tcPr>
          <w:p>
            <w:pPr>
              <w:spacing w:after="20" w:line="252" w:lineRule="auto"/>
            </w:pPr>
            <w:r>
              <w:rPr>
                <w:sz w:val="18"/>
              </w:rPr>
              <w:t>44 million businesses</w:t>
            </w:r>
          </w:p>
        </w:tc>
        <w:tc>
          <w:tcPr>
            <w:tcW w:type="dxa" w:w="3402"/>
            <w:vAlign w:val="center"/>
          </w:tcPr>
          <w:p>
            <w:pPr>
              <w:spacing w:after="20" w:line="252" w:lineRule="auto"/>
            </w:pPr>
            <w:r>
              <w:rPr>
                <w:sz w:val="18"/>
              </w:rPr>
              <w:t>IFC / World Bank est.</w:t>
            </w:r>
          </w:p>
        </w:tc>
      </w:tr>
      <w:tr>
        <w:trPr>
          <w:cantSplit/>
        </w:trPr>
        <w:tc>
          <w:tcPr>
            <w:tcW w:type="dxa" w:w="3288"/>
            <w:shd w:val="clear" w:color="auto" w:fill="FAFAFB"/>
            <w:vAlign w:val="center"/>
          </w:tcPr>
          <w:p>
            <w:pPr>
              <w:spacing w:after="20" w:line="252" w:lineRule="auto"/>
            </w:pPr>
            <w:r>
              <w:rPr>
                <w:b/>
                <w:sz w:val="18"/>
              </w:rPr>
              <w:t>SAM: digitally active SMBs in the 23 rail-covered countries that sell via social or WhatsApp and can pay US$25 a month or more</w:t>
            </w:r>
          </w:p>
        </w:tc>
        <w:tc>
          <w:tcPr>
            <w:tcW w:type="dxa" w:w="2948"/>
            <w:shd w:val="clear" w:color="auto" w:fill="FAFAFB"/>
            <w:vAlign w:val="center"/>
          </w:tcPr>
          <w:p>
            <w:pPr>
              <w:spacing w:after="20" w:line="252" w:lineRule="auto"/>
            </w:pPr>
            <w:r>
              <w:rPr>
                <w:sz w:val="18"/>
              </w:rPr>
              <w:t>about 3.5 million businesses</w:t>
            </w:r>
          </w:p>
        </w:tc>
        <w:tc>
          <w:tcPr>
            <w:tcW w:type="dxa" w:w="3402"/>
            <w:shd w:val="clear" w:color="auto" w:fill="FAFAFB"/>
            <w:vAlign w:val="center"/>
          </w:tcPr>
          <w:p>
            <w:pPr>
              <w:spacing w:after="20" w:line="252" w:lineRule="auto"/>
            </w:pPr>
            <w:r>
              <w:rPr>
                <w:sz w:val="18"/>
              </w:rPr>
              <w:t>Planning estimate (facts file §5)</w:t>
            </w:r>
          </w:p>
        </w:tc>
      </w:tr>
      <w:tr>
        <w:trPr>
          <w:cantSplit/>
        </w:trPr>
        <w:tc>
          <w:tcPr>
            <w:tcW w:type="dxa" w:w="3288"/>
            <w:vAlign w:val="center"/>
          </w:tcPr>
          <w:p>
            <w:pPr>
              <w:spacing w:after="20" w:line="252" w:lineRule="auto"/>
            </w:pPr>
            <w:r>
              <w:rPr>
                <w:b/>
                <w:sz w:val="18"/>
              </w:rPr>
              <w:t>SAM value at US$25 a month</w:t>
            </w:r>
          </w:p>
        </w:tc>
        <w:tc>
          <w:tcPr>
            <w:tcW w:type="dxa" w:w="2948"/>
            <w:vAlign w:val="center"/>
          </w:tcPr>
          <w:p>
            <w:pPr>
              <w:spacing w:after="20" w:line="252" w:lineRule="auto"/>
            </w:pPr>
            <w:r>
              <w:rPr>
                <w:sz w:val="18"/>
              </w:rPr>
              <w:t>about R19.4 billion a year</w:t>
            </w:r>
          </w:p>
        </w:tc>
        <w:tc>
          <w:tcPr>
            <w:tcW w:type="dxa" w:w="3402"/>
            <w:vAlign w:val="center"/>
          </w:tcPr>
          <w:p>
            <w:pPr>
              <w:spacing w:after="20" w:line="252" w:lineRule="auto"/>
            </w:pPr>
            <w:r>
              <w:rPr>
                <w:sz w:val="18"/>
              </w:rPr>
              <w:t>SAM × US$25 × 12 at R18.50 = US$1</w:t>
            </w:r>
          </w:p>
        </w:tc>
      </w:tr>
      <w:tr>
        <w:trPr>
          <w:cantSplit/>
        </w:trPr>
        <w:tc>
          <w:tcPr>
            <w:tcW w:type="dxa" w:w="3288"/>
            <w:shd w:val="clear" w:color="auto" w:fill="FAFAFB"/>
            <w:vAlign w:val="center"/>
          </w:tcPr>
          <w:p>
            <w:pPr>
              <w:spacing w:after="20" w:line="252" w:lineRule="auto"/>
            </w:pPr>
            <w:r>
              <w:rPr>
                <w:b/>
                <w:sz w:val="18"/>
              </w:rPr>
              <w:t>SOM over 5 years</w:t>
            </w:r>
          </w:p>
        </w:tc>
        <w:tc>
          <w:tcPr>
            <w:tcW w:type="dxa" w:w="2948"/>
            <w:shd w:val="clear" w:color="auto" w:fill="FAFAFB"/>
            <w:vAlign w:val="center"/>
          </w:tcPr>
          <w:p>
            <w:pPr>
              <w:spacing w:after="20" w:line="252" w:lineRule="auto"/>
            </w:pPr>
            <w:r>
              <w:rPr>
                <w:sz w:val="18"/>
              </w:rPr>
              <w:t>about 17,500 paying workspaces (0.5% of SAM)</w:t>
            </w:r>
          </w:p>
        </w:tc>
        <w:tc>
          <w:tcPr>
            <w:tcW w:type="dxa" w:w="3402"/>
            <w:shd w:val="clear" w:color="auto" w:fill="FAFAFB"/>
            <w:vAlign w:val="center"/>
          </w:tcPr>
          <w:p>
            <w:pPr>
              <w:spacing w:after="20" w:line="252" w:lineRule="auto"/>
            </w:pPr>
            <w:r>
              <w:rPr>
                <w:sz w:val="18"/>
              </w:rPr>
              <w:t>Planning estimate</w:t>
            </w:r>
          </w:p>
        </w:tc>
      </w:tr>
      <w:tr>
        <w:trPr>
          <w:cantSplit/>
        </w:trPr>
        <w:tc>
          <w:tcPr>
            <w:tcW w:type="dxa" w:w="3288"/>
            <w:vAlign w:val="center"/>
          </w:tcPr>
          <w:p>
            <w:pPr>
              <w:spacing w:after="20" w:line="252" w:lineRule="auto"/>
            </w:pPr>
            <w:r>
              <w:rPr>
                <w:b/>
                <w:sz w:val="18"/>
              </w:rPr>
              <w:t>Base case FY5 in this plan</w:t>
            </w:r>
          </w:p>
        </w:tc>
        <w:tc>
          <w:tcPr>
            <w:tcW w:type="dxa" w:w="2948"/>
            <w:vAlign w:val="center"/>
          </w:tcPr>
          <w:p>
            <w:pPr>
              <w:spacing w:after="20" w:line="252" w:lineRule="auto"/>
            </w:pPr>
            <w:r>
              <w:rPr>
                <w:sz w:val="18"/>
              </w:rPr>
              <w:t>8,816 paying workspaces (50.4% of the SOM)</w:t>
            </w:r>
          </w:p>
        </w:tc>
        <w:tc>
          <w:tcPr>
            <w:tcW w:type="dxa" w:w="3402"/>
            <w:vAlign w:val="center"/>
          </w:tcPr>
          <w:p>
            <w:pPr>
              <w:spacing w:after="20" w:line="252" w:lineRule="auto"/>
            </w:pPr>
            <w:r>
              <w:rPr>
                <w:sz w:val="18"/>
              </w:rPr>
              <w:t>FluxMuse Financial Model v2, Base case</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4896000" cy="2754000"/>
            <wp:docPr id="9" name="Picture 9" descr="Stat cards: about 44 million MSMEs in Sub-Saharan Africa (IFC/World Bank est.), 2.5 to 3 million SMMEs in South Africa (SEDA/Stats SA est.), about 39 million MSMEs in Nigeria (SMEDAN est.), about 7.4 million in Kenya (KNBS est.), more than 90% of internet users in South Africa and Nigeria use WhatsApp (DataReportal 2025 est.), about 70% of global mobile money value is in Sub-Saharan Africa (GSMA 2025 est.); and the TAM, SAM and SOM planning assumptio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896000" cy="2754000"/>
                    </a:xfrm>
                    <a:prstGeom prst="rect"/>
                  </pic:spPr>
                </pic:pic>
              </a:graphicData>
            </a:graphic>
          </wp:inline>
        </w:drawing>
      </w:r>
    </w:p>
    <w:p>
      <w:pPr>
        <w:pStyle w:val="Caption"/>
        <w:jc w:val="center"/>
      </w:pPr>
      <w:r>
        <w:rPr>
          <w:b/>
        </w:rPr>
        <w:t>Figure 8.</w:t>
      </w:r>
      <w:r>
        <w:rPr/>
        <w:t xml:space="preserve"> Market context, with sources. Every figure is an estimate.</w:t>
      </w:r>
    </w:p>
    <w:p>
      <w:pPr>
        <w:pStyle w:val="Heading2"/>
      </w:pPr>
      <w:r>
        <w:rPr/>
        <w:t>South Africa: the home market</w:t>
      </w:r>
    </w:p>
    <w:p>
      <w:r>
        <w:rPr/>
        <w:t>South Africa has an estimated 2.5–3 million SMMEs (SEDA/Stats SA est.). It is the right first market for this business: card, instant EFT and mobile-money rails are all available, WhatsApp is near-universal, SMME support structures are well developed, and the company, team and pilot are here. Base case FY1 revenue is entirely South African.</w:t>
      </w:r>
    </w:p>
    <w:p>
      <w:pPr>
        <w:pStyle w:val="Heading2"/>
      </w:pPr>
      <w:r>
        <w:rPr/>
        <w:t>Nigeria, Kenya and Ghana: the first expansion wave</w:t>
      </w:r>
    </w:p>
    <w:p>
      <w:pPr>
        <w:pStyle w:val="ListBullet"/>
      </w:pPr>
      <w:r>
        <w:rPr>
          <w:b/>
        </w:rPr>
        <w:t>Nigeria</w:t>
      </w:r>
      <w:r>
        <w:rPr/>
        <w:t>: about 39 million MSMEs (SMEDAN est.); Paystack, pawaPay and Fincra all operate there.</w:t>
      </w:r>
    </w:p>
    <w:p>
      <w:pPr>
        <w:pStyle w:val="ListBullet"/>
      </w:pPr>
      <w:r>
        <w:rPr>
          <w:b/>
        </w:rPr>
        <w:t>Kenya</w:t>
      </w:r>
      <w:r>
        <w:rPr/>
        <w:t>: about 7.4 million MSMEs (KNBS est.); deep mobile-money usage.</w:t>
      </w:r>
    </w:p>
    <w:p>
      <w:pPr>
        <w:pStyle w:val="ListBullet"/>
      </w:pPr>
      <w:r>
        <w:rPr>
          <w:b/>
        </w:rPr>
        <w:t>Ghana</w:t>
      </w:r>
      <w:r>
        <w:rPr/>
        <w:t>: strong mobile money and a large informal trading sector; covered by the same three rails.</w:t>
      </w:r>
    </w:p>
    <w:p>
      <w:pPr>
        <w:pStyle w:val="ListBullet"/>
      </w:pPr>
      <w:r>
        <w:rPr/>
        <w:t xml:space="preserve">All three are priced in </w:t>
      </w:r>
      <w:r>
        <w:rPr>
          <w:b/>
        </w:rPr>
        <w:t>local currency at fixed price points</w:t>
      </w:r>
      <w:r>
        <w:rPr/>
        <w:t xml:space="preserve"> (section 9), and all three launch behind a revenue gate, not a calendar date (section 15).</w:t>
      </w:r>
    </w:p>
    <w:p>
      <w:pPr>
        <w:pStyle w:val="Heading2"/>
      </w:pPr>
      <w:r>
        <w:rPr/>
        <w:t>Trends</w:t>
      </w:r>
    </w:p>
    <w:p>
      <w:pPr>
        <w:pStyle w:val="ListBullet"/>
      </w:pPr>
      <w:r>
        <w:rPr>
          <w:b/>
        </w:rPr>
        <w:t>Chat commerce is becoming the default</w:t>
      </w:r>
      <w:r>
        <w:rPr/>
        <w:t xml:space="preserve"> for small-business selling in these markets, not a channel add-on.</w:t>
      </w:r>
    </w:p>
    <w:p>
      <w:pPr>
        <w:pStyle w:val="ListBullet"/>
      </w:pPr>
      <w:r>
        <w:rPr>
          <w:b/>
        </w:rPr>
        <w:t>Mobile money keeps widening</w:t>
      </w:r>
      <w:r>
        <w:rPr/>
        <w:t>: Sub-Saharan Africa accounts for about 70% of global mobile money value, more than US$1 trillion processed a year (GSMA 2025 est.).</w:t>
      </w:r>
    </w:p>
    <w:p>
      <w:pPr>
        <w:pStyle w:val="ListBullet"/>
      </w:pPr>
      <w:r>
        <w:rPr>
          <w:b/>
        </w:rPr>
        <w:t>AI lowers the price floor</w:t>
      </w:r>
      <w:r>
        <w:rPr/>
        <w:t xml:space="preserve"> of marketing services, which opens a segment that agencies cannot profitably serve.</w:t>
      </w:r>
    </w:p>
    <w:p>
      <w:pPr>
        <w:pStyle w:val="ListBullet"/>
      </w:pPr>
      <w:r>
        <w:rPr>
          <w:b/>
        </w:rPr>
        <w:t>Data-protection regimes are maturing</w:t>
      </w:r>
      <w:r>
        <w:rPr/>
        <w:t xml:space="preserve"> across the continent, which favours platforms built for compliance from the start.</w:t>
      </w:r>
    </w:p>
    <w:p>
      <w:pPr>
        <w:pStyle w:val="Heading2"/>
      </w:pPr>
      <w:r>
        <w:rPr/>
        <w:t>Regulatory environment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gulatory environment"/>
      </w:tblPr>
      <w:tblGrid>
        <w:gridCol w:w="1587"/>
        <w:gridCol w:w="2494"/>
        <w:gridCol w:w="5555"/>
      </w:tblGrid>
      <w:tr>
        <w:trPr>
          <w:cantSplit/>
          <w:tblHeader/>
        </w:trPr>
        <w:tc>
          <w:tcPr>
            <w:tcW w:type="dxa" w:w="1587"/>
            <w:shd w:val="clear" w:color="auto" w:fill="FF6A00"/>
            <w:vAlign w:val="center"/>
          </w:tcPr>
          <w:p>
            <w:pPr>
              <w:keepNext/>
              <w:spacing w:after="20" w:line="252" w:lineRule="auto"/>
            </w:pPr>
            <w:r>
              <w:rPr>
                <w:rFonts w:ascii="Poppins" w:hAnsi="Poppins" w:cs="Poppins" w:eastAsia="Poppins"/>
                <w:b/>
                <w:color w:val="20242B"/>
                <w:sz w:val="18"/>
              </w:rPr>
              <w:t>Market</w:t>
            </w:r>
          </w:p>
        </w:tc>
        <w:tc>
          <w:tcPr>
            <w:tcW w:type="dxa" w:w="2494"/>
            <w:shd w:val="clear" w:color="auto" w:fill="FF6A00"/>
            <w:vAlign w:val="center"/>
          </w:tcPr>
          <w:p>
            <w:pPr>
              <w:keepNext/>
              <w:spacing w:after="20" w:line="252" w:lineRule="auto"/>
            </w:pPr>
            <w:r>
              <w:rPr>
                <w:rFonts w:ascii="Poppins" w:hAnsi="Poppins" w:cs="Poppins" w:eastAsia="Poppins"/>
                <w:b/>
                <w:color w:val="20242B"/>
                <w:sz w:val="18"/>
              </w:rPr>
              <w:t>Regime</w:t>
            </w:r>
          </w:p>
        </w:tc>
        <w:tc>
          <w:tcPr>
            <w:tcW w:type="dxa" w:w="5556"/>
            <w:shd w:val="clear" w:color="auto" w:fill="FF6A00"/>
            <w:vAlign w:val="center"/>
          </w:tcPr>
          <w:p>
            <w:pPr>
              <w:keepNext/>
              <w:spacing w:after="20" w:line="252" w:lineRule="auto"/>
            </w:pPr>
            <w:r>
              <w:rPr>
                <w:rFonts w:ascii="Poppins" w:hAnsi="Poppins" w:cs="Poppins" w:eastAsia="Poppins"/>
                <w:b/>
                <w:color w:val="20242B"/>
                <w:sz w:val="18"/>
              </w:rPr>
              <w:t>What it means for FluxMuse</w:t>
            </w:r>
          </w:p>
        </w:tc>
      </w:tr>
      <w:tr>
        <w:trPr>
          <w:cantSplit/>
        </w:trPr>
        <w:tc>
          <w:tcPr>
            <w:tcW w:type="dxa" w:w="1587"/>
            <w:vAlign w:val="center"/>
          </w:tcPr>
          <w:p>
            <w:pPr>
              <w:spacing w:after="20" w:line="252" w:lineRule="auto"/>
            </w:pPr>
            <w:r>
              <w:rPr>
                <w:b/>
                <w:sz w:val="18"/>
              </w:rPr>
              <w:t>South Africa</w:t>
            </w:r>
          </w:p>
        </w:tc>
        <w:tc>
          <w:tcPr>
            <w:tcW w:type="dxa" w:w="2494"/>
            <w:vAlign w:val="center"/>
          </w:tcPr>
          <w:p>
            <w:pPr>
              <w:spacing w:after="20" w:line="252" w:lineRule="auto"/>
            </w:pPr>
            <w:r>
              <w:rPr>
                <w:sz w:val="18"/>
              </w:rPr>
              <w:t>Protection of Personal Information Act (POPIA)</w:t>
            </w:r>
          </w:p>
        </w:tc>
        <w:tc>
          <w:tcPr>
            <w:tcW w:type="dxa" w:w="5556"/>
            <w:vAlign w:val="center"/>
          </w:tcPr>
          <w:p>
            <w:pPr>
              <w:spacing w:after="20" w:line="252" w:lineRule="auto"/>
            </w:pPr>
            <w:r>
              <w:rPr>
                <w:sz w:val="18"/>
              </w:rPr>
              <w:t xml:space="preserve">Information Officer registered, operator agreements with customers, opt-in marketing, breach notification. </w:t>
            </w:r>
            <w:r>
              <w:rPr>
                <w:b/>
                <w:color w:val="20242B"/>
                <w:sz w:val="18"/>
                <w:shd w:val="clear" w:color="auto" w:fill="FFF1A8"/>
              </w:rPr>
              <w:t>[[INFORMATION OFFICER REGISTRATION CONFIRMED]]</w:t>
            </w:r>
          </w:p>
        </w:tc>
      </w:tr>
      <w:tr>
        <w:trPr>
          <w:cantSplit/>
        </w:trPr>
        <w:tc>
          <w:tcPr>
            <w:tcW w:type="dxa" w:w="1587"/>
            <w:shd w:val="clear" w:color="auto" w:fill="FAFAFB"/>
            <w:vAlign w:val="center"/>
          </w:tcPr>
          <w:p>
            <w:pPr>
              <w:spacing w:after="20" w:line="252" w:lineRule="auto"/>
            </w:pPr>
            <w:r>
              <w:rPr>
                <w:b/>
                <w:sz w:val="18"/>
              </w:rPr>
              <w:t>Nigeria</w:t>
            </w:r>
          </w:p>
        </w:tc>
        <w:tc>
          <w:tcPr>
            <w:tcW w:type="dxa" w:w="2494"/>
            <w:shd w:val="clear" w:color="auto" w:fill="FAFAFB"/>
            <w:vAlign w:val="center"/>
          </w:tcPr>
          <w:p>
            <w:pPr>
              <w:spacing w:after="20" w:line="252" w:lineRule="auto"/>
            </w:pPr>
            <w:r>
              <w:rPr>
                <w:sz w:val="18"/>
              </w:rPr>
              <w:t>NDPR / Nigeria Data Protection Act</w:t>
            </w:r>
          </w:p>
        </w:tc>
        <w:tc>
          <w:tcPr>
            <w:tcW w:type="dxa" w:w="5556"/>
            <w:shd w:val="clear" w:color="auto" w:fill="FAFAFB"/>
            <w:vAlign w:val="center"/>
          </w:tcPr>
          <w:p>
            <w:pPr>
              <w:spacing w:after="20" w:line="252" w:lineRule="auto"/>
            </w:pPr>
            <w:r>
              <w:rPr>
                <w:sz w:val="18"/>
              </w:rPr>
              <w:t>Data-controller registration and local counsel, funded from the expansion budget</w:t>
            </w:r>
          </w:p>
        </w:tc>
      </w:tr>
      <w:tr>
        <w:trPr>
          <w:cantSplit/>
        </w:trPr>
        <w:tc>
          <w:tcPr>
            <w:tcW w:type="dxa" w:w="1587"/>
            <w:vAlign w:val="center"/>
          </w:tcPr>
          <w:p>
            <w:pPr>
              <w:spacing w:after="20" w:line="252" w:lineRule="auto"/>
            </w:pPr>
            <w:r>
              <w:rPr>
                <w:b/>
                <w:sz w:val="18"/>
              </w:rPr>
              <w:t>Kenya</w:t>
            </w:r>
          </w:p>
        </w:tc>
        <w:tc>
          <w:tcPr>
            <w:tcW w:type="dxa" w:w="2494"/>
            <w:vAlign w:val="center"/>
          </w:tcPr>
          <w:p>
            <w:pPr>
              <w:spacing w:after="20" w:line="252" w:lineRule="auto"/>
            </w:pPr>
            <w:r>
              <w:rPr>
                <w:sz w:val="18"/>
              </w:rPr>
              <w:t>Kenya Data Protection Act</w:t>
            </w:r>
          </w:p>
        </w:tc>
        <w:tc>
          <w:tcPr>
            <w:tcW w:type="dxa" w:w="5556"/>
            <w:vAlign w:val="center"/>
          </w:tcPr>
          <w:p>
            <w:pPr>
              <w:spacing w:after="20" w:line="252" w:lineRule="auto"/>
            </w:pPr>
            <w:r>
              <w:rPr>
                <w:sz w:val="18"/>
              </w:rPr>
              <w:t>Registration with the Office of the Data Protection Commissioner</w:t>
            </w:r>
          </w:p>
        </w:tc>
      </w:tr>
      <w:tr>
        <w:trPr>
          <w:cantSplit/>
        </w:trPr>
        <w:tc>
          <w:tcPr>
            <w:tcW w:type="dxa" w:w="1587"/>
            <w:shd w:val="clear" w:color="auto" w:fill="FAFAFB"/>
            <w:vAlign w:val="center"/>
          </w:tcPr>
          <w:p>
            <w:pPr>
              <w:spacing w:after="20" w:line="252" w:lineRule="auto"/>
            </w:pPr>
            <w:r>
              <w:rPr>
                <w:b/>
                <w:sz w:val="18"/>
              </w:rPr>
              <w:t>Ghana</w:t>
            </w:r>
          </w:p>
        </w:tc>
        <w:tc>
          <w:tcPr>
            <w:tcW w:type="dxa" w:w="2494"/>
            <w:shd w:val="clear" w:color="auto" w:fill="FAFAFB"/>
            <w:vAlign w:val="center"/>
          </w:tcPr>
          <w:p>
            <w:pPr>
              <w:spacing w:after="20" w:line="252" w:lineRule="auto"/>
            </w:pPr>
            <w:r>
              <w:rPr>
                <w:sz w:val="18"/>
              </w:rPr>
              <w:t>Ghana Data Protection Act</w:t>
            </w:r>
          </w:p>
        </w:tc>
        <w:tc>
          <w:tcPr>
            <w:tcW w:type="dxa" w:w="5556"/>
            <w:shd w:val="clear" w:color="auto" w:fill="FAFAFB"/>
            <w:vAlign w:val="center"/>
          </w:tcPr>
          <w:p>
            <w:pPr>
              <w:spacing w:after="20" w:line="252" w:lineRule="auto"/>
            </w:pPr>
            <w:r>
              <w:rPr>
                <w:sz w:val="18"/>
              </w:rPr>
              <w:t>Registration with the Data Protection Commission</w:t>
            </w:r>
          </w:p>
        </w:tc>
      </w:tr>
      <w:tr>
        <w:trPr>
          <w:cantSplit/>
        </w:trPr>
        <w:tc>
          <w:tcPr>
            <w:tcW w:type="dxa" w:w="1587"/>
            <w:vAlign w:val="center"/>
          </w:tcPr>
          <w:p>
            <w:pPr>
              <w:spacing w:after="20" w:line="252" w:lineRule="auto"/>
            </w:pPr>
            <w:r>
              <w:rPr>
                <w:b/>
                <w:sz w:val="18"/>
              </w:rPr>
              <w:t>All markets</w:t>
            </w:r>
          </w:p>
        </w:tc>
        <w:tc>
          <w:tcPr>
            <w:tcW w:type="dxa" w:w="2494"/>
            <w:vAlign w:val="center"/>
          </w:tcPr>
          <w:p>
            <w:pPr>
              <w:spacing w:after="20" w:line="252" w:lineRule="auto"/>
            </w:pPr>
            <w:r>
              <w:rPr>
                <w:sz w:val="18"/>
              </w:rPr>
              <w:t>Payments regulation</w:t>
            </w:r>
          </w:p>
        </w:tc>
        <w:tc>
          <w:tcPr>
            <w:tcW w:type="dxa" w:w="5556"/>
            <w:vAlign w:val="center"/>
          </w:tcPr>
          <w:p>
            <w:pPr>
              <w:spacing w:after="20" w:line="252" w:lineRule="auto"/>
            </w:pPr>
            <w:r>
              <w:rPr>
                <w:sz w:val="18"/>
              </w:rPr>
              <w:t>Handled by the licensed rails. FluxMuse does not take deposits, hold client funds or operate as a payment institution</w:t>
            </w:r>
          </w:p>
        </w:tc>
      </w:tr>
      <w:tr>
        <w:trPr>
          <w:cantSplit/>
        </w:trPr>
        <w:tc>
          <w:tcPr>
            <w:tcW w:type="dxa" w:w="1587"/>
            <w:shd w:val="clear" w:color="auto" w:fill="FAFAFB"/>
            <w:vAlign w:val="center"/>
          </w:tcPr>
          <w:p>
            <w:pPr>
              <w:spacing w:after="20" w:line="252" w:lineRule="auto"/>
            </w:pPr>
            <w:r>
              <w:rPr>
                <w:b/>
                <w:sz w:val="18"/>
              </w:rPr>
              <w:t>All markets</w:t>
            </w:r>
          </w:p>
        </w:tc>
        <w:tc>
          <w:tcPr>
            <w:tcW w:type="dxa" w:w="2494"/>
            <w:shd w:val="clear" w:color="auto" w:fill="FAFAFB"/>
            <w:vAlign w:val="center"/>
          </w:tcPr>
          <w:p>
            <w:pPr>
              <w:spacing w:after="20" w:line="252" w:lineRule="auto"/>
            </w:pPr>
            <w:r>
              <w:rPr>
                <w:sz w:val="18"/>
              </w:rPr>
              <w:t>Meta platform policy</w:t>
            </w:r>
          </w:p>
        </w:tc>
        <w:tc>
          <w:tcPr>
            <w:tcW w:type="dxa" w:w="5556"/>
            <w:shd w:val="clear" w:color="auto" w:fill="FAFAFB"/>
            <w:vAlign w:val="center"/>
          </w:tcPr>
          <w:p>
            <w:pPr>
              <w:spacing w:after="20" w:line="252" w:lineRule="auto"/>
            </w:pPr>
            <w:r>
              <w:rPr>
                <w:sz w:val="18"/>
              </w:rPr>
              <w:t>WhatsApp Business messaging policy, template approval and opt-in rules govern what may be sent</w:t>
            </w:r>
          </w:p>
        </w:tc>
      </w:tr>
      <w:tr>
        <w:trPr>
          <w:cantSplit/>
        </w:trPr>
        <w:tc>
          <w:tcPr>
            <w:tcW w:type="dxa" w:w="1587"/>
            <w:vAlign w:val="center"/>
          </w:tcPr>
          <w:p>
            <w:pPr>
              <w:spacing w:after="20" w:line="252" w:lineRule="auto"/>
            </w:pPr>
            <w:r>
              <w:rPr>
                <w:b/>
                <w:sz w:val="18"/>
              </w:rPr>
              <w:t>Self-serve markets</w:t>
            </w:r>
          </w:p>
        </w:tc>
        <w:tc>
          <w:tcPr>
            <w:tcW w:type="dxa" w:w="2494"/>
            <w:vAlign w:val="center"/>
          </w:tcPr>
          <w:p>
            <w:pPr>
              <w:spacing w:after="20" w:line="252" w:lineRule="auto"/>
            </w:pPr>
            <w:r>
              <w:rPr>
                <w:sz w:val="18"/>
              </w:rPr>
              <w:t>Indirect tax</w:t>
            </w:r>
          </w:p>
        </w:tc>
        <w:tc>
          <w:tcPr>
            <w:tcW w:type="dxa" w:w="5556"/>
            <w:vAlign w:val="center"/>
          </w:tcPr>
          <w:p>
            <w:pPr>
              <w:spacing w:after="20" w:line="252" w:lineRule="auto"/>
            </w:pPr>
            <w:r>
              <w:rPr>
                <w:sz w:val="18"/>
              </w:rPr>
              <w:t>VAT and digital-services registrations where required; R150,000 is budgeted in the model for Rest-of-Africa registrations</w:t>
            </w:r>
          </w:p>
        </w:tc>
      </w:tr>
    </w:tbl>
    <w:p>
      <w:pPr>
        <w:spacing w:after="0" w:line="120" w:lineRule="exact"/>
      </w:pPr>
    </w:p>
    <w:p>
      <w:pPr>
        <w:pStyle w:val="Heading1"/>
        <w:pageBreakBefore/>
      </w:pPr>
      <w:r>
        <w:rPr/>
        <w:t>6. Target customers</w:t>
      </w:r>
    </w:p>
    <w:p>
      <w:r>
        <w:rPr/>
        <w:t xml:space="preserve">Three launch segments, all in South Africa first. </w:t>
      </w:r>
      <w:r>
        <w:rPr>
          <w:b/>
        </w:rPr>
        <w:t>Enterprise is not a launch target</w:t>
      </w:r>
      <w:r>
        <w:rPr/>
        <w:t>: inbound enterprise deals are taken, but no sales motion, deck or hire is built for enterprise in FY1.</w:t>
      </w:r>
    </w:p>
    <w:p>
      <w:pPr>
        <w:keepNext/>
        <w:spacing w:before="120" w:after="0"/>
        <w:jc w:val="center"/>
      </w:pPr>
      <w:r>
        <w:drawing>
          <wp:inline xmlns:a="http://schemas.openxmlformats.org/drawingml/2006/main" xmlns:pic="http://schemas.openxmlformats.org/drawingml/2006/picture">
            <wp:extent cx="4896000" cy="2754000"/>
            <wp:docPr id="10" name="Picture 10" descr="Three segment cards: solo entrepreneurs on Starter R499, SMEs on Growth R1,999 moving to Scale R4,999, and agencies on the partner price of R5,599 a month, each with who they are, their pain, the promise and the buying motion."/>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896000" cy="2754000"/>
                    </a:xfrm>
                    <a:prstGeom prst="rect"/>
                  </pic:spPr>
                </pic:pic>
              </a:graphicData>
            </a:graphic>
          </wp:inline>
        </w:drawing>
      </w:r>
    </w:p>
    <w:p>
      <w:pPr>
        <w:pStyle w:val="Caption"/>
        <w:jc w:val="center"/>
      </w:pPr>
      <w:r>
        <w:rPr>
          <w:b/>
        </w:rPr>
        <w:t>Figure 9.</w:t>
      </w:r>
      <w:r>
        <w:rPr/>
        <w:t xml:space="preserve"> The three launch segments, South Africa first.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e three launch segments"/>
      </w:tblPr>
      <w:tblGrid>
        <w:gridCol w:w="1417"/>
        <w:gridCol w:w="2777"/>
        <w:gridCol w:w="2777"/>
        <w:gridCol w:w="2664"/>
      </w:tblGrid>
      <w:tr>
        <w:trPr>
          <w:cantSplit/>
          <w:tblHeader/>
        </w:trPr>
        <w:tc>
          <w:tcPr>
            <w:tcW w:type="dxa" w:w="1417"/>
            <w:shd w:val="clear" w:color="auto" w:fill="FF6A00"/>
            <w:vAlign w:val="center"/>
          </w:tcPr>
          <w:p>
            <w:pPr>
              <w:keepNext/>
              <w:spacing w:after="20" w:line="252" w:lineRule="auto"/>
            </w:pPr>
          </w:p>
        </w:tc>
        <w:tc>
          <w:tcPr>
            <w:tcW w:type="dxa" w:w="2778"/>
            <w:shd w:val="clear" w:color="auto" w:fill="FF6A00"/>
            <w:vAlign w:val="center"/>
          </w:tcPr>
          <w:p>
            <w:pPr>
              <w:keepNext/>
              <w:spacing w:after="20" w:line="252" w:lineRule="auto"/>
            </w:pPr>
            <w:r>
              <w:rPr>
                <w:rFonts w:ascii="Poppins" w:hAnsi="Poppins" w:cs="Poppins" w:eastAsia="Poppins"/>
                <w:b/>
                <w:color w:val="20242B"/>
                <w:sz w:val="18"/>
              </w:rPr>
              <w:t>Solo entrepreneurs</w:t>
            </w:r>
          </w:p>
        </w:tc>
        <w:tc>
          <w:tcPr>
            <w:tcW w:type="dxa" w:w="2778"/>
            <w:shd w:val="clear" w:color="auto" w:fill="FF6A00"/>
            <w:vAlign w:val="center"/>
          </w:tcPr>
          <w:p>
            <w:pPr>
              <w:keepNext/>
              <w:spacing w:after="20" w:line="252" w:lineRule="auto"/>
            </w:pPr>
            <w:r>
              <w:rPr>
                <w:rFonts w:ascii="Poppins" w:hAnsi="Poppins" w:cs="Poppins" w:eastAsia="Poppins"/>
                <w:b/>
                <w:color w:val="20242B"/>
                <w:sz w:val="18"/>
              </w:rPr>
              <w:t>SMEs</w:t>
            </w:r>
          </w:p>
        </w:tc>
        <w:tc>
          <w:tcPr>
            <w:tcW w:type="dxa" w:w="2665"/>
            <w:shd w:val="clear" w:color="auto" w:fill="FF6A00"/>
            <w:vAlign w:val="center"/>
          </w:tcPr>
          <w:p>
            <w:pPr>
              <w:keepNext/>
              <w:spacing w:after="20" w:line="252" w:lineRule="auto"/>
            </w:pPr>
            <w:r>
              <w:rPr>
                <w:rFonts w:ascii="Poppins" w:hAnsi="Poppins" w:cs="Poppins" w:eastAsia="Poppins"/>
                <w:b/>
                <w:color w:val="20242B"/>
                <w:sz w:val="18"/>
              </w:rPr>
              <w:t>Agencies</w:t>
            </w:r>
          </w:p>
        </w:tc>
      </w:tr>
      <w:tr>
        <w:trPr>
          <w:cantSplit/>
        </w:trPr>
        <w:tc>
          <w:tcPr>
            <w:tcW w:type="dxa" w:w="1417"/>
            <w:vAlign w:val="center"/>
          </w:tcPr>
          <w:p>
            <w:pPr>
              <w:spacing w:after="20" w:line="252" w:lineRule="auto"/>
            </w:pPr>
            <w:r>
              <w:rPr>
                <w:b/>
                <w:sz w:val="18"/>
              </w:rPr>
              <w:t>Who</w:t>
            </w:r>
          </w:p>
        </w:tc>
        <w:tc>
          <w:tcPr>
            <w:tcW w:type="dxa" w:w="2778"/>
            <w:vAlign w:val="center"/>
          </w:tcPr>
          <w:p>
            <w:pPr>
              <w:spacing w:after="20" w:line="252" w:lineRule="auto"/>
            </w:pPr>
            <w:r>
              <w:rPr>
                <w:sz w:val="18"/>
              </w:rPr>
              <w:t>Founder-run businesses of 1–5 people: beauty and braiding, fashion resellers, home bakers, coaches, informal retailers selling on Instagram, Facebook and WhatsApp</w:t>
            </w:r>
          </w:p>
        </w:tc>
        <w:tc>
          <w:tcPr>
            <w:tcW w:type="dxa" w:w="2778"/>
            <w:vAlign w:val="center"/>
          </w:tcPr>
          <w:p>
            <w:pPr>
              <w:spacing w:after="20" w:line="252" w:lineRule="auto"/>
            </w:pPr>
            <w:r>
              <w:rPr>
                <w:sz w:val="18"/>
              </w:rPr>
              <w:t>5–200 staff: retail, restaurants and franchises, e-commerce brands, clinics, property, auto dealers, education, professional services</w:t>
            </w:r>
          </w:p>
        </w:tc>
        <w:tc>
          <w:tcPr>
            <w:tcW w:type="dxa" w:w="2665"/>
            <w:vAlign w:val="center"/>
          </w:tcPr>
          <w:p>
            <w:pPr>
              <w:spacing w:after="20" w:line="252" w:lineRule="auto"/>
            </w:pPr>
            <w:r>
              <w:rPr>
                <w:sz w:val="18"/>
              </w:rPr>
              <w:t>Marketing, digital and social agencies and freelancers managing 5–50 SMB clients</w:t>
            </w:r>
          </w:p>
        </w:tc>
      </w:tr>
      <w:tr>
        <w:trPr>
          <w:cantSplit/>
        </w:trPr>
        <w:tc>
          <w:tcPr>
            <w:tcW w:type="dxa" w:w="1417"/>
            <w:shd w:val="clear" w:color="auto" w:fill="FAFAFB"/>
            <w:vAlign w:val="center"/>
          </w:tcPr>
          <w:p>
            <w:pPr>
              <w:spacing w:after="20" w:line="252" w:lineRule="auto"/>
            </w:pPr>
            <w:r>
              <w:rPr>
                <w:b/>
                <w:sz w:val="18"/>
              </w:rPr>
              <w:t>Main tier</w:t>
            </w:r>
          </w:p>
        </w:tc>
        <w:tc>
          <w:tcPr>
            <w:tcW w:type="dxa" w:w="2778"/>
            <w:shd w:val="clear" w:color="auto" w:fill="FAFAFB"/>
            <w:vAlign w:val="center"/>
          </w:tcPr>
          <w:p>
            <w:pPr>
              <w:spacing w:after="20" w:line="252" w:lineRule="auto"/>
            </w:pPr>
            <w:r>
              <w:rPr>
                <w:sz w:val="18"/>
              </w:rPr>
              <w:t>Starter R499 → Growth</w:t>
            </w:r>
          </w:p>
        </w:tc>
        <w:tc>
          <w:tcPr>
            <w:tcW w:type="dxa" w:w="2778"/>
            <w:shd w:val="clear" w:color="auto" w:fill="FAFAFB"/>
            <w:vAlign w:val="center"/>
          </w:tcPr>
          <w:p>
            <w:pPr>
              <w:spacing w:after="20" w:line="252" w:lineRule="auto"/>
            </w:pPr>
            <w:r>
              <w:rPr>
                <w:sz w:val="18"/>
              </w:rPr>
              <w:t>Growth R1,999 → Scale R4,999</w:t>
            </w:r>
          </w:p>
        </w:tc>
        <w:tc>
          <w:tcPr>
            <w:tcW w:type="dxa" w:w="2665"/>
            <w:shd w:val="clear" w:color="auto" w:fill="FAFAFB"/>
            <w:vAlign w:val="center"/>
          </w:tcPr>
          <w:p>
            <w:pPr>
              <w:spacing w:after="20" w:line="252" w:lineRule="auto"/>
            </w:pPr>
            <w:r>
              <w:rPr>
                <w:sz w:val="18"/>
              </w:rPr>
              <w:t>Agency tier at partner wholesale R5,599</w:t>
            </w:r>
          </w:p>
        </w:tc>
      </w:tr>
      <w:tr>
        <w:trPr>
          <w:cantSplit/>
        </w:trPr>
        <w:tc>
          <w:tcPr>
            <w:tcW w:type="dxa" w:w="1417"/>
            <w:vAlign w:val="center"/>
          </w:tcPr>
          <w:p>
            <w:pPr>
              <w:spacing w:after="20" w:line="252" w:lineRule="auto"/>
            </w:pPr>
            <w:r>
              <w:rPr>
                <w:b/>
                <w:sz w:val="18"/>
              </w:rPr>
              <w:t>Pain</w:t>
            </w:r>
          </w:p>
        </w:tc>
        <w:tc>
          <w:tcPr>
            <w:tcW w:type="dxa" w:w="2778"/>
            <w:vAlign w:val="center"/>
          </w:tcPr>
          <w:p>
            <w:pPr>
              <w:spacing w:after="20" w:line="252" w:lineRule="auto"/>
            </w:pPr>
            <w:r>
              <w:rPr>
                <w:sz w:val="18"/>
              </w:rPr>
              <w:t>No time or budget for a marketer; posts inconsistently; loses sales in WhatsApp DMs; payment links drop off</w:t>
            </w:r>
          </w:p>
        </w:tc>
        <w:tc>
          <w:tcPr>
            <w:tcW w:type="dxa" w:w="2778"/>
            <w:vAlign w:val="center"/>
          </w:tcPr>
          <w:p>
            <w:pPr>
              <w:spacing w:after="20" w:line="252" w:lineRule="auto"/>
            </w:pPr>
            <w:r>
              <w:rPr>
                <w:sz w:val="18"/>
              </w:rPr>
              <w:t>Disconnected tools; agency retainers; no attribution from social to sales; WhatsApp handled manually by staff</w:t>
            </w:r>
          </w:p>
        </w:tc>
        <w:tc>
          <w:tcPr>
            <w:tcW w:type="dxa" w:w="2665"/>
            <w:vAlign w:val="center"/>
          </w:tcPr>
          <w:p>
            <w:pPr>
              <w:spacing w:after="20" w:line="252" w:lineRule="auto"/>
            </w:pPr>
            <w:r>
              <w:rPr>
                <w:sz w:val="18"/>
              </w:rPr>
              <w:t>Margin squeeze; manual reporting; too many tools per client; clients want WhatsApp commerce and AI</w:t>
            </w:r>
          </w:p>
        </w:tc>
      </w:tr>
      <w:tr>
        <w:trPr>
          <w:cantSplit/>
        </w:trPr>
        <w:tc>
          <w:tcPr>
            <w:tcW w:type="dxa" w:w="1417"/>
            <w:shd w:val="clear" w:color="auto" w:fill="FAFAFB"/>
            <w:vAlign w:val="center"/>
          </w:tcPr>
          <w:p>
            <w:pPr>
              <w:spacing w:after="20" w:line="252" w:lineRule="auto"/>
            </w:pPr>
            <w:r>
              <w:rPr>
                <w:b/>
                <w:sz w:val="18"/>
              </w:rPr>
              <w:t>Promise</w:t>
            </w:r>
          </w:p>
        </w:tc>
        <w:tc>
          <w:tcPr>
            <w:tcW w:type="dxa" w:w="2778"/>
            <w:shd w:val="clear" w:color="auto" w:fill="FAFAFB"/>
            <w:vAlign w:val="center"/>
          </w:tcPr>
          <w:p>
            <w:pPr>
              <w:spacing w:after="20" w:line="252" w:lineRule="auto"/>
            </w:pPr>
            <w:r>
              <w:rPr>
                <w:sz w:val="18"/>
              </w:rPr>
              <w:t>“Your AI marketing team for R499/mo, and you sell right inside WhatsApp”</w:t>
            </w:r>
          </w:p>
        </w:tc>
        <w:tc>
          <w:tcPr>
            <w:tcW w:type="dxa" w:w="2778"/>
            <w:shd w:val="clear" w:color="auto" w:fill="FAFAFB"/>
            <w:vAlign w:val="center"/>
          </w:tcPr>
          <w:p>
            <w:pPr>
              <w:spacing w:after="20" w:line="252" w:lineRule="auto"/>
            </w:pPr>
            <w:r>
              <w:rPr>
                <w:sz w:val="18"/>
              </w:rPr>
              <w:t>“Replace the tool stack, sell and get paid in chat, see what drives revenue”</w:t>
            </w:r>
          </w:p>
        </w:tc>
        <w:tc>
          <w:tcPr>
            <w:tcW w:type="dxa" w:w="2665"/>
            <w:shd w:val="clear" w:color="auto" w:fill="FAFAFB"/>
            <w:vAlign w:val="center"/>
          </w:tcPr>
          <w:p>
            <w:pPr>
              <w:spacing w:after="20" w:line="252" w:lineRule="auto"/>
            </w:pPr>
            <w:r>
              <w:rPr>
                <w:sz w:val="18"/>
              </w:rPr>
              <w:t>“Serve more clients under your brand, at R5,599/mo, and set your own retail price”</w:t>
            </w:r>
          </w:p>
        </w:tc>
      </w:tr>
      <w:tr>
        <w:trPr>
          <w:cantSplit/>
        </w:trPr>
        <w:tc>
          <w:tcPr>
            <w:tcW w:type="dxa" w:w="1417"/>
            <w:vAlign w:val="center"/>
          </w:tcPr>
          <w:p>
            <w:pPr>
              <w:spacing w:after="20" w:line="252" w:lineRule="auto"/>
            </w:pPr>
            <w:r>
              <w:rPr>
                <w:b/>
                <w:sz w:val="18"/>
              </w:rPr>
              <w:t>Buying motion</w:t>
            </w:r>
          </w:p>
        </w:tc>
        <w:tc>
          <w:tcPr>
            <w:tcW w:type="dxa" w:w="2778"/>
            <w:vAlign w:val="center"/>
          </w:tcPr>
          <w:p>
            <w:pPr>
              <w:spacing w:after="20" w:line="252" w:lineRule="auto"/>
            </w:pPr>
            <w:r>
              <w:rPr>
                <w:sz w:val="18"/>
              </w:rPr>
              <w:t>Self-serve: 14-day free trial, no card, then the Founding Member offer</w:t>
            </w:r>
          </w:p>
        </w:tc>
        <w:tc>
          <w:tcPr>
            <w:tcW w:type="dxa" w:w="2778"/>
            <w:vAlign w:val="center"/>
          </w:tcPr>
          <w:p>
            <w:pPr>
              <w:spacing w:after="20" w:line="252" w:lineRule="auto"/>
            </w:pPr>
            <w:r>
              <w:rPr>
                <w:sz w:val="18"/>
              </w:rPr>
              <w:t>Trial plus a guided onboarding call; proposal for multi-brand or Scale</w:t>
            </w:r>
          </w:p>
        </w:tc>
        <w:tc>
          <w:tcPr>
            <w:tcW w:type="dxa" w:w="2665"/>
            <w:vAlign w:val="center"/>
          </w:tcPr>
          <w:p>
            <w:pPr>
              <w:spacing w:after="20" w:line="252" w:lineRule="auto"/>
            </w:pPr>
            <w:r>
              <w:rPr>
                <w:sz w:val="18"/>
              </w:rPr>
              <w:t>Partner programme: demo → pilot client → Agency tier with reseller billing</w:t>
            </w:r>
          </w:p>
        </w:tc>
      </w:tr>
      <w:tr>
        <w:trPr>
          <w:cantSplit/>
        </w:trPr>
        <w:tc>
          <w:tcPr>
            <w:tcW w:type="dxa" w:w="1417"/>
            <w:shd w:val="clear" w:color="auto" w:fill="FAFAFB"/>
            <w:vAlign w:val="center"/>
          </w:tcPr>
          <w:p>
            <w:pPr>
              <w:spacing w:after="20" w:line="252" w:lineRule="auto"/>
            </w:pPr>
            <w:r>
              <w:rPr>
                <w:b/>
                <w:sz w:val="18"/>
              </w:rPr>
              <w:t>Base case FY5 workspaces</w:t>
            </w:r>
          </w:p>
        </w:tc>
        <w:tc>
          <w:tcPr>
            <w:tcW w:type="dxa" w:w="2778"/>
            <w:shd w:val="clear" w:color="auto" w:fill="FAFAFB"/>
            <w:vAlign w:val="center"/>
          </w:tcPr>
          <w:p>
            <w:pPr>
              <w:spacing w:after="20" w:line="252" w:lineRule="auto"/>
            </w:pPr>
            <w:r>
              <w:rPr>
                <w:sz w:val="18"/>
              </w:rPr>
              <w:t>4,173</w:t>
            </w:r>
          </w:p>
        </w:tc>
        <w:tc>
          <w:tcPr>
            <w:tcW w:type="dxa" w:w="2778"/>
            <w:shd w:val="clear" w:color="auto" w:fill="FAFAFB"/>
            <w:vAlign w:val="center"/>
          </w:tcPr>
          <w:p>
            <w:pPr>
              <w:spacing w:after="20" w:line="252" w:lineRule="auto"/>
            </w:pPr>
            <w:r>
              <w:rPr>
                <w:sz w:val="18"/>
              </w:rPr>
              <w:t>4,305</w:t>
            </w:r>
          </w:p>
        </w:tc>
        <w:tc>
          <w:tcPr>
            <w:tcW w:type="dxa" w:w="2665"/>
            <w:shd w:val="clear" w:color="auto" w:fill="FAFAFB"/>
            <w:vAlign w:val="center"/>
          </w:tcPr>
          <w:p>
            <w:pPr>
              <w:spacing w:after="20" w:line="252" w:lineRule="auto"/>
            </w:pPr>
            <w:r>
              <w:rPr>
                <w:sz w:val="18"/>
              </w:rPr>
              <w:t>321</w:t>
            </w:r>
          </w:p>
        </w:tc>
      </w:tr>
    </w:tbl>
    <w:p>
      <w:pPr>
        <w:spacing w:after="0" w:line="120" w:lineRule="exact"/>
      </w:pPr>
    </w:p>
    <w:p>
      <w:pPr>
        <w:spacing w:after="160"/>
      </w:pPr>
      <w:r>
        <w:rPr>
          <w:i/>
          <w:color w:val="5B6570"/>
          <w:sz w:val="18"/>
        </w:rPr>
        <w:t>Enterprise is inbound only: 1 workspace in FY1 and 17 by FY5 in the Base case.</w:t>
      </w:r>
    </w:p>
    <w:p>
      <w:pPr>
        <w:pStyle w:val="Heading2"/>
      </w:pPr>
      <w:r>
        <w:rPr/>
        <w:t>Personas</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persona solo"/>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Persona 1: the braiding studio owner (solo entrepreneur)</w:t>
            </w:r>
          </w:p>
          <w:p>
            <w:pPr>
              <w:spacing w:after="80"/>
            </w:pPr>
            <w:r>
              <w:rPr>
                <w:sz w:val="19"/>
              </w:rPr>
              <w:t>Runs a braiding and hair studio in a Gauteng township or suburb. Decides alone: no procurement, no IT department. Already books clients and posts work on WhatsApp, Instagram and Facebook.</w:t>
            </w:r>
          </w:p>
          <w:p>
            <w:pPr>
              <w:pStyle w:val="ListBullet"/>
            </w:pPr>
            <w:r>
              <w:rPr>
                <w:b/>
                <w:sz w:val="19"/>
              </w:rPr>
              <w:t>Needs</w:t>
            </w:r>
            <w:r>
              <w:rPr>
                <w:sz w:val="19"/>
              </w:rPr>
              <w:t>: bookings that don't get lost in DMs, deposits to stop no-shows, consistent posting in isiZulu, Sesotho and English, and money in the account the same day.</w:t>
            </w:r>
          </w:p>
          <w:p>
            <w:pPr>
              <w:pStyle w:val="ListBullet"/>
            </w:pPr>
            <w:r>
              <w:rPr>
                <w:b/>
                <w:sz w:val="19"/>
              </w:rPr>
              <w:t>Buys</w:t>
            </w:r>
            <w:r>
              <w:rPr>
                <w:sz w:val="19"/>
              </w:rPr>
              <w:t>: self-serve on Starter R499 after a 14-day free trial, usually on a phone, often on the strength of a peer's recommendation.</w:t>
            </w:r>
          </w:p>
          <w:p>
            <w:pPr>
              <w:pStyle w:val="ListBullet"/>
            </w:pPr>
            <w:r>
              <w:rPr>
                <w:b/>
                <w:sz w:val="19"/>
              </w:rPr>
              <w:t>Why this persona leads</w:t>
            </w:r>
            <w:r>
              <w:rPr>
                <w:sz w:val="19"/>
              </w:rPr>
              <w:t>: lowest barrier, shortest booking cycle, thousands of similar businesses across Gauteng. It is the lead case study in the pilot.</w:t>
            </w:r>
          </w:p>
        </w:tc>
      </w:tr>
    </w:tbl>
    <w:p>
      <w:pPr>
        <w:spacing w:after="0" w:line="16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persona SME"/>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Persona 2: the multi-branch SME marketing lead</w:t>
            </w:r>
          </w:p>
          <w:p>
            <w:pPr>
              <w:spacing w:after="80"/>
            </w:pPr>
            <w:r>
              <w:rPr>
                <w:sz w:val="19"/>
              </w:rPr>
              <w:t>Runs marketing for a 5–200 person business with several branches or an online store. Has a budget, several tools and an agency, and is asked every month what the marketing actually earned.</w:t>
            </w:r>
          </w:p>
          <w:p>
            <w:pPr>
              <w:pStyle w:val="ListBullet"/>
            </w:pPr>
            <w:r>
              <w:rPr>
                <w:b/>
                <w:sz w:val="19"/>
              </w:rPr>
              <w:t>Needs</w:t>
            </w:r>
            <w:r>
              <w:rPr>
                <w:sz w:val="19"/>
              </w:rPr>
              <w:t>: one platform instead of six, WhatsApp handled properly rather than on staff phones, attribution from campaign to order, and reporting that takes minutes.</w:t>
            </w:r>
          </w:p>
          <w:p>
            <w:pPr>
              <w:pStyle w:val="ListBullet"/>
            </w:pPr>
            <w:r>
              <w:rPr>
                <w:b/>
                <w:sz w:val="19"/>
              </w:rPr>
              <w:t>Buys</w:t>
            </w:r>
            <w:r>
              <w:rPr>
                <w:sz w:val="19"/>
              </w:rPr>
              <w:t>: trial, then a guided onboarding call and a proposal; Growth, moving to Scale for more brands or API access.</w:t>
            </w:r>
          </w:p>
        </w:tc>
      </w:tr>
    </w:tbl>
    <w:p>
      <w:pPr>
        <w:spacing w:after="0" w:line="16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persona agency"/>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Persona 3: the agency owner</w:t>
            </w:r>
          </w:p>
          <w:p>
            <w:pPr>
              <w:spacing w:after="80"/>
            </w:pPr>
            <w:r>
              <w:rPr>
                <w:sz w:val="19"/>
              </w:rPr>
              <w:t>Runs a 5–50 client social or digital agency. Margin is squeezed by delivery time and tool costs, and clients are asking for WhatsApp commerce and AI.</w:t>
            </w:r>
          </w:p>
          <w:p>
            <w:pPr>
              <w:pStyle w:val="ListBullet"/>
            </w:pPr>
            <w:r>
              <w:rPr>
                <w:b/>
                <w:sz w:val="19"/>
              </w:rPr>
              <w:t>Needs</w:t>
            </w:r>
            <w:r>
              <w:rPr>
                <w:sz w:val="19"/>
              </w:rPr>
              <w:t>: white-label delivery under their own brand, client sub-accounts, reseller billing, and reporting that doesn't eat a day a month.</w:t>
            </w:r>
          </w:p>
          <w:p>
            <w:pPr>
              <w:pStyle w:val="ListBullet"/>
            </w:pPr>
            <w:r>
              <w:rPr>
                <w:b/>
                <w:sz w:val="19"/>
              </w:rPr>
              <w:t>Buys</w:t>
            </w:r>
            <w:r>
              <w:rPr>
                <w:sz w:val="19"/>
              </w:rPr>
              <w:t>: through the partner programme at R5,599 a month, after a demo and a pilot client, and sets its own retail price.</w:t>
            </w:r>
          </w:p>
        </w:tc>
      </w:tr>
    </w:tbl>
    <w:p>
      <w:pPr>
        <w:spacing w:after="0" w:line="160" w:lineRule="exact"/>
      </w:pPr>
    </w:p>
    <w:p>
      <w:pPr>
        <w:pStyle w:val="Heading1"/>
        <w:pageBreakBefore/>
      </w:pPr>
      <w:r>
        <w:rPr/>
        <w:t>7. Competitive landscape</w:t>
      </w:r>
    </w:p>
    <w:p>
      <w:r>
        <w:rPr/>
        <w:t xml:space="preserve">FluxMuse competes with four categories at once, and with none of them completely. The comparison below is </w:t>
      </w:r>
      <w:r>
        <w:rPr>
          <w:b/>
        </w:rPr>
        <w:t>qualitative and about categories, not named competitors</w:t>
      </w:r>
      <w:r>
        <w:rPr/>
        <w:t>: it quotes no competitor prices and makes no claim that cannot be supported.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petitive categories (qualitative)"/>
      </w:tblPr>
      <w:tblGrid>
        <w:gridCol w:w="1870"/>
        <w:gridCol w:w="2494"/>
        <w:gridCol w:w="2777"/>
        <w:gridCol w:w="2494"/>
      </w:tblGrid>
      <w:tr>
        <w:trPr>
          <w:cantSplit/>
          <w:tblHeader/>
        </w:trPr>
        <w:tc>
          <w:tcPr>
            <w:tcW w:type="dxa" w:w="1871"/>
            <w:shd w:val="clear" w:color="auto" w:fill="FF6A00"/>
            <w:vAlign w:val="center"/>
          </w:tcPr>
          <w:p>
            <w:pPr>
              <w:keepNext/>
              <w:spacing w:after="20" w:line="252" w:lineRule="auto"/>
            </w:pPr>
            <w:r>
              <w:rPr>
                <w:rFonts w:ascii="Poppins" w:hAnsi="Poppins" w:cs="Poppins" w:eastAsia="Poppins"/>
                <w:b/>
                <w:color w:val="20242B"/>
                <w:sz w:val="18"/>
              </w:rPr>
              <w:t>Category</w:t>
            </w:r>
          </w:p>
        </w:tc>
        <w:tc>
          <w:tcPr>
            <w:tcW w:type="dxa" w:w="2494"/>
            <w:shd w:val="clear" w:color="auto" w:fill="FF6A00"/>
            <w:vAlign w:val="center"/>
          </w:tcPr>
          <w:p>
            <w:pPr>
              <w:keepNext/>
              <w:spacing w:after="20" w:line="252" w:lineRule="auto"/>
            </w:pPr>
            <w:r>
              <w:rPr>
                <w:rFonts w:ascii="Poppins" w:hAnsi="Poppins" w:cs="Poppins" w:eastAsia="Poppins"/>
                <w:b/>
                <w:color w:val="20242B"/>
                <w:sz w:val="18"/>
              </w:rPr>
              <w:t>What they do well</w:t>
            </w:r>
          </w:p>
        </w:tc>
        <w:tc>
          <w:tcPr>
            <w:tcW w:type="dxa" w:w="2778"/>
            <w:shd w:val="clear" w:color="auto" w:fill="FF6A00"/>
            <w:vAlign w:val="center"/>
          </w:tcPr>
          <w:p>
            <w:pPr>
              <w:keepNext/>
              <w:spacing w:after="20" w:line="252" w:lineRule="auto"/>
            </w:pPr>
            <w:r>
              <w:rPr>
                <w:rFonts w:ascii="Poppins" w:hAnsi="Poppins" w:cs="Poppins" w:eastAsia="Poppins"/>
                <w:b/>
                <w:color w:val="20242B"/>
                <w:sz w:val="18"/>
              </w:rPr>
              <w:t>Where they leave the customer</w:t>
            </w:r>
          </w:p>
        </w:tc>
        <w:tc>
          <w:tcPr>
            <w:tcW w:type="dxa" w:w="2494"/>
            <w:shd w:val="clear" w:color="auto" w:fill="FF6A00"/>
            <w:vAlign w:val="center"/>
          </w:tcPr>
          <w:p>
            <w:pPr>
              <w:keepNext/>
              <w:spacing w:after="20" w:line="252" w:lineRule="auto"/>
            </w:pPr>
            <w:r>
              <w:rPr>
                <w:rFonts w:ascii="Poppins" w:hAnsi="Poppins" w:cs="Poppins" w:eastAsia="Poppins"/>
                <w:b/>
                <w:color w:val="20242B"/>
                <w:sz w:val="18"/>
              </w:rPr>
              <w:t>FluxMuse</w:t>
            </w:r>
          </w:p>
        </w:tc>
      </w:tr>
      <w:tr>
        <w:trPr>
          <w:cantSplit/>
        </w:trPr>
        <w:tc>
          <w:tcPr>
            <w:tcW w:type="dxa" w:w="1871"/>
            <w:vAlign w:val="center"/>
          </w:tcPr>
          <w:p>
            <w:pPr>
              <w:spacing w:after="20" w:line="252" w:lineRule="auto"/>
            </w:pPr>
            <w:r>
              <w:rPr>
                <w:b/>
                <w:sz w:val="18"/>
              </w:rPr>
              <w:t>Global social media management tools</w:t>
            </w:r>
          </w:p>
        </w:tc>
        <w:tc>
          <w:tcPr>
            <w:tcW w:type="dxa" w:w="2494"/>
            <w:vAlign w:val="center"/>
          </w:tcPr>
          <w:p>
            <w:pPr>
              <w:spacing w:after="20" w:line="252" w:lineRule="auto"/>
            </w:pPr>
            <w:r>
              <w:rPr>
                <w:sz w:val="18"/>
              </w:rPr>
              <w:t>Scheduling, publishing and analytics across many networks, mature products</w:t>
            </w:r>
          </w:p>
        </w:tc>
        <w:tc>
          <w:tcPr>
            <w:tcW w:type="dxa" w:w="2778"/>
            <w:vAlign w:val="center"/>
          </w:tcPr>
          <w:p>
            <w:pPr>
              <w:spacing w:after="20" w:line="252" w:lineRule="auto"/>
            </w:pPr>
            <w:r>
              <w:rPr>
                <w:sz w:val="18"/>
              </w:rPr>
              <w:t>Stop at the post: no selling, no local payment methods, priced in hard currency, little local-language support</w:t>
            </w:r>
          </w:p>
        </w:tc>
        <w:tc>
          <w:tcPr>
            <w:tcW w:type="dxa" w:w="2494"/>
            <w:vAlign w:val="center"/>
          </w:tcPr>
          <w:p>
            <w:pPr>
              <w:spacing w:after="20" w:line="252" w:lineRule="auto"/>
            </w:pPr>
            <w:r>
              <w:rPr>
                <w:sz w:val="18"/>
              </w:rPr>
              <w:t>Publishes and then sells in the same product, priced in local currency</w:t>
            </w:r>
          </w:p>
        </w:tc>
      </w:tr>
      <w:tr>
        <w:trPr>
          <w:cantSplit/>
        </w:trPr>
        <w:tc>
          <w:tcPr>
            <w:tcW w:type="dxa" w:w="1871"/>
            <w:shd w:val="clear" w:color="auto" w:fill="FAFAFB"/>
            <w:vAlign w:val="center"/>
          </w:tcPr>
          <w:p>
            <w:pPr>
              <w:spacing w:after="20" w:line="252" w:lineRule="auto"/>
            </w:pPr>
            <w:r>
              <w:rPr>
                <w:b/>
                <w:sz w:val="18"/>
              </w:rPr>
              <w:t>WhatsApp business solution providers and chatbot vendors</w:t>
            </w:r>
          </w:p>
        </w:tc>
        <w:tc>
          <w:tcPr>
            <w:tcW w:type="dxa" w:w="2494"/>
            <w:shd w:val="clear" w:color="auto" w:fill="FAFAFB"/>
            <w:vAlign w:val="center"/>
          </w:tcPr>
          <w:p>
            <w:pPr>
              <w:spacing w:after="20" w:line="252" w:lineRule="auto"/>
            </w:pPr>
            <w:r>
              <w:rPr>
                <w:sz w:val="18"/>
              </w:rPr>
              <w:t>Reliable messaging infrastructure and chatbot building</w:t>
            </w:r>
          </w:p>
        </w:tc>
        <w:tc>
          <w:tcPr>
            <w:tcW w:type="dxa" w:w="2778"/>
            <w:shd w:val="clear" w:color="auto" w:fill="FAFAFB"/>
            <w:vAlign w:val="center"/>
          </w:tcPr>
          <w:p>
            <w:pPr>
              <w:spacing w:after="20" w:line="252" w:lineRule="auto"/>
            </w:pPr>
            <w:r>
              <w:rPr>
                <w:sz w:val="18"/>
              </w:rPr>
              <w:t>No marketing team, no content creation, no campaign planning; often per-message pricing aimed at larger businesses</w:t>
            </w:r>
          </w:p>
        </w:tc>
        <w:tc>
          <w:tcPr>
            <w:tcW w:type="dxa" w:w="2494"/>
            <w:shd w:val="clear" w:color="auto" w:fill="FAFAFB"/>
            <w:vAlign w:val="center"/>
          </w:tcPr>
          <w:p>
            <w:pPr>
              <w:spacing w:after="20" w:line="252" w:lineRule="auto"/>
            </w:pPr>
            <w:r>
              <w:rPr>
                <w:sz w:val="18"/>
              </w:rPr>
              <w:t>Messaging is one channel inside a marketing platform, on flat plans from R499</w:t>
            </w:r>
          </w:p>
        </w:tc>
      </w:tr>
      <w:tr>
        <w:trPr>
          <w:cantSplit/>
        </w:trPr>
        <w:tc>
          <w:tcPr>
            <w:tcW w:type="dxa" w:w="1871"/>
            <w:vAlign w:val="center"/>
          </w:tcPr>
          <w:p>
            <w:pPr>
              <w:spacing w:after="20" w:line="252" w:lineRule="auto"/>
            </w:pPr>
            <w:r>
              <w:rPr>
                <w:b/>
                <w:sz w:val="18"/>
              </w:rPr>
              <w:t>E-commerce platforms</w:t>
            </w:r>
          </w:p>
        </w:tc>
        <w:tc>
          <w:tcPr>
            <w:tcW w:type="dxa" w:w="2494"/>
            <w:vAlign w:val="center"/>
          </w:tcPr>
          <w:p>
            <w:pPr>
              <w:spacing w:after="20" w:line="252" w:lineRule="auto"/>
            </w:pPr>
            <w:r>
              <w:rPr>
                <w:sz w:val="18"/>
              </w:rPr>
              <w:t>Storefronts, catalogs and payment integrations</w:t>
            </w:r>
          </w:p>
        </w:tc>
        <w:tc>
          <w:tcPr>
            <w:tcW w:type="dxa" w:w="2778"/>
            <w:vAlign w:val="center"/>
          </w:tcPr>
          <w:p>
            <w:pPr>
              <w:spacing w:after="20" w:line="252" w:lineRule="auto"/>
            </w:pPr>
            <w:r>
              <w:rPr>
                <w:sz w:val="18"/>
              </w:rPr>
              <w:t>Sell on a website, not inside a conversation; marketing is a separate purchase</w:t>
            </w:r>
          </w:p>
        </w:tc>
        <w:tc>
          <w:tcPr>
            <w:tcW w:type="dxa" w:w="2494"/>
            <w:vAlign w:val="center"/>
          </w:tcPr>
          <w:p>
            <w:pPr>
              <w:spacing w:after="20" w:line="252" w:lineRule="auto"/>
            </w:pPr>
            <w:r>
              <w:rPr>
                <w:sz w:val="18"/>
              </w:rPr>
              <w:t>Catalog and checkout inside WhatsApp, with the marketing that drives them</w:t>
            </w:r>
          </w:p>
        </w:tc>
      </w:tr>
      <w:tr>
        <w:trPr>
          <w:cantSplit/>
        </w:trPr>
        <w:tc>
          <w:tcPr>
            <w:tcW w:type="dxa" w:w="1871"/>
            <w:shd w:val="clear" w:color="auto" w:fill="FAFAFB"/>
            <w:vAlign w:val="center"/>
          </w:tcPr>
          <w:p>
            <w:pPr>
              <w:spacing w:after="20" w:line="252" w:lineRule="auto"/>
            </w:pPr>
            <w:r>
              <w:rPr>
                <w:b/>
                <w:sz w:val="18"/>
              </w:rPr>
              <w:t>Local agencies and freelancers</w:t>
            </w:r>
          </w:p>
        </w:tc>
        <w:tc>
          <w:tcPr>
            <w:tcW w:type="dxa" w:w="2494"/>
            <w:shd w:val="clear" w:color="auto" w:fill="FAFAFB"/>
            <w:vAlign w:val="center"/>
          </w:tcPr>
          <w:p>
            <w:pPr>
              <w:spacing w:after="20" w:line="252" w:lineRule="auto"/>
            </w:pPr>
            <w:r>
              <w:rPr>
                <w:sz w:val="18"/>
              </w:rPr>
              <w:t>Local knowledge, relationships and creative judgement</w:t>
            </w:r>
          </w:p>
        </w:tc>
        <w:tc>
          <w:tcPr>
            <w:tcW w:type="dxa" w:w="2778"/>
            <w:shd w:val="clear" w:color="auto" w:fill="FAFAFB"/>
            <w:vAlign w:val="center"/>
          </w:tcPr>
          <w:p>
            <w:pPr>
              <w:spacing w:after="20" w:line="252" w:lineRule="auto"/>
            </w:pPr>
            <w:r>
              <w:rPr>
                <w:sz w:val="18"/>
              </w:rPr>
              <w:t>Retainer pricing that this market mostly cannot afford; capacity limits growth</w:t>
            </w:r>
          </w:p>
        </w:tc>
        <w:tc>
          <w:tcPr>
            <w:tcW w:type="dxa" w:w="2494"/>
            <w:shd w:val="clear" w:color="auto" w:fill="FAFAFB"/>
            <w:vAlign w:val="center"/>
          </w:tcPr>
          <w:p>
            <w:pPr>
              <w:spacing w:after="20" w:line="252" w:lineRule="auto"/>
            </w:pPr>
            <w:r>
              <w:rPr>
                <w:sz w:val="18"/>
              </w:rPr>
              <w:t>Sold to agencies rather than against them: white-label at R5,599 so they serve more clients</w:t>
            </w:r>
          </w:p>
        </w:tc>
      </w:tr>
    </w:tbl>
    <w:p>
      <w:pPr>
        <w:spacing w:after="0" w:line="120" w:lineRule="exact"/>
      </w:pPr>
    </w:p>
    <w:p>
      <w:pPr>
        <w:pStyle w:val="Heading2"/>
      </w:pPr>
      <w:r>
        <w:rPr/>
        <w:t>Our differentiation</w:t>
      </w:r>
    </w:p>
    <w:p>
      <w:pPr>
        <w:pStyle w:val="ListBullet"/>
      </w:pPr>
      <w:r>
        <w:rPr>
          <w:b/>
        </w:rPr>
        <w:t>The whole loop in one product</w:t>
      </w:r>
      <w:r>
        <w:rPr/>
        <w:t>: plan, create, publish, sell, get paid, learn.</w:t>
      </w:r>
    </w:p>
    <w:p>
      <w:pPr>
        <w:pStyle w:val="ListBullet"/>
      </w:pPr>
      <w:r>
        <w:rPr>
          <w:b/>
        </w:rPr>
        <w:t>Payments coverage</w:t>
      </w:r>
      <w:r>
        <w:rPr/>
        <w:t>: five secured rails across 23 African countries, including mobile money, instant EFT and cards, with Botswana and Namibia coming soon.</w:t>
      </w:r>
    </w:p>
    <w:p>
      <w:pPr>
        <w:pStyle w:val="ListBullet"/>
      </w:pPr>
      <w:r>
        <w:rPr>
          <w:b/>
        </w:rPr>
        <w:t>Local pricing</w:t>
      </w:r>
      <w:r>
        <w:rPr/>
        <w:t>: fixed price points in ZAR, NGN, KES and GHS, and US dollars elsewhere, rather than an FX-converted foreign price.</w:t>
      </w:r>
    </w:p>
    <w:p>
      <w:pPr>
        <w:pStyle w:val="ListBullet"/>
      </w:pPr>
      <w:r>
        <w:rPr>
          <w:b/>
        </w:rPr>
        <w:t>Multilingual AI</w:t>
      </w:r>
      <w:r>
        <w:rPr/>
        <w:t xml:space="preserve"> across isiZulu, Pidgin, Swahili, Afrikaans and English and more, which is a product feature here rather than a localisation afterthought.</w:t>
      </w:r>
    </w:p>
    <w:p>
      <w:pPr>
        <w:pStyle w:val="ListBullet"/>
      </w:pPr>
      <w:r>
        <w:rPr>
          <w:b/>
        </w:rPr>
        <w:t>Meta Tech Provider verification</w:t>
      </w:r>
      <w:r>
        <w:rPr/>
        <w:t>, already held.</w:t>
      </w:r>
    </w:p>
    <w:p>
      <w:pPr>
        <w:pStyle w:val="ListBullet"/>
      </w:pPr>
      <w:r>
        <w:rPr>
          <w:b/>
        </w:rPr>
        <w:t>A partner channel</w:t>
      </w:r>
      <w:r>
        <w:rPr/>
        <w:t xml:space="preserve"> that turns the most obvious local competitor into a distribution route.</w:t>
      </w:r>
    </w:p>
    <w:p>
      <w:pPr>
        <w:pStyle w:val="Heading2"/>
      </w:pPr>
      <w:r>
        <w:rPr/>
        <w:t>Defensibility</w:t>
      </w:r>
    </w:p>
    <w:p>
      <w:pPr>
        <w:pStyle w:val="ListBullet"/>
      </w:pPr>
      <w:r>
        <w:rPr>
          <w:b/>
        </w:rPr>
        <w:t>Verification and rail contracts take time.</w:t>
      </w:r>
      <w:r>
        <w:rPr/>
        <w:t xml:space="preserve"> Meta Access Verification and five payment-provider relationships are months of work a new entrant must repeat.</w:t>
      </w:r>
    </w:p>
    <w:p>
      <w:pPr>
        <w:pStyle w:val="ListBullet"/>
      </w:pPr>
      <w:r>
        <w:rPr>
          <w:b/>
        </w:rPr>
        <w:t>Data compounds.</w:t>
      </w:r>
      <w:r>
        <w:rPr/>
        <w:t xml:space="preserve"> The Analyst agent's RAG memory and cohort data improve with every campaign and order on the platform.</w:t>
      </w:r>
    </w:p>
    <w:p>
      <w:pPr>
        <w:pStyle w:val="ListBullet"/>
      </w:pPr>
      <w:r>
        <w:rPr>
          <w:b/>
        </w:rPr>
        <w:t>Switching costs.</w:t>
      </w:r>
      <w:r>
        <w:rPr/>
        <w:t xml:space="preserve"> The WhatsApp number, catalog, templates, automations, contact history and payment setup all live in the workspace.</w:t>
      </w:r>
    </w:p>
    <w:p>
      <w:pPr>
        <w:pStyle w:val="ListBullet"/>
      </w:pPr>
      <w:r>
        <w:rPr>
          <w:b/>
        </w:rPr>
        <w:t>Channel lock-in through partners.</w:t>
      </w:r>
      <w:r>
        <w:rPr/>
        <w:t xml:space="preserve"> An agency that has rebuilt its delivery on a white-label platform does not move lightly.</w:t>
      </w:r>
    </w:p>
    <w:p>
      <w:pPr>
        <w:pStyle w:val="ListBullet"/>
      </w:pPr>
      <w:r>
        <w:rPr>
          <w:b/>
        </w:rPr>
        <w:t>Price position.</w:t>
      </w:r>
      <w:r>
        <w:rPr/>
        <w:t xml:space="preserve"> A platform built for R499-a-month customers is hard to attack from above.</w:t>
      </w:r>
    </w:p>
    <w:p>
      <w:pPr>
        <w:spacing w:after="160"/>
      </w:pPr>
      <w:r>
        <w:rPr>
          <w:i/>
          <w:color w:val="5B6570"/>
          <w:sz w:val="18"/>
        </w:rPr>
        <w:t>Risks to this position, including Meta dependency and rail concentration, are set out in section 14.</w:t>
      </w:r>
    </w:p>
    <w:p>
      <w:pPr>
        <w:pStyle w:val="Heading1"/>
        <w:pageBreakBefore/>
      </w:pPr>
      <w:r>
        <w:rPr/>
        <w:t>8. Marketing and sales strategy</w:t>
      </w:r>
    </w:p>
    <w:p>
      <w:pPr>
        <w:pStyle w:val="Heading2"/>
      </w:pPr>
      <w:r>
        <w:rPr/>
        <w:t>Sequence</w:t>
      </w:r>
    </w:p>
    <w:p>
      <w:r>
        <w:rPr/>
        <w:t xml:space="preserve">The order is fixed: </w:t>
      </w:r>
      <w:r>
        <w:rPr>
          <w:b/>
        </w:rPr>
        <w:t>South Africa, then Nigeria, Kenya and Ghana, then the other 19 rail-covered countries self-serve in US dollars.</w:t>
      </w:r>
      <w:r>
        <w:rPr/>
        <w:t xml:space="preserve"> Botswana and Namibia are shown as coming soon. Every country without a rail that can collect is waitlist only: no prices, no checkout.</w:t>
      </w:r>
    </w:p>
    <w:p>
      <w:pPr>
        <w:keepNext/>
        <w:spacing w:before="120" w:after="0"/>
        <w:jc w:val="center"/>
      </w:pPr>
      <w:r>
        <w:drawing>
          <wp:inline xmlns:a="http://schemas.openxmlformats.org/drawingml/2006/main" xmlns:pic="http://schemas.openxmlformats.org/drawingml/2006/picture">
            <wp:extent cx="4896000" cy="2754000"/>
            <wp:docPr id="11" name="Picture 11" descr="Four stages: South Africa billed in ZAR with the Gauteng pilot then national; Nigeria, Kenya and Ghana in local currency; 19 other rail-covered countries billed in USD, self-serve, with no local team until traction justifies one; Botswana and Namibia waitlist only, coming soon. Everywhere else is gated: waitlist only."/>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896000" cy="2754000"/>
                    </a:xfrm>
                    <a:prstGeom prst="rect"/>
                  </pic:spPr>
                </pic:pic>
              </a:graphicData>
            </a:graphic>
          </wp:inline>
        </w:drawing>
      </w:r>
    </w:p>
    <w:p>
      <w:pPr>
        <w:pStyle w:val="Caption"/>
        <w:jc w:val="center"/>
      </w:pPr>
      <w:r>
        <w:rPr>
          <w:b/>
        </w:rPr>
        <w:t>Figure 10.</w:t>
      </w:r>
      <w:r>
        <w:rPr/>
        <w:t xml:space="preserve"> Market entry order. Launch dates in this plan are set by revenue gates; see section 15.</w:t>
      </w:r>
    </w:p>
    <w:p>
      <w:pPr>
        <w:pStyle w:val="Heading2"/>
      </w:pPr>
      <w:r>
        <w:rPr/>
        <w:t>Channels by segment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hannels and proof by segment"/>
      </w:tblPr>
      <w:tblGrid>
        <w:gridCol w:w="1927"/>
        <w:gridCol w:w="4875"/>
        <w:gridCol w:w="2834"/>
      </w:tblGrid>
      <w:tr>
        <w:trPr>
          <w:cantSplit/>
          <w:tblHeader/>
        </w:trPr>
        <w:tc>
          <w:tcPr>
            <w:tcW w:type="dxa" w:w="1928"/>
            <w:shd w:val="clear" w:color="auto" w:fill="FF6A00"/>
            <w:vAlign w:val="center"/>
          </w:tcPr>
          <w:p>
            <w:pPr>
              <w:keepNext/>
              <w:spacing w:after="20" w:line="252" w:lineRule="auto"/>
            </w:pPr>
            <w:r>
              <w:rPr>
                <w:rFonts w:ascii="Poppins" w:hAnsi="Poppins" w:cs="Poppins" w:eastAsia="Poppins"/>
                <w:b/>
                <w:color w:val="20242B"/>
                <w:sz w:val="18"/>
              </w:rPr>
              <w:t>Segment</w:t>
            </w:r>
          </w:p>
        </w:tc>
        <w:tc>
          <w:tcPr>
            <w:tcW w:type="dxa" w:w="4876"/>
            <w:shd w:val="clear" w:color="auto" w:fill="FF6A00"/>
            <w:vAlign w:val="center"/>
          </w:tcPr>
          <w:p>
            <w:pPr>
              <w:keepNext/>
              <w:spacing w:after="20" w:line="252" w:lineRule="auto"/>
            </w:pPr>
            <w:r>
              <w:rPr>
                <w:rFonts w:ascii="Poppins" w:hAnsi="Poppins" w:cs="Poppins" w:eastAsia="Poppins"/>
                <w:b/>
                <w:color w:val="20242B"/>
                <w:sz w:val="18"/>
              </w:rPr>
              <w:t>Acquisition channels</w:t>
            </w:r>
          </w:p>
        </w:tc>
        <w:tc>
          <w:tcPr>
            <w:tcW w:type="dxa" w:w="2835"/>
            <w:shd w:val="clear" w:color="auto" w:fill="FF6A00"/>
            <w:vAlign w:val="center"/>
          </w:tcPr>
          <w:p>
            <w:pPr>
              <w:keepNext/>
              <w:spacing w:after="20" w:line="252" w:lineRule="auto"/>
            </w:pPr>
            <w:r>
              <w:rPr>
                <w:rFonts w:ascii="Poppins" w:hAnsi="Poppins" w:cs="Poppins" w:eastAsia="Poppins"/>
                <w:b/>
                <w:color w:val="20242B"/>
                <w:sz w:val="18"/>
              </w:rPr>
              <w:t>Key proof</w:t>
            </w:r>
          </w:p>
        </w:tc>
      </w:tr>
      <w:tr>
        <w:trPr>
          <w:cantSplit/>
        </w:trPr>
        <w:tc>
          <w:tcPr>
            <w:tcW w:type="dxa" w:w="1928"/>
            <w:vAlign w:val="center"/>
          </w:tcPr>
          <w:p>
            <w:pPr>
              <w:spacing w:after="20" w:line="252" w:lineRule="auto"/>
            </w:pPr>
            <w:r>
              <w:rPr>
                <w:b/>
                <w:sz w:val="18"/>
              </w:rPr>
              <w:t>Solo entrepreneurs</w:t>
            </w:r>
          </w:p>
        </w:tc>
        <w:tc>
          <w:tcPr>
            <w:tcW w:type="dxa" w:w="4876"/>
            <w:vAlign w:val="center"/>
          </w:tcPr>
          <w:p>
            <w:pPr>
              <w:spacing w:after="20" w:line="252" w:lineRule="auto"/>
            </w:pPr>
            <w:r>
              <w:rPr>
                <w:sz w:val="18"/>
              </w:rPr>
              <w:t>Meta and TikTok ads, WhatsApp short links, creators and influencers, community markets, link-in-bio</w:t>
            </w:r>
          </w:p>
        </w:tc>
        <w:tc>
          <w:tcPr>
            <w:tcW w:type="dxa" w:w="2835"/>
            <w:vAlign w:val="center"/>
          </w:tcPr>
          <w:p>
            <w:pPr>
              <w:spacing w:after="20" w:line="252" w:lineRule="auto"/>
            </w:pPr>
            <w:r>
              <w:rPr>
                <w:sz w:val="18"/>
              </w:rPr>
              <w:t>Pilot case studies from solo-run brands</w:t>
            </w:r>
          </w:p>
        </w:tc>
      </w:tr>
      <w:tr>
        <w:trPr>
          <w:cantSplit/>
        </w:trPr>
        <w:tc>
          <w:tcPr>
            <w:tcW w:type="dxa" w:w="1928"/>
            <w:shd w:val="clear" w:color="auto" w:fill="FAFAFB"/>
            <w:vAlign w:val="center"/>
          </w:tcPr>
          <w:p>
            <w:pPr>
              <w:spacing w:after="20" w:line="252" w:lineRule="auto"/>
            </w:pPr>
            <w:r>
              <w:rPr>
                <w:b/>
                <w:sz w:val="18"/>
              </w:rPr>
              <w:t>SMEs</w:t>
            </w:r>
          </w:p>
        </w:tc>
        <w:tc>
          <w:tcPr>
            <w:tcW w:type="dxa" w:w="4876"/>
            <w:shd w:val="clear" w:color="auto" w:fill="FAFAFB"/>
            <w:vAlign w:val="center"/>
          </w:tcPr>
          <w:p>
            <w:pPr>
              <w:spacing w:after="20" w:line="252" w:lineRule="auto"/>
            </w:pPr>
            <w:r>
              <w:rPr>
                <w:sz w:val="18"/>
              </w:rPr>
              <w:t>Content and SEO, webinars, chamber and business networks such as Gauteng SMME hubs, bank and fintech partnerships, referrals from pilot brands</w:t>
            </w:r>
          </w:p>
        </w:tc>
        <w:tc>
          <w:tcPr>
            <w:tcW w:type="dxa" w:w="2835"/>
            <w:shd w:val="clear" w:color="auto" w:fill="FAFAFB"/>
            <w:vAlign w:val="center"/>
          </w:tcPr>
          <w:p>
            <w:pPr>
              <w:spacing w:after="20" w:line="252" w:lineRule="auto"/>
            </w:pPr>
            <w:r>
              <w:rPr>
                <w:sz w:val="18"/>
              </w:rPr>
              <w:t>Pilot KPIs: conversations, orders, GMV, hours saved</w:t>
            </w:r>
          </w:p>
        </w:tc>
      </w:tr>
      <w:tr>
        <w:trPr>
          <w:cantSplit/>
        </w:trPr>
        <w:tc>
          <w:tcPr>
            <w:tcW w:type="dxa" w:w="1928"/>
            <w:vAlign w:val="center"/>
          </w:tcPr>
          <w:p>
            <w:pPr>
              <w:spacing w:after="20" w:line="252" w:lineRule="auto"/>
            </w:pPr>
            <w:r>
              <w:rPr>
                <w:b/>
                <w:sz w:val="18"/>
              </w:rPr>
              <w:t>Agencies</w:t>
            </w:r>
          </w:p>
        </w:tc>
        <w:tc>
          <w:tcPr>
            <w:tcW w:type="dxa" w:w="4876"/>
            <w:vAlign w:val="center"/>
          </w:tcPr>
          <w:p>
            <w:pPr>
              <w:spacing w:after="20" w:line="252" w:lineRule="auto"/>
            </w:pPr>
            <w:r>
              <w:rPr>
                <w:sz w:val="18"/>
              </w:rPr>
              <w:t>Direct outreach, agency communities, the partner directory, co-marketing, referral fees</w:t>
            </w:r>
          </w:p>
        </w:tc>
        <w:tc>
          <w:tcPr>
            <w:tcW w:type="dxa" w:w="2835"/>
            <w:vAlign w:val="center"/>
          </w:tcPr>
          <w:p>
            <w:pPr>
              <w:spacing w:after="20" w:line="252" w:lineRule="auto"/>
            </w:pPr>
            <w:r>
              <w:rPr>
                <w:sz w:val="18"/>
              </w:rPr>
              <w:t>White-label demo and the partner economics</w:t>
            </w:r>
          </w:p>
        </w:tc>
      </w:tr>
    </w:tbl>
    <w:p>
      <w:pPr>
        <w:spacing w:after="0" w:line="120" w:lineRule="exact"/>
      </w:pPr>
    </w:p>
    <w:p>
      <w:pPr>
        <w:pStyle w:val="Heading2"/>
      </w:pPr>
      <w:r>
        <w:rPr/>
        <w:t>The Founding Member launch offer</w:t>
      </w:r>
    </w:p>
    <w:p>
      <w:r>
        <w:rPr/>
        <w:t xml:space="preserve">One launch offer, in every market: </w:t>
      </w:r>
      <w:r>
        <w:rPr>
          <w:b/>
        </w:rPr>
        <w:t>Founding Member, a 60-day window per market</w:t>
      </w:r>
      <w:r>
        <w:rPr/>
        <w:t xml:space="preserve">. Monthly plans get </w:t>
      </w:r>
      <w:r>
        <w:rPr>
          <w:b/>
        </w:rPr>
        <w:t>30% off the first two monthly bills</w:t>
      </w:r>
      <w:r>
        <w:rPr/>
        <w:t xml:space="preserve"> (Starter R349, Growth R1,399, Scale R3,499); annual plans get </w:t>
      </w:r>
      <w:r>
        <w:rPr>
          <w:b/>
        </w:rPr>
        <w:t>two extra months free</w:t>
      </w:r>
      <w:r>
        <w:rPr/>
        <w:t xml:space="preserve">, 14 for the price of 12. Sign-ups also keep a Founding Member badge and priority support. The offer is </w:t>
      </w:r>
      <w:r>
        <w:rPr>
          <w:b/>
        </w:rPr>
        <w:t>not available on the Agency tier</w:t>
      </w:r>
      <w:r>
        <w:rPr/>
        <w:t>: agencies are pointed to the permanent partner wholesale price of R5,599 a month instead, which is never presented as a launch discount.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ounding Member windows"/>
      </w:tblPr>
      <w:tblGrid>
        <w:gridCol w:w="2834"/>
        <w:gridCol w:w="6803"/>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9"/>
              </w:rPr>
              <w:t>Market</w:t>
            </w:r>
          </w:p>
        </w:tc>
        <w:tc>
          <w:tcPr>
            <w:tcW w:type="dxa" w:w="6803"/>
            <w:shd w:val="clear" w:color="auto" w:fill="FF6A00"/>
            <w:vAlign w:val="center"/>
          </w:tcPr>
          <w:p>
            <w:pPr>
              <w:keepNext/>
              <w:spacing w:after="20" w:line="252" w:lineRule="auto"/>
            </w:pPr>
            <w:r>
              <w:rPr>
                <w:rFonts w:ascii="Poppins" w:hAnsi="Poppins" w:cs="Poppins" w:eastAsia="Poppins"/>
                <w:b/>
                <w:color w:val="20242B"/>
                <w:sz w:val="19"/>
              </w:rPr>
              <w:t>Founding Member window</w:t>
            </w:r>
          </w:p>
        </w:tc>
      </w:tr>
      <w:tr>
        <w:trPr>
          <w:cantSplit/>
        </w:trPr>
        <w:tc>
          <w:tcPr>
            <w:tcW w:type="dxa" w:w="2835"/>
            <w:vAlign w:val="center"/>
          </w:tcPr>
          <w:p>
            <w:pPr>
              <w:spacing w:after="20" w:line="252" w:lineRule="auto"/>
            </w:pPr>
            <w:r>
              <w:rPr>
                <w:b/>
                <w:sz w:val="19"/>
              </w:rPr>
              <w:t>South Africa</w:t>
            </w:r>
          </w:p>
        </w:tc>
        <w:tc>
          <w:tcPr>
            <w:tcW w:type="dxa" w:w="6803"/>
            <w:vAlign w:val="center"/>
          </w:tcPr>
          <w:p>
            <w:pPr>
              <w:spacing w:after="20" w:line="252" w:lineRule="auto"/>
            </w:pPr>
            <w:r>
              <w:rPr>
                <w:sz w:val="19"/>
              </w:rPr>
              <w:t>1 Dec 2026 - 31 Jan 2027</w:t>
            </w:r>
          </w:p>
        </w:tc>
      </w:tr>
      <w:tr>
        <w:trPr>
          <w:cantSplit/>
        </w:trPr>
        <w:tc>
          <w:tcPr>
            <w:tcW w:type="dxa" w:w="2835"/>
            <w:shd w:val="clear" w:color="auto" w:fill="FAFAFB"/>
            <w:vAlign w:val="center"/>
          </w:tcPr>
          <w:p>
            <w:pPr>
              <w:spacing w:after="20" w:line="252" w:lineRule="auto"/>
            </w:pPr>
            <w:r>
              <w:rPr>
                <w:b/>
                <w:sz w:val="19"/>
              </w:rPr>
              <w:t>Nigeria, Kenya and Ghana</w:t>
            </w:r>
          </w:p>
        </w:tc>
        <w:tc>
          <w:tcPr>
            <w:tcW w:type="dxa" w:w="6803"/>
            <w:shd w:val="clear" w:color="auto" w:fill="FAFAFB"/>
            <w:vAlign w:val="center"/>
          </w:tcPr>
          <w:p>
            <w:pPr>
              <w:spacing w:after="20" w:line="252" w:lineRule="auto"/>
            </w:pPr>
            <w:r>
              <w:rPr>
                <w:sz w:val="19"/>
              </w:rPr>
              <w:t>first 60 days (2 model months) after each launch</w:t>
            </w:r>
          </w:p>
        </w:tc>
      </w:tr>
      <w:tr>
        <w:trPr>
          <w:cantSplit/>
        </w:trPr>
        <w:tc>
          <w:tcPr>
            <w:tcW w:type="dxa" w:w="2835"/>
            <w:vAlign w:val="center"/>
          </w:tcPr>
          <w:p>
            <w:pPr>
              <w:spacing w:after="20" w:line="252" w:lineRule="auto"/>
            </w:pPr>
            <w:r>
              <w:rPr>
                <w:b/>
                <w:sz w:val="19"/>
              </w:rPr>
              <w:t>USD self-serve markets</w:t>
            </w:r>
          </w:p>
        </w:tc>
        <w:tc>
          <w:tcPr>
            <w:tcW w:type="dxa" w:w="6803"/>
            <w:vAlign w:val="center"/>
          </w:tcPr>
          <w:p>
            <w:pPr>
              <w:spacing w:after="20" w:line="252" w:lineRule="auto"/>
            </w:pPr>
            <w:r>
              <w:rPr>
                <w:sz w:val="19"/>
              </w:rPr>
              <w:t>No window: these markets are self-serve</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4896000" cy="2754000"/>
            <wp:docPr id="12" name="Picture 12" descr="Launch offer: 30% off the first two monthly bills or two extra months free on annual plans, a Founding Member badge and priority support on Starter, Growth and Scale, agencies see partner pricing, a Growth example of R1,399 for months one and two then R1,999, and the South Africa window of 1 December 2026 to 31 January 2027."/>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896000" cy="2754000"/>
                    </a:xfrm>
                    <a:prstGeom prst="rect"/>
                  </pic:spPr>
                </pic:pic>
              </a:graphicData>
            </a:graphic>
          </wp:inline>
        </w:drawing>
      </w:r>
    </w:p>
    <w:p>
      <w:pPr>
        <w:pStyle w:val="Caption"/>
        <w:jc w:val="center"/>
      </w:pPr>
      <w:r>
        <w:rPr>
          <w:b/>
        </w:rPr>
        <w:t>Figure 11.</w:t>
      </w:r>
      <w:r>
        <w:rPr/>
        <w:t xml:space="preserve"> The Founding Member offer, South Africa window.</w:t>
      </w:r>
    </w:p>
    <w:p>
      <w:r>
        <w:rPr>
          <w:b/>
        </w:rPr>
        <w:t>The offer is cheap and it is modelled.</w:t>
      </w:r>
      <w:r>
        <w:rPr/>
        <w:t xml:space="preserve"> It costs R26,444 in FY1, R118,887 in FY2 and R45,283 in FY3, never more than 1.3% of gross subscriptions. Because sign-ups inside a window are assumed to rise 20% (an unproven assumption, flagged for testing in the South African window), the offer leaves slightly </w:t>
      </w:r>
      <w:r>
        <w:rPr>
          <w:b/>
        </w:rPr>
        <w:t>more</w:t>
      </w:r>
      <w:r>
        <w:rPr/>
        <w:t xml:space="preserve"> cash than no offer at all, and does not threaten profitability on the R25M.</w:t>
      </w:r>
    </w:p>
    <w:p>
      <w:pPr>
        <w:pStyle w:val="Heading2"/>
      </w:pPr>
      <w:r>
        <w:rPr/>
        <w:t>The Gauteng pilot and case studies</w:t>
      </w:r>
    </w:p>
    <w:p>
      <w:r>
        <w:rPr>
          <w:b/>
        </w:rPr>
        <w:t>12 brands in Gauteng, September to 30 November 2026.</w:t>
      </w:r>
      <w:r>
        <w:rPr/>
        <w:t xml:space="preserve"> They pay nothing during the pilot. On 1 December 2026 the model assumes </w:t>
      </w:r>
      <w:r>
        <w:rPr>
          <w:b/>
        </w:rPr>
        <w:t>75% convert</w:t>
      </w:r>
      <w:r>
        <w:rPr/>
        <w:t xml:space="preserve"> (9 brands) on deepened pilot terms: 50% off the first two monthly bills (Starter R249, Growth R999, Scale R2,499, Agency R3,999), in exchange for a case study and logo permission. That discount costs R13,643 in FY1.</w:t>
      </w:r>
    </w:p>
    <w:p>
      <w:pPr>
        <w:keepNext/>
        <w:spacing w:before="120" w:after="0"/>
        <w:jc w:val="center"/>
      </w:pPr>
      <w:r>
        <w:drawing>
          <wp:inline xmlns:a="http://schemas.openxmlformats.org/drawingml/2006/main" xmlns:pic="http://schemas.openxmlformats.org/drawingml/2006/picture">
            <wp:extent cx="4896000" cy="2754000"/>
            <wp:docPr id="13" name="Picture 13" descr="Pilot overview: 12 brands from September to 30 November 2026, a suggested mix of five solo entrepreneurs, five SMEs and two agencies as archetypes with no brand names, the KPIs tracked, the braiding and hair studio as lead case study, and results in December 202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896000" cy="2754000"/>
                    </a:xfrm>
                    <a:prstGeom prst="rect"/>
                  </pic:spPr>
                </pic:pic>
              </a:graphicData>
            </a:graphic>
          </wp:inline>
        </w:drawing>
      </w:r>
    </w:p>
    <w:p>
      <w:pPr>
        <w:pStyle w:val="Caption"/>
        <w:jc w:val="center"/>
      </w:pPr>
      <w:r>
        <w:rPr>
          <w:b/>
        </w:rPr>
        <w:t>Figure 12.</w:t>
      </w:r>
      <w:r>
        <w:rPr/>
        <w:t xml:space="preserve"> The Gauteng pilot. No results exist yet: the first come in December 2026.</w:t>
      </w:r>
    </w:p>
    <w:p>
      <w:pPr>
        <w:spacing w:after="160"/>
      </w:pPr>
      <w:r>
        <w:rPr>
          <w:i/>
          <w:color w:val="5B6570"/>
          <w:sz w:val="18"/>
        </w:rPr>
        <w:t>Until consented pilot data exists, all materials say “pilot underway, results December 2026”. No customer counts, ratings, testimonials or results are used anywhere in this plan.</w:t>
      </w:r>
    </w:p>
    <w:p>
      <w:pPr>
        <w:pStyle w:val="Heading2"/>
      </w:pPr>
      <w:r>
        <w:rPr/>
        <w:t>The partner programme</w:t>
      </w:r>
    </w:p>
    <w:p>
      <w:r>
        <w:rPr/>
        <w:t xml:space="preserve">Agencies and freelancers are a channel, not only a segment. Partners buy the Agency tier at </w:t>
      </w:r>
      <w:r>
        <w:rPr>
          <w:b/>
        </w:rPr>
        <w:t>R5,599 a month</w:t>
      </w:r>
      <w:r>
        <w:rPr/>
        <w:t xml:space="preserve"> and set their own retail price. In the Base case the partner channel grows from 17 agency workspaces in FY1 to 321 in FY5, acquired through a partnerships team rather than paid advertising.</w:t>
      </w:r>
    </w:p>
    <w:p>
      <w:pPr>
        <w:spacing w:after="160"/>
      </w:pPr>
      <w:r>
        <w:rPr>
          <w:i/>
          <w:color w:val="5B6570"/>
          <w:sz w:val="18"/>
        </w:rPr>
        <w:t>Illustrative partner economics, always labelled as such: a partner serving 20 clients at a retail price it sets of R1,500 a month bills R30,000, pays FluxMuse R5,599, and keeps a R24,401 a month gross spread before its own delivery costs. Margin depends on the partner's own pricing and costs.</w:t>
      </w:r>
    </w:p>
    <w:p>
      <w:pPr>
        <w:pStyle w:val="Heading2"/>
      </w:pPr>
      <w:r>
        <w:rPr/>
        <w:t>Brand positioning and messaging</w:t>
      </w:r>
    </w:p>
    <w:p>
      <w:r>
        <w:rPr>
          <w:b/>
        </w:rPr>
        <w:t>Positioning.</w:t>
      </w:r>
      <w:r>
        <w:rPr/>
        <w:t xml:space="preserve"> For solo entrepreneurs, SMEs and agencies in South Africa and across Africa who sell on social media and WhatsApp but have no time, budget or tools for a marketing team, FluxMuse is the AI marketing team and WhatsApp commerce platform that plans, creates, publishes and sells in one place, in their language and their currency.</w:t>
      </w:r>
    </w:p>
    <w:p>
      <w:r>
        <w:rPr>
          <w:b/>
        </w:rPr>
        <w:t>Voice.</w:t>
      </w:r>
      <w:r>
        <w:rPr/>
        <w:t xml:space="preserve"> Warm, direct, African-first, no jargon: “receipts and revenue, not jargon”. Primary tagline: *AI Marketing &amp; WhatsApp Commerce for Africa*.</w:t>
      </w:r>
    </w:p>
    <w:p>
      <w:pPr>
        <w:pStyle w:val="Heading2"/>
      </w:pPr>
      <w:r>
        <w:rPr/>
        <w:t>Sales process and funnel</w:t>
      </w:r>
    </w:p>
    <w:p>
      <w:r>
        <w:rPr/>
        <w:t>Solo and SME customers arrive self-serve: a 14-day free trial with no card, then conversion to a paid plan. Agencies go through demo, pilot client and partner plan. The funnel assumptions that drive the model are: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unnel and unit-economics assumptions"/>
      </w:tblPr>
      <w:tblGrid>
        <w:gridCol w:w="2267"/>
        <w:gridCol w:w="1927"/>
        <w:gridCol w:w="1927"/>
        <w:gridCol w:w="2040"/>
        <w:gridCol w:w="1474"/>
      </w:tblGrid>
      <w:tr>
        <w:trPr>
          <w:cantSplit/>
          <w:tblHeader/>
        </w:trPr>
        <w:tc>
          <w:tcPr>
            <w:tcW w:type="dxa" w:w="2268"/>
            <w:shd w:val="clear" w:color="auto" w:fill="FF6A00"/>
            <w:vAlign w:val="center"/>
          </w:tcPr>
          <w:p>
            <w:pPr>
              <w:keepNext/>
              <w:spacing w:after="20" w:line="252" w:lineRule="auto"/>
            </w:pPr>
            <w:r>
              <w:rPr>
                <w:rFonts w:ascii="Poppins" w:hAnsi="Poppins" w:cs="Poppins" w:eastAsia="Poppins"/>
                <w:b/>
                <w:color w:val="20242B"/>
                <w:sz w:val="17"/>
              </w:rPr>
              <w:t>Funnel assumption</w:t>
            </w:r>
          </w:p>
        </w:tc>
        <w:tc>
          <w:tcPr>
            <w:tcW w:type="dxa" w:w="1928"/>
            <w:shd w:val="clear" w:color="auto" w:fill="FF6A00"/>
            <w:vAlign w:val="center"/>
          </w:tcPr>
          <w:p>
            <w:pPr>
              <w:keepNext/>
              <w:spacing w:after="20" w:line="252" w:lineRule="auto"/>
            </w:pPr>
            <w:r>
              <w:rPr>
                <w:rFonts w:ascii="Poppins" w:hAnsi="Poppins" w:cs="Poppins" w:eastAsia="Poppins"/>
                <w:b/>
                <w:color w:val="20242B"/>
                <w:sz w:val="17"/>
              </w:rPr>
              <w:t>Solo</w:t>
            </w:r>
          </w:p>
        </w:tc>
        <w:tc>
          <w:tcPr>
            <w:tcW w:type="dxa" w:w="1928"/>
            <w:shd w:val="clear" w:color="auto" w:fill="FF6A00"/>
            <w:vAlign w:val="center"/>
          </w:tcPr>
          <w:p>
            <w:pPr>
              <w:keepNext/>
              <w:spacing w:after="20" w:line="252" w:lineRule="auto"/>
            </w:pPr>
            <w:r>
              <w:rPr>
                <w:rFonts w:ascii="Poppins" w:hAnsi="Poppins" w:cs="Poppins" w:eastAsia="Poppins"/>
                <w:b/>
                <w:color w:val="20242B"/>
                <w:sz w:val="17"/>
              </w:rPr>
              <w:t>SMEs</w:t>
            </w:r>
          </w:p>
        </w:tc>
        <w:tc>
          <w:tcPr>
            <w:tcW w:type="dxa" w:w="2041"/>
            <w:shd w:val="clear" w:color="auto" w:fill="FF6A00"/>
            <w:vAlign w:val="center"/>
          </w:tcPr>
          <w:p>
            <w:pPr>
              <w:keepNext/>
              <w:spacing w:after="20" w:line="252" w:lineRule="auto"/>
            </w:pPr>
            <w:r>
              <w:rPr>
                <w:rFonts w:ascii="Poppins" w:hAnsi="Poppins" w:cs="Poppins" w:eastAsia="Poppins"/>
                <w:b/>
                <w:color w:val="20242B"/>
                <w:sz w:val="17"/>
              </w:rPr>
              <w:t>Agencies</w:t>
            </w:r>
          </w:p>
        </w:tc>
        <w:tc>
          <w:tcPr>
            <w:tcW w:type="dxa" w:w="1474"/>
            <w:shd w:val="clear" w:color="auto" w:fill="FF6A00"/>
            <w:vAlign w:val="center"/>
          </w:tcPr>
          <w:p>
            <w:pPr>
              <w:keepNext/>
              <w:spacing w:after="20" w:line="252" w:lineRule="auto"/>
            </w:pPr>
            <w:r>
              <w:rPr>
                <w:rFonts w:ascii="Poppins" w:hAnsi="Poppins" w:cs="Poppins" w:eastAsia="Poppins"/>
                <w:b/>
                <w:color w:val="20242B"/>
                <w:sz w:val="17"/>
              </w:rPr>
              <w:t>Enterprise</w:t>
            </w:r>
          </w:p>
        </w:tc>
      </w:tr>
      <w:tr>
        <w:trPr>
          <w:cantSplit/>
        </w:trPr>
        <w:tc>
          <w:tcPr>
            <w:tcW w:type="dxa" w:w="2268"/>
            <w:vAlign w:val="center"/>
          </w:tcPr>
          <w:p>
            <w:pPr>
              <w:spacing w:after="20" w:line="252" w:lineRule="auto"/>
            </w:pPr>
            <w:r>
              <w:rPr>
                <w:b/>
                <w:sz w:val="17"/>
              </w:rPr>
              <w:t>Share of self-serve trials</w:t>
            </w:r>
          </w:p>
        </w:tc>
        <w:tc>
          <w:tcPr>
            <w:tcW w:type="dxa" w:w="1928"/>
            <w:vAlign w:val="center"/>
          </w:tcPr>
          <w:p>
            <w:pPr>
              <w:spacing w:after="20" w:line="252" w:lineRule="auto"/>
            </w:pPr>
            <w:r>
              <w:rPr>
                <w:sz w:val="17"/>
              </w:rPr>
              <w:t>65%</w:t>
            </w:r>
          </w:p>
        </w:tc>
        <w:tc>
          <w:tcPr>
            <w:tcW w:type="dxa" w:w="1928"/>
            <w:vAlign w:val="center"/>
          </w:tcPr>
          <w:p>
            <w:pPr>
              <w:spacing w:after="20" w:line="252" w:lineRule="auto"/>
            </w:pPr>
            <w:r>
              <w:rPr>
                <w:sz w:val="17"/>
              </w:rPr>
              <w:t>35%</w:t>
            </w:r>
          </w:p>
        </w:tc>
        <w:tc>
          <w:tcPr>
            <w:tcW w:type="dxa" w:w="2041"/>
            <w:vAlign w:val="center"/>
          </w:tcPr>
          <w:p>
            <w:pPr>
              <w:spacing w:after="20" w:line="252" w:lineRule="auto"/>
            </w:pPr>
            <w:r>
              <w:rPr>
                <w:sz w:val="17"/>
              </w:rPr>
              <w:t>n/a</w:t>
            </w:r>
          </w:p>
        </w:tc>
        <w:tc>
          <w:tcPr>
            <w:tcW w:type="dxa" w:w="1474"/>
            <w:vAlign w:val="center"/>
          </w:tcPr>
          <w:p>
            <w:pPr>
              <w:spacing w:after="20" w:line="252" w:lineRule="auto"/>
            </w:pPr>
            <w:r>
              <w:rPr>
                <w:sz w:val="17"/>
              </w:rPr>
              <w:t>n/a</w:t>
            </w:r>
          </w:p>
        </w:tc>
      </w:tr>
      <w:tr>
        <w:trPr>
          <w:cantSplit/>
        </w:trPr>
        <w:tc>
          <w:tcPr>
            <w:tcW w:type="dxa" w:w="2268"/>
            <w:shd w:val="clear" w:color="auto" w:fill="FAFAFB"/>
            <w:vAlign w:val="center"/>
          </w:tcPr>
          <w:p>
            <w:pPr>
              <w:spacing w:after="20" w:line="252" w:lineRule="auto"/>
            </w:pPr>
            <w:r>
              <w:rPr>
                <w:b/>
                <w:sz w:val="17"/>
              </w:rPr>
              <w:t>Trial-to-paid conversion</w:t>
            </w:r>
          </w:p>
        </w:tc>
        <w:tc>
          <w:tcPr>
            <w:tcW w:type="dxa" w:w="1928"/>
            <w:shd w:val="clear" w:color="auto" w:fill="FAFAFB"/>
            <w:vAlign w:val="center"/>
          </w:tcPr>
          <w:p>
            <w:pPr>
              <w:spacing w:after="20" w:line="252" w:lineRule="auto"/>
            </w:pPr>
            <w:r>
              <w:rPr>
                <w:sz w:val="17"/>
              </w:rPr>
              <w:t>11%</w:t>
            </w:r>
          </w:p>
        </w:tc>
        <w:tc>
          <w:tcPr>
            <w:tcW w:type="dxa" w:w="1928"/>
            <w:shd w:val="clear" w:color="auto" w:fill="FAFAFB"/>
            <w:vAlign w:val="center"/>
          </w:tcPr>
          <w:p>
            <w:pPr>
              <w:spacing w:after="20" w:line="252" w:lineRule="auto"/>
            </w:pPr>
            <w:r>
              <w:rPr>
                <w:sz w:val="17"/>
              </w:rPr>
              <w:t>14%</w:t>
            </w:r>
          </w:p>
        </w:tc>
        <w:tc>
          <w:tcPr>
            <w:tcW w:type="dxa" w:w="2041"/>
            <w:shd w:val="clear" w:color="auto" w:fill="FAFAFB"/>
            <w:vAlign w:val="center"/>
          </w:tcPr>
          <w:p>
            <w:pPr>
              <w:spacing w:after="20" w:line="252" w:lineRule="auto"/>
            </w:pPr>
            <w:r>
              <w:rPr>
                <w:sz w:val="17"/>
              </w:rPr>
              <w:t>n/a</w:t>
            </w:r>
          </w:p>
        </w:tc>
        <w:tc>
          <w:tcPr>
            <w:tcW w:type="dxa" w:w="1474"/>
            <w:shd w:val="clear" w:color="auto" w:fill="FAFAFB"/>
            <w:vAlign w:val="center"/>
          </w:tcPr>
          <w:p>
            <w:pPr>
              <w:spacing w:after="20" w:line="252" w:lineRule="auto"/>
            </w:pPr>
            <w:r>
              <w:rPr>
                <w:sz w:val="17"/>
              </w:rPr>
              <w:t>n/a</w:t>
            </w:r>
          </w:p>
        </w:tc>
      </w:tr>
      <w:tr>
        <w:trPr>
          <w:cantSplit/>
        </w:trPr>
        <w:tc>
          <w:tcPr>
            <w:tcW w:type="dxa" w:w="2268"/>
            <w:vAlign w:val="center"/>
          </w:tcPr>
          <w:p>
            <w:pPr>
              <w:spacing w:after="20" w:line="252" w:lineRule="auto"/>
            </w:pPr>
            <w:r>
              <w:rPr>
                <w:b/>
                <w:sz w:val="17"/>
              </w:rPr>
              <w:t>Acquisition</w:t>
            </w:r>
          </w:p>
        </w:tc>
        <w:tc>
          <w:tcPr>
            <w:tcW w:type="dxa" w:w="1928"/>
            <w:vAlign w:val="center"/>
          </w:tcPr>
          <w:p>
            <w:pPr>
              <w:spacing w:after="20" w:line="252" w:lineRule="auto"/>
            </w:pPr>
            <w:r>
              <w:rPr>
                <w:sz w:val="17"/>
              </w:rPr>
              <w:t>Paid and organic self-serve</w:t>
            </w:r>
          </w:p>
        </w:tc>
        <w:tc>
          <w:tcPr>
            <w:tcW w:type="dxa" w:w="1928"/>
            <w:vAlign w:val="center"/>
          </w:tcPr>
          <w:p>
            <w:pPr>
              <w:spacing w:after="20" w:line="252" w:lineRule="auto"/>
            </w:pPr>
            <w:r>
              <w:rPr>
                <w:sz w:val="17"/>
              </w:rPr>
              <w:t>Paid and organic self-serve, plus onboarding help</w:t>
            </w:r>
          </w:p>
        </w:tc>
        <w:tc>
          <w:tcPr>
            <w:tcW w:type="dxa" w:w="2041"/>
            <w:vAlign w:val="center"/>
          </w:tcPr>
          <w:p>
            <w:pPr>
              <w:spacing w:after="20" w:line="252" w:lineRule="auto"/>
            </w:pPr>
            <w:r>
              <w:rPr>
                <w:sz w:val="17"/>
              </w:rPr>
              <w:t>0.5 inbound a month in South Africa plus 1.5 per partnerships manager; 0.4 per country lead</w:t>
            </w:r>
          </w:p>
        </w:tc>
        <w:tc>
          <w:tcPr>
            <w:tcW w:type="dxa" w:w="1474"/>
            <w:vAlign w:val="center"/>
          </w:tcPr>
          <w:p>
            <w:pPr>
              <w:spacing w:after="20" w:line="252" w:lineRule="auto"/>
            </w:pPr>
            <w:r>
              <w:rPr>
                <w:sz w:val="17"/>
              </w:rPr>
              <w:t>Inbound only: 1 deal in FY1</w:t>
            </w:r>
          </w:p>
        </w:tc>
      </w:tr>
      <w:tr>
        <w:trPr>
          <w:cantSplit/>
        </w:trPr>
        <w:tc>
          <w:tcPr>
            <w:tcW w:type="dxa" w:w="2268"/>
            <w:shd w:val="clear" w:color="auto" w:fill="FAFAFB"/>
            <w:vAlign w:val="center"/>
          </w:tcPr>
          <w:p>
            <w:pPr>
              <w:spacing w:after="20" w:line="252" w:lineRule="auto"/>
            </w:pPr>
            <w:r>
              <w:rPr>
                <w:b/>
                <w:sz w:val="17"/>
              </w:rPr>
              <w:t>Paid CAC assumption</w:t>
            </w:r>
          </w:p>
        </w:tc>
        <w:tc>
          <w:tcPr>
            <w:tcW w:type="dxa" w:w="1928"/>
            <w:shd w:val="clear" w:color="auto" w:fill="FAFAFB"/>
            <w:vAlign w:val="center"/>
          </w:tcPr>
          <w:p>
            <w:pPr>
              <w:spacing w:after="20" w:line="252" w:lineRule="auto"/>
            </w:pPr>
            <w:r>
              <w:rPr>
                <w:sz w:val="17"/>
              </w:rPr>
              <w:t>R2,200</w:t>
            </w:r>
          </w:p>
        </w:tc>
        <w:tc>
          <w:tcPr>
            <w:tcW w:type="dxa" w:w="1928"/>
            <w:shd w:val="clear" w:color="auto" w:fill="FAFAFB"/>
            <w:vAlign w:val="center"/>
          </w:tcPr>
          <w:p>
            <w:pPr>
              <w:spacing w:after="20" w:line="252" w:lineRule="auto"/>
            </w:pPr>
            <w:r>
              <w:rPr>
                <w:sz w:val="17"/>
              </w:rPr>
              <w:t>R6,500</w:t>
            </w:r>
          </w:p>
        </w:tc>
        <w:tc>
          <w:tcPr>
            <w:tcW w:type="dxa" w:w="2041"/>
            <w:shd w:val="clear" w:color="auto" w:fill="FAFAFB"/>
            <w:vAlign w:val="center"/>
          </w:tcPr>
          <w:p>
            <w:pPr>
              <w:spacing w:after="20" w:line="252" w:lineRule="auto"/>
            </w:pPr>
            <w:r>
              <w:rPr>
                <w:sz w:val="17"/>
              </w:rPr>
              <w:t>Partner programme and team cost</w:t>
            </w:r>
          </w:p>
        </w:tc>
        <w:tc>
          <w:tcPr>
            <w:tcW w:type="dxa" w:w="1474"/>
            <w:shd w:val="clear" w:color="auto" w:fill="FAFAFB"/>
            <w:vAlign w:val="center"/>
          </w:tcPr>
          <w:p>
            <w:pPr>
              <w:spacing w:after="20" w:line="252" w:lineRule="auto"/>
            </w:pPr>
            <w:r>
              <w:rPr>
                <w:sz w:val="17"/>
              </w:rPr>
              <w:t>R25,000 handling per deal</w:t>
            </w:r>
          </w:p>
        </w:tc>
      </w:tr>
      <w:tr>
        <w:trPr>
          <w:cantSplit/>
        </w:trPr>
        <w:tc>
          <w:tcPr>
            <w:tcW w:type="dxa" w:w="2268"/>
            <w:vAlign w:val="center"/>
          </w:tcPr>
          <w:p>
            <w:pPr>
              <w:spacing w:after="20" w:line="252" w:lineRule="auto"/>
            </w:pPr>
            <w:r>
              <w:rPr>
                <w:b/>
                <w:sz w:val="17"/>
              </w:rPr>
              <w:t>Monthly churn assumption</w:t>
            </w:r>
          </w:p>
        </w:tc>
        <w:tc>
          <w:tcPr>
            <w:tcW w:type="dxa" w:w="1928"/>
            <w:vAlign w:val="center"/>
          </w:tcPr>
          <w:p>
            <w:pPr>
              <w:spacing w:after="20" w:line="252" w:lineRule="auto"/>
            </w:pPr>
            <w:r>
              <w:rPr>
                <w:sz w:val="17"/>
              </w:rPr>
              <w:t>6.5% Starter / 4.0% Growth</w:t>
            </w:r>
          </w:p>
        </w:tc>
        <w:tc>
          <w:tcPr>
            <w:tcW w:type="dxa" w:w="1928"/>
            <w:vAlign w:val="center"/>
          </w:tcPr>
          <w:p>
            <w:pPr>
              <w:spacing w:after="20" w:line="252" w:lineRule="auto"/>
            </w:pPr>
            <w:r>
              <w:rPr>
                <w:sz w:val="17"/>
              </w:rPr>
              <w:t>3.0% Growth / 2.2% Scale</w:t>
            </w:r>
          </w:p>
        </w:tc>
        <w:tc>
          <w:tcPr>
            <w:tcW w:type="dxa" w:w="2041"/>
            <w:vAlign w:val="center"/>
          </w:tcPr>
          <w:p>
            <w:pPr>
              <w:spacing w:after="20" w:line="252" w:lineRule="auto"/>
            </w:pPr>
            <w:r>
              <w:rPr>
                <w:sz w:val="17"/>
              </w:rPr>
              <w:t>2.0%</w:t>
            </w:r>
          </w:p>
        </w:tc>
        <w:tc>
          <w:tcPr>
            <w:tcW w:type="dxa" w:w="1474"/>
            <w:vAlign w:val="center"/>
          </w:tcPr>
          <w:p>
            <w:pPr>
              <w:spacing w:after="20" w:line="252" w:lineRule="auto"/>
            </w:pPr>
            <w:r>
              <w:rPr>
                <w:sz w:val="17"/>
              </w:rPr>
              <w:t>1.0%</w:t>
            </w:r>
          </w:p>
        </w:tc>
      </w:tr>
      <w:tr>
        <w:trPr>
          <w:cantSplit/>
        </w:trPr>
        <w:tc>
          <w:tcPr>
            <w:tcW w:type="dxa" w:w="2268"/>
            <w:shd w:val="clear" w:color="auto" w:fill="FAFAFB"/>
            <w:vAlign w:val="center"/>
          </w:tcPr>
          <w:p>
            <w:pPr>
              <w:spacing w:after="20" w:line="252" w:lineRule="auto"/>
            </w:pPr>
            <w:r>
              <w:rPr>
                <w:b/>
                <w:sz w:val="17"/>
              </w:rPr>
              <w:t>FY3 modelled CAC</w:t>
            </w:r>
          </w:p>
        </w:tc>
        <w:tc>
          <w:tcPr>
            <w:tcW w:type="dxa" w:w="1928"/>
            <w:shd w:val="clear" w:color="auto" w:fill="FAFAFB"/>
            <w:vAlign w:val="center"/>
          </w:tcPr>
          <w:p>
            <w:pPr>
              <w:spacing w:after="20" w:line="252" w:lineRule="auto"/>
            </w:pPr>
            <w:r>
              <w:rPr>
                <w:sz w:val="17"/>
              </w:rPr>
              <w:t>R3,307</w:t>
            </w:r>
          </w:p>
        </w:tc>
        <w:tc>
          <w:tcPr>
            <w:tcW w:type="dxa" w:w="1928"/>
            <w:shd w:val="clear" w:color="auto" w:fill="FAFAFB"/>
            <w:vAlign w:val="center"/>
          </w:tcPr>
          <w:p>
            <w:pPr>
              <w:spacing w:after="20" w:line="252" w:lineRule="auto"/>
            </w:pPr>
            <w:r>
              <w:rPr>
                <w:sz w:val="17"/>
              </w:rPr>
              <w:t>R5,667</w:t>
            </w:r>
          </w:p>
        </w:tc>
        <w:tc>
          <w:tcPr>
            <w:tcW w:type="dxa" w:w="2041"/>
            <w:shd w:val="clear" w:color="auto" w:fill="FAFAFB"/>
            <w:vAlign w:val="center"/>
          </w:tcPr>
          <w:p>
            <w:pPr>
              <w:spacing w:after="20" w:line="252" w:lineRule="auto"/>
            </w:pPr>
            <w:r>
              <w:rPr>
                <w:sz w:val="17"/>
              </w:rPr>
              <w:t>R36,973</w:t>
            </w:r>
          </w:p>
        </w:tc>
        <w:tc>
          <w:tcPr>
            <w:tcW w:type="dxa" w:w="1474"/>
            <w:shd w:val="clear" w:color="auto" w:fill="FAFAFB"/>
            <w:vAlign w:val="center"/>
          </w:tcPr>
          <w:p>
            <w:pPr>
              <w:spacing w:after="20" w:line="252" w:lineRule="auto"/>
            </w:pPr>
            <w:r>
              <w:rPr>
                <w:sz w:val="17"/>
              </w:rPr>
              <w:t>R25,000</w:t>
            </w:r>
          </w:p>
        </w:tc>
      </w:tr>
      <w:tr>
        <w:trPr>
          <w:cantSplit/>
        </w:trPr>
        <w:tc>
          <w:tcPr>
            <w:tcW w:type="dxa" w:w="2268"/>
            <w:vAlign w:val="center"/>
          </w:tcPr>
          <w:p>
            <w:pPr>
              <w:spacing w:after="20" w:line="252" w:lineRule="auto"/>
            </w:pPr>
            <w:r>
              <w:rPr>
                <w:b/>
                <w:sz w:val="17"/>
              </w:rPr>
              <w:t>FY3 modelled LTV:CAC</w:t>
            </w:r>
          </w:p>
        </w:tc>
        <w:tc>
          <w:tcPr>
            <w:tcW w:type="dxa" w:w="1928"/>
            <w:vAlign w:val="center"/>
          </w:tcPr>
          <w:p>
            <w:pPr>
              <w:spacing w:after="20" w:line="252" w:lineRule="auto"/>
            </w:pPr>
            <w:r>
              <w:rPr>
                <w:sz w:val="17"/>
              </w:rPr>
              <w:t>3.0x</w:t>
            </w:r>
          </w:p>
        </w:tc>
        <w:tc>
          <w:tcPr>
            <w:tcW w:type="dxa" w:w="1928"/>
            <w:vAlign w:val="center"/>
          </w:tcPr>
          <w:p>
            <w:pPr>
              <w:spacing w:after="20" w:line="252" w:lineRule="auto"/>
            </w:pPr>
            <w:r>
              <w:rPr>
                <w:sz w:val="17"/>
              </w:rPr>
              <w:t>12.8x</w:t>
            </w:r>
          </w:p>
        </w:tc>
        <w:tc>
          <w:tcPr>
            <w:tcW w:type="dxa" w:w="2041"/>
            <w:vAlign w:val="center"/>
          </w:tcPr>
          <w:p>
            <w:pPr>
              <w:spacing w:after="20" w:line="252" w:lineRule="auto"/>
            </w:pPr>
            <w:r>
              <w:rPr>
                <w:sz w:val="17"/>
              </w:rPr>
              <w:t>6.0x</w:t>
            </w:r>
          </w:p>
        </w:tc>
        <w:tc>
          <w:tcPr>
            <w:tcW w:type="dxa" w:w="1474"/>
            <w:vAlign w:val="center"/>
          </w:tcPr>
          <w:p>
            <w:pPr>
              <w:spacing w:after="20" w:line="252" w:lineRule="auto"/>
            </w:pPr>
            <w:r>
              <w:rPr>
                <w:sz w:val="17"/>
              </w:rPr>
              <w:t>66.2x</w:t>
            </w:r>
          </w:p>
        </w:tc>
      </w:tr>
    </w:tbl>
    <w:p>
      <w:pPr>
        <w:spacing w:after="0" w:line="120" w:lineRule="exact"/>
      </w:pPr>
    </w:p>
    <w:p>
      <w:pPr>
        <w:spacing w:after="200"/>
      </w:pPr>
      <w:r>
        <w:rPr>
          <w:color w:val="5B6570"/>
          <w:sz w:val="17"/>
        </w:rPr>
        <w:t>Source: FluxMuse Financial Model v2 (Base case), 11 September 2026.</w:t>
      </w:r>
    </w:p>
    <w:p>
      <w:r>
        <w:rPr>
          <w:b/>
        </w:rPr>
        <w:t>Paid acquisition is capped, not open-ended.</w:t>
      </w:r>
      <w:r>
        <w:rPr/>
        <w:t xml:space="preserve"> Monthly paid spend is limited to R40,000 plus 35% of last month's net MRR in the Base case, and is switched off in any segment or market where CAC payback would exceed 12 months. In FY1 the cap funds 77% of the paid acquisition the funnel wants, and 100% from FY2 on. Growth is therefore self-financing by design.</w:t>
      </w:r>
    </w:p>
    <w:p>
      <w:pPr>
        <w:pStyle w:val="Heading1"/>
        <w:pageBreakBefore/>
      </w:pPr>
      <w:r>
        <w:rPr/>
        <w:t>9. Pricing strategy</w:t>
      </w:r>
    </w:p>
    <w:p>
      <w:r>
        <w:rPr/>
        <w:t>Base currency is the South African rand. Annual plans cost 10× the monthly price, so two months are free. A 14-day free trial with no card comes before any plan.</w:t>
      </w:r>
    </w:p>
    <w:p>
      <w:pPr>
        <w:pStyle w:val="Heading2"/>
      </w:pPr>
      <w:r>
        <w:rPr/>
        <w:t>Plans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lans and list prices (ZAR)"/>
      </w:tblPr>
      <w:tblGrid>
        <w:gridCol w:w="1190"/>
        <w:gridCol w:w="1303"/>
        <w:gridCol w:w="1247"/>
        <w:gridCol w:w="963"/>
        <w:gridCol w:w="963"/>
        <w:gridCol w:w="1247"/>
        <w:gridCol w:w="2721"/>
      </w:tblGrid>
      <w:tr>
        <w:trPr>
          <w:cantSplit/>
          <w:tblHeader/>
        </w:trPr>
        <w:tc>
          <w:tcPr>
            <w:tcW w:type="dxa" w:w="1191"/>
            <w:shd w:val="clear" w:color="auto" w:fill="FF6A00"/>
            <w:vAlign w:val="center"/>
          </w:tcPr>
          <w:p>
            <w:pPr>
              <w:keepNext/>
              <w:spacing w:after="20" w:line="252" w:lineRule="auto"/>
            </w:pPr>
            <w:r>
              <w:rPr>
                <w:rFonts w:ascii="Poppins" w:hAnsi="Poppins" w:cs="Poppins" w:eastAsia="Poppins"/>
                <w:b/>
                <w:color w:val="20242B"/>
                <w:sz w:val="17"/>
              </w:rPr>
              <w:t>Plan</w:t>
            </w:r>
          </w:p>
        </w:tc>
        <w:tc>
          <w:tcPr>
            <w:tcW w:type="dxa" w:w="1304"/>
            <w:shd w:val="clear" w:color="auto" w:fill="FF6A00"/>
            <w:vAlign w:val="center"/>
          </w:tcPr>
          <w:p>
            <w:pPr>
              <w:keepNext/>
              <w:spacing w:after="20" w:line="252" w:lineRule="auto"/>
              <w:jc w:val="right"/>
            </w:pPr>
            <w:r>
              <w:rPr>
                <w:rFonts w:ascii="Poppins" w:hAnsi="Poppins" w:cs="Poppins" w:eastAsia="Poppins"/>
                <w:b/>
                <w:color w:val="20242B"/>
                <w:sz w:val="17"/>
              </w:rPr>
              <w:t>Monthly (ZAR)</w:t>
            </w:r>
          </w:p>
        </w:tc>
        <w:tc>
          <w:tcPr>
            <w:tcW w:type="dxa" w:w="1247"/>
            <w:shd w:val="clear" w:color="auto" w:fill="FF6A00"/>
            <w:vAlign w:val="center"/>
          </w:tcPr>
          <w:p>
            <w:pPr>
              <w:keepNext/>
              <w:spacing w:after="20" w:line="252" w:lineRule="auto"/>
              <w:jc w:val="right"/>
            </w:pPr>
            <w:r>
              <w:rPr>
                <w:rFonts w:ascii="Poppins" w:hAnsi="Poppins" w:cs="Poppins" w:eastAsia="Poppins"/>
                <w:b/>
                <w:color w:val="20242B"/>
                <w:sz w:val="17"/>
              </w:rPr>
              <w:t>Annual (ZAR)</w:t>
            </w:r>
          </w:p>
        </w:tc>
        <w:tc>
          <w:tcPr>
            <w:tcW w:type="dxa" w:w="964"/>
            <w:shd w:val="clear" w:color="auto" w:fill="FF6A00"/>
            <w:vAlign w:val="center"/>
          </w:tcPr>
          <w:p>
            <w:pPr>
              <w:keepNext/>
              <w:spacing w:after="20" w:line="252" w:lineRule="auto"/>
              <w:jc w:val="right"/>
            </w:pPr>
            <w:r>
              <w:rPr>
                <w:rFonts w:ascii="Poppins" w:hAnsi="Poppins" w:cs="Poppins" w:eastAsia="Poppins"/>
                <w:b/>
                <w:color w:val="20242B"/>
                <w:sz w:val="17"/>
              </w:rPr>
              <w:t>Brands</w:t>
            </w:r>
          </w:p>
        </w:tc>
        <w:tc>
          <w:tcPr>
            <w:tcW w:type="dxa" w:w="964"/>
            <w:shd w:val="clear" w:color="auto" w:fill="FF6A00"/>
            <w:vAlign w:val="center"/>
          </w:tcPr>
          <w:p>
            <w:pPr>
              <w:keepNext/>
              <w:spacing w:after="20" w:line="252" w:lineRule="auto"/>
              <w:jc w:val="right"/>
            </w:pPr>
            <w:r>
              <w:rPr>
                <w:rFonts w:ascii="Poppins" w:hAnsi="Poppins" w:cs="Poppins" w:eastAsia="Poppins"/>
                <w:b/>
                <w:color w:val="20242B"/>
                <w:sz w:val="17"/>
              </w:rPr>
              <w:t>Channels</w:t>
            </w:r>
          </w:p>
        </w:tc>
        <w:tc>
          <w:tcPr>
            <w:tcW w:type="dxa" w:w="1247"/>
            <w:shd w:val="clear" w:color="auto" w:fill="FF6A00"/>
            <w:vAlign w:val="center"/>
          </w:tcPr>
          <w:p>
            <w:pPr>
              <w:keepNext/>
              <w:spacing w:after="20" w:line="252" w:lineRule="auto"/>
              <w:jc w:val="right"/>
            </w:pPr>
            <w:r>
              <w:rPr>
                <w:rFonts w:ascii="Poppins" w:hAnsi="Poppins" w:cs="Poppins" w:eastAsia="Poppins"/>
                <w:b/>
                <w:color w:val="20242B"/>
                <w:sz w:val="17"/>
              </w:rPr>
              <w:t>AI credits/mo</w:t>
            </w:r>
          </w:p>
        </w:tc>
        <w:tc>
          <w:tcPr>
            <w:tcW w:type="dxa" w:w="2721"/>
            <w:shd w:val="clear" w:color="auto" w:fill="FF6A00"/>
            <w:vAlign w:val="center"/>
          </w:tcPr>
          <w:p>
            <w:pPr>
              <w:keepNext/>
              <w:spacing w:after="20" w:line="252" w:lineRule="auto"/>
            </w:pPr>
            <w:r>
              <w:rPr>
                <w:rFonts w:ascii="Poppins" w:hAnsi="Poppins" w:cs="Poppins" w:eastAsia="Poppins"/>
                <w:b/>
                <w:color w:val="20242B"/>
                <w:sz w:val="17"/>
              </w:rPr>
              <w:t>For</w:t>
            </w:r>
          </w:p>
        </w:tc>
      </w:tr>
      <w:tr>
        <w:trPr>
          <w:cantSplit/>
        </w:trPr>
        <w:tc>
          <w:tcPr>
            <w:tcW w:type="dxa" w:w="1191"/>
            <w:vAlign w:val="center"/>
          </w:tcPr>
          <w:p>
            <w:pPr>
              <w:spacing w:after="20" w:line="252" w:lineRule="auto"/>
            </w:pPr>
            <w:r>
              <w:rPr>
                <w:b/>
                <w:sz w:val="17"/>
              </w:rPr>
              <w:t>Starter</w:t>
            </w:r>
          </w:p>
        </w:tc>
        <w:tc>
          <w:tcPr>
            <w:tcW w:type="dxa" w:w="1304"/>
            <w:vAlign w:val="center"/>
          </w:tcPr>
          <w:p>
            <w:pPr>
              <w:spacing w:after="20" w:line="252" w:lineRule="auto"/>
              <w:jc w:val="right"/>
            </w:pPr>
            <w:r>
              <w:rPr>
                <w:sz w:val="17"/>
              </w:rPr>
              <w:t>R499</w:t>
            </w:r>
          </w:p>
        </w:tc>
        <w:tc>
          <w:tcPr>
            <w:tcW w:type="dxa" w:w="1247"/>
            <w:vAlign w:val="center"/>
          </w:tcPr>
          <w:p>
            <w:pPr>
              <w:spacing w:after="20" w:line="252" w:lineRule="auto"/>
              <w:jc w:val="right"/>
            </w:pPr>
            <w:r>
              <w:rPr>
                <w:sz w:val="17"/>
              </w:rPr>
              <w:t>R4,990</w:t>
            </w:r>
          </w:p>
        </w:tc>
        <w:tc>
          <w:tcPr>
            <w:tcW w:type="dxa" w:w="964"/>
            <w:vAlign w:val="center"/>
          </w:tcPr>
          <w:p>
            <w:pPr>
              <w:spacing w:after="20" w:line="252" w:lineRule="auto"/>
              <w:jc w:val="right"/>
            </w:pPr>
            <w:r>
              <w:rPr>
                <w:sz w:val="17"/>
              </w:rPr>
              <w:t>1</w:t>
            </w:r>
          </w:p>
        </w:tc>
        <w:tc>
          <w:tcPr>
            <w:tcW w:type="dxa" w:w="964"/>
            <w:vAlign w:val="center"/>
          </w:tcPr>
          <w:p>
            <w:pPr>
              <w:spacing w:after="20" w:line="252" w:lineRule="auto"/>
              <w:jc w:val="right"/>
            </w:pPr>
            <w:r>
              <w:rPr>
                <w:sz w:val="17"/>
              </w:rPr>
              <w:t>3</w:t>
            </w:r>
          </w:p>
        </w:tc>
        <w:tc>
          <w:tcPr>
            <w:tcW w:type="dxa" w:w="1247"/>
            <w:vAlign w:val="center"/>
          </w:tcPr>
          <w:p>
            <w:pPr>
              <w:spacing w:after="20" w:line="252" w:lineRule="auto"/>
              <w:jc w:val="right"/>
            </w:pPr>
            <w:r>
              <w:rPr>
                <w:sz w:val="17"/>
              </w:rPr>
              <w:t>5,000</w:t>
            </w:r>
          </w:p>
        </w:tc>
        <w:tc>
          <w:tcPr>
            <w:tcW w:type="dxa" w:w="2721"/>
            <w:vAlign w:val="center"/>
          </w:tcPr>
          <w:p>
            <w:pPr>
              <w:spacing w:after="20" w:line="252" w:lineRule="auto"/>
            </w:pPr>
            <w:r>
              <w:rPr>
                <w:sz w:val="17"/>
              </w:rPr>
              <w:t>Solo founders; community support</w:t>
            </w:r>
          </w:p>
        </w:tc>
      </w:tr>
      <w:tr>
        <w:trPr>
          <w:cantSplit/>
        </w:trPr>
        <w:tc>
          <w:tcPr>
            <w:tcW w:type="dxa" w:w="1191"/>
            <w:shd w:val="clear" w:color="auto" w:fill="FAFAFB"/>
            <w:vAlign w:val="center"/>
          </w:tcPr>
          <w:p>
            <w:pPr>
              <w:spacing w:after="20" w:line="252" w:lineRule="auto"/>
            </w:pPr>
            <w:r>
              <w:rPr>
                <w:b/>
                <w:sz w:val="17"/>
              </w:rPr>
              <w:t>Growth</w:t>
            </w:r>
          </w:p>
        </w:tc>
        <w:tc>
          <w:tcPr>
            <w:tcW w:type="dxa" w:w="1304"/>
            <w:shd w:val="clear" w:color="auto" w:fill="FAFAFB"/>
            <w:vAlign w:val="center"/>
          </w:tcPr>
          <w:p>
            <w:pPr>
              <w:spacing w:after="20" w:line="252" w:lineRule="auto"/>
              <w:jc w:val="right"/>
            </w:pPr>
            <w:r>
              <w:rPr>
                <w:sz w:val="17"/>
              </w:rPr>
              <w:t>R1,999</w:t>
            </w:r>
          </w:p>
        </w:tc>
        <w:tc>
          <w:tcPr>
            <w:tcW w:type="dxa" w:w="1247"/>
            <w:shd w:val="clear" w:color="auto" w:fill="FAFAFB"/>
            <w:vAlign w:val="center"/>
          </w:tcPr>
          <w:p>
            <w:pPr>
              <w:spacing w:after="20" w:line="252" w:lineRule="auto"/>
              <w:jc w:val="right"/>
            </w:pPr>
            <w:r>
              <w:rPr>
                <w:sz w:val="17"/>
              </w:rPr>
              <w:t>R19,990</w:t>
            </w:r>
          </w:p>
        </w:tc>
        <w:tc>
          <w:tcPr>
            <w:tcW w:type="dxa" w:w="964"/>
            <w:shd w:val="clear" w:color="auto" w:fill="FAFAFB"/>
            <w:vAlign w:val="center"/>
          </w:tcPr>
          <w:p>
            <w:pPr>
              <w:spacing w:after="20" w:line="252" w:lineRule="auto"/>
              <w:jc w:val="right"/>
            </w:pPr>
            <w:r>
              <w:rPr>
                <w:sz w:val="17"/>
              </w:rPr>
              <w:t>3</w:t>
            </w:r>
          </w:p>
        </w:tc>
        <w:tc>
          <w:tcPr>
            <w:tcW w:type="dxa" w:w="964"/>
            <w:shd w:val="clear" w:color="auto" w:fill="FAFAFB"/>
            <w:vAlign w:val="center"/>
          </w:tcPr>
          <w:p>
            <w:pPr>
              <w:spacing w:after="20" w:line="252" w:lineRule="auto"/>
              <w:jc w:val="right"/>
            </w:pPr>
            <w:r>
              <w:rPr>
                <w:sz w:val="17"/>
              </w:rPr>
              <w:t>15</w:t>
            </w:r>
          </w:p>
        </w:tc>
        <w:tc>
          <w:tcPr>
            <w:tcW w:type="dxa" w:w="1247"/>
            <w:shd w:val="clear" w:color="auto" w:fill="FAFAFB"/>
            <w:vAlign w:val="center"/>
          </w:tcPr>
          <w:p>
            <w:pPr>
              <w:spacing w:after="20" w:line="252" w:lineRule="auto"/>
              <w:jc w:val="right"/>
            </w:pPr>
            <w:r>
              <w:rPr>
                <w:sz w:val="17"/>
              </w:rPr>
              <w:t>25,000</w:t>
            </w:r>
          </w:p>
        </w:tc>
        <w:tc>
          <w:tcPr>
            <w:tcW w:type="dxa" w:w="2721"/>
            <w:shd w:val="clear" w:color="auto" w:fill="FAFAFB"/>
            <w:vAlign w:val="center"/>
          </w:tcPr>
          <w:p>
            <w:pPr>
              <w:spacing w:after="20" w:line="252" w:lineRule="auto"/>
            </w:pPr>
            <w:r>
              <w:rPr>
                <w:sz w:val="17"/>
              </w:rPr>
              <w:t>E-commerce and WhatsApp commerce, USSD, integrations; email support</w:t>
            </w:r>
          </w:p>
        </w:tc>
      </w:tr>
      <w:tr>
        <w:trPr>
          <w:cantSplit/>
        </w:trPr>
        <w:tc>
          <w:tcPr>
            <w:tcW w:type="dxa" w:w="1191"/>
            <w:vAlign w:val="center"/>
          </w:tcPr>
          <w:p>
            <w:pPr>
              <w:spacing w:after="20" w:line="252" w:lineRule="auto"/>
            </w:pPr>
            <w:r>
              <w:rPr>
                <w:b/>
                <w:sz w:val="17"/>
              </w:rPr>
              <w:t>Scale</w:t>
            </w:r>
          </w:p>
        </w:tc>
        <w:tc>
          <w:tcPr>
            <w:tcW w:type="dxa" w:w="1304"/>
            <w:vAlign w:val="center"/>
          </w:tcPr>
          <w:p>
            <w:pPr>
              <w:spacing w:after="20" w:line="252" w:lineRule="auto"/>
              <w:jc w:val="right"/>
            </w:pPr>
            <w:r>
              <w:rPr>
                <w:sz w:val="17"/>
              </w:rPr>
              <w:t>R4,999</w:t>
            </w:r>
          </w:p>
        </w:tc>
        <w:tc>
          <w:tcPr>
            <w:tcW w:type="dxa" w:w="1247"/>
            <w:vAlign w:val="center"/>
          </w:tcPr>
          <w:p>
            <w:pPr>
              <w:spacing w:after="20" w:line="252" w:lineRule="auto"/>
              <w:jc w:val="right"/>
            </w:pPr>
            <w:r>
              <w:rPr>
                <w:sz w:val="17"/>
              </w:rPr>
              <w:t>R49,990</w:t>
            </w:r>
          </w:p>
        </w:tc>
        <w:tc>
          <w:tcPr>
            <w:tcW w:type="dxa" w:w="964"/>
            <w:vAlign w:val="center"/>
          </w:tcPr>
          <w:p>
            <w:pPr>
              <w:spacing w:after="20" w:line="252" w:lineRule="auto"/>
              <w:jc w:val="right"/>
            </w:pPr>
            <w:r>
              <w:rPr>
                <w:sz w:val="17"/>
              </w:rPr>
              <w:t>10</w:t>
            </w:r>
          </w:p>
        </w:tc>
        <w:tc>
          <w:tcPr>
            <w:tcW w:type="dxa" w:w="964"/>
            <w:vAlign w:val="center"/>
          </w:tcPr>
          <w:p>
            <w:pPr>
              <w:spacing w:after="20" w:line="252" w:lineRule="auto"/>
              <w:jc w:val="right"/>
            </w:pPr>
            <w:r>
              <w:rPr>
                <w:sz w:val="17"/>
              </w:rPr>
              <w:t>40</w:t>
            </w:r>
          </w:p>
        </w:tc>
        <w:tc>
          <w:tcPr>
            <w:tcW w:type="dxa" w:w="1247"/>
            <w:vAlign w:val="center"/>
          </w:tcPr>
          <w:p>
            <w:pPr>
              <w:spacing w:after="20" w:line="252" w:lineRule="auto"/>
              <w:jc w:val="right"/>
            </w:pPr>
            <w:r>
              <w:rPr>
                <w:sz w:val="17"/>
              </w:rPr>
              <w:t>100,000</w:t>
            </w:r>
          </w:p>
        </w:tc>
        <w:tc>
          <w:tcPr>
            <w:tcW w:type="dxa" w:w="2721"/>
            <w:vAlign w:val="center"/>
          </w:tcPr>
          <w:p>
            <w:pPr>
              <w:spacing w:after="20" w:line="252" w:lineRule="auto"/>
            </w:pPr>
            <w:r>
              <w:rPr>
                <w:sz w:val="17"/>
              </w:rPr>
              <w:t>API access, white-label reports, priority support</w:t>
            </w:r>
          </w:p>
        </w:tc>
      </w:tr>
      <w:tr>
        <w:trPr>
          <w:cantSplit/>
        </w:trPr>
        <w:tc>
          <w:tcPr>
            <w:tcW w:type="dxa" w:w="1191"/>
            <w:shd w:val="clear" w:color="auto" w:fill="FAFAFB"/>
            <w:vAlign w:val="center"/>
          </w:tcPr>
          <w:p>
            <w:pPr>
              <w:spacing w:after="20" w:line="252" w:lineRule="auto"/>
            </w:pPr>
            <w:r>
              <w:rPr>
                <w:b/>
                <w:sz w:val="17"/>
              </w:rPr>
              <w:t>Agency</w:t>
            </w:r>
          </w:p>
        </w:tc>
        <w:tc>
          <w:tcPr>
            <w:tcW w:type="dxa" w:w="1304"/>
            <w:shd w:val="clear" w:color="auto" w:fill="FAFAFB"/>
            <w:vAlign w:val="center"/>
          </w:tcPr>
          <w:p>
            <w:pPr>
              <w:spacing w:after="20" w:line="252" w:lineRule="auto"/>
              <w:jc w:val="right"/>
            </w:pPr>
            <w:r>
              <w:rPr>
                <w:sz w:val="17"/>
              </w:rPr>
              <w:t>R7,999</w:t>
            </w:r>
          </w:p>
        </w:tc>
        <w:tc>
          <w:tcPr>
            <w:tcW w:type="dxa" w:w="1247"/>
            <w:shd w:val="clear" w:color="auto" w:fill="FAFAFB"/>
            <w:vAlign w:val="center"/>
          </w:tcPr>
          <w:p>
            <w:pPr>
              <w:spacing w:after="20" w:line="252" w:lineRule="auto"/>
              <w:jc w:val="right"/>
            </w:pPr>
            <w:r>
              <w:rPr>
                <w:sz w:val="17"/>
              </w:rPr>
              <w:t>R79,990</w:t>
            </w:r>
          </w:p>
        </w:tc>
        <w:tc>
          <w:tcPr>
            <w:tcW w:type="dxa" w:w="964"/>
            <w:shd w:val="clear" w:color="auto" w:fill="FAFAFB"/>
            <w:vAlign w:val="center"/>
          </w:tcPr>
          <w:p>
            <w:pPr>
              <w:spacing w:after="20" w:line="252" w:lineRule="auto"/>
              <w:jc w:val="right"/>
            </w:pPr>
            <w:r>
              <w:rPr>
                <w:sz w:val="17"/>
              </w:rPr>
              <w:t>Unlimited</w:t>
            </w:r>
          </w:p>
        </w:tc>
        <w:tc>
          <w:tcPr>
            <w:tcW w:type="dxa" w:w="964"/>
            <w:shd w:val="clear" w:color="auto" w:fill="FAFAFB"/>
            <w:vAlign w:val="center"/>
          </w:tcPr>
          <w:p>
            <w:pPr>
              <w:spacing w:after="20" w:line="252" w:lineRule="auto"/>
              <w:jc w:val="right"/>
            </w:pPr>
            <w:r>
              <w:rPr>
                <w:sz w:val="17"/>
              </w:rPr>
              <w:t>80</w:t>
            </w:r>
          </w:p>
        </w:tc>
        <w:tc>
          <w:tcPr>
            <w:tcW w:type="dxa" w:w="1247"/>
            <w:shd w:val="clear" w:color="auto" w:fill="FAFAFB"/>
            <w:vAlign w:val="center"/>
          </w:tcPr>
          <w:p>
            <w:pPr>
              <w:spacing w:after="20" w:line="252" w:lineRule="auto"/>
              <w:jc w:val="right"/>
            </w:pPr>
            <w:r>
              <w:rPr>
                <w:sz w:val="17"/>
              </w:rPr>
              <w:t>500,000</w:t>
            </w:r>
          </w:p>
        </w:tc>
        <w:tc>
          <w:tcPr>
            <w:tcW w:type="dxa" w:w="2721"/>
            <w:shd w:val="clear" w:color="auto" w:fill="FAFAFB"/>
            <w:vAlign w:val="center"/>
          </w:tcPr>
          <w:p>
            <w:pPr>
              <w:spacing w:after="20" w:line="252" w:lineRule="auto"/>
            </w:pPr>
            <w:r>
              <w:rPr>
                <w:sz w:val="17"/>
              </w:rPr>
              <w:t>Full white-label, 50 sub-accounts, reseller billing</w:t>
            </w:r>
          </w:p>
        </w:tc>
      </w:tr>
      <w:tr>
        <w:trPr>
          <w:cantSplit/>
        </w:trPr>
        <w:tc>
          <w:tcPr>
            <w:tcW w:type="dxa" w:w="1191"/>
            <w:vAlign w:val="center"/>
          </w:tcPr>
          <w:p>
            <w:pPr>
              <w:spacing w:after="20" w:line="252" w:lineRule="auto"/>
            </w:pPr>
            <w:r>
              <w:rPr>
                <w:b/>
                <w:sz w:val="17"/>
              </w:rPr>
              <w:t>Enterprise</w:t>
            </w:r>
          </w:p>
        </w:tc>
        <w:tc>
          <w:tcPr>
            <w:tcW w:type="dxa" w:w="1304"/>
            <w:vAlign w:val="center"/>
          </w:tcPr>
          <w:p>
            <w:pPr>
              <w:spacing w:after="20" w:line="252" w:lineRule="auto"/>
              <w:jc w:val="right"/>
            </w:pPr>
            <w:r>
              <w:rPr>
                <w:sz w:val="17"/>
              </w:rPr>
              <w:t>from R19,999</w:t>
            </w:r>
          </w:p>
        </w:tc>
        <w:tc>
          <w:tcPr>
            <w:tcW w:type="dxa" w:w="1247"/>
            <w:vAlign w:val="center"/>
          </w:tcPr>
          <w:p>
            <w:pPr>
              <w:spacing w:after="20" w:line="252" w:lineRule="auto"/>
              <w:jc w:val="right"/>
            </w:pPr>
            <w:r>
              <w:rPr>
                <w:sz w:val="17"/>
              </w:rPr>
              <w:t>Custom</w:t>
            </w:r>
          </w:p>
        </w:tc>
        <w:tc>
          <w:tcPr>
            <w:tcW w:type="dxa" w:w="964"/>
            <w:vAlign w:val="center"/>
          </w:tcPr>
          <w:p>
            <w:pPr>
              <w:spacing w:after="20" w:line="252" w:lineRule="auto"/>
              <w:jc w:val="right"/>
            </w:pPr>
            <w:r>
              <w:rPr>
                <w:sz w:val="17"/>
              </w:rPr>
              <w:t>Unlimited</w:t>
            </w:r>
          </w:p>
        </w:tc>
        <w:tc>
          <w:tcPr>
            <w:tcW w:type="dxa" w:w="964"/>
            <w:vAlign w:val="center"/>
          </w:tcPr>
          <w:p>
            <w:pPr>
              <w:spacing w:after="20" w:line="252" w:lineRule="auto"/>
              <w:jc w:val="right"/>
            </w:pPr>
            <w:r>
              <w:rPr>
                <w:sz w:val="17"/>
              </w:rPr>
              <w:t>Unlimited</w:t>
            </w:r>
          </w:p>
        </w:tc>
        <w:tc>
          <w:tcPr>
            <w:tcW w:type="dxa" w:w="1247"/>
            <w:vAlign w:val="center"/>
          </w:tcPr>
          <w:p>
            <w:pPr>
              <w:spacing w:after="20" w:line="252" w:lineRule="auto"/>
              <w:jc w:val="right"/>
            </w:pPr>
            <w:r>
              <w:rPr>
                <w:sz w:val="17"/>
              </w:rPr>
              <w:t>Unlimited</w:t>
            </w:r>
          </w:p>
        </w:tc>
        <w:tc>
          <w:tcPr>
            <w:tcW w:type="dxa" w:w="2721"/>
            <w:vAlign w:val="center"/>
          </w:tcPr>
          <w:p>
            <w:pPr>
              <w:spacing w:after="20" w:line="252" w:lineRule="auto"/>
            </w:pPr>
            <w:r>
              <w:rPr>
                <w:sz w:val="17"/>
              </w:rPr>
              <w:t>SSO, SLA, dedicated AI, 24×7; inbound only</w:t>
            </w:r>
          </w:p>
        </w:tc>
      </w:tr>
    </w:tbl>
    <w:p>
      <w:pPr>
        <w:spacing w:after="0" w:line="120" w:lineRule="exact"/>
      </w:pPr>
    </w:p>
    <w:p>
      <w:pPr>
        <w:pStyle w:val="Heading2"/>
      </w:pPr>
      <w:r>
        <w:rPr/>
        <w:t>Local pricing</w:t>
      </w:r>
    </w:p>
    <w:p>
      <w:r>
        <w:rPr/>
        <w:t xml:space="preserve">Nigeria, Kenya and Ghana are billed in </w:t>
      </w:r>
      <w:r>
        <w:rPr>
          <w:b/>
        </w:rPr>
        <w:t>fixed local price points</w:t>
      </w:r>
      <w:r>
        <w:rPr/>
        <w:t xml:space="preserve">, set at parity with the ZAR price at early-September 2026 rates (1 ZAR = ₦82.83 = KSh 8.07 = GH₵ 0.68), not at the day's exchange rate. The other 19 rail-covered countries are billed in </w:t>
      </w:r>
      <w:r>
        <w:rPr>
          <w:b/>
        </w:rPr>
        <w:t>US dollars</w:t>
      </w:r>
      <w:r>
        <w:rPr/>
        <w:t xml:space="preserve"> at R18.50 = US$1.</w:t>
      </w:r>
    </w:p>
    <w:p>
      <w:pPr>
        <w:keepNext/>
        <w:spacing w:before="120" w:after="0"/>
        <w:jc w:val="center"/>
      </w:pPr>
      <w:r>
        <w:drawing>
          <wp:inline xmlns:a="http://schemas.openxmlformats.org/drawingml/2006/main" xmlns:pic="http://schemas.openxmlformats.org/drawingml/2006/picture">
            <wp:extent cx="4896000" cy="2754000"/>
            <wp:docPr id="14" name="Picture 14" descr="Monthly prices per plan: Starter R499, ₦41,000, KSh 3,999, GH₵ 339, $27; Growth R1,999, ₦165,000, KSh 15,999, GH₵ 1,359, $109; Scale R4,999, ₦413,000, KSh 39,999, GH₵ 3,399, $269; Agency R7,999, ₦662,000, KSh 64,499, GH₵ 5,439, $429. Annual is ten times monthly, USD applies in 19 other rail-covered countries, other countries join the waitlist, prices reviewed quarterly."/>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896000" cy="2754000"/>
                    </a:xfrm>
                    <a:prstGeom prst="rect"/>
                  </pic:spPr>
                </pic:pic>
              </a:graphicData>
            </a:graphic>
          </wp:inline>
        </w:drawing>
      </w:r>
    </w:p>
    <w:p>
      <w:pPr>
        <w:pStyle w:val="Caption"/>
        <w:jc w:val="center"/>
      </w:pPr>
      <w:r>
        <w:rPr>
          <w:b/>
        </w:rPr>
        <w:t>Figure 13.</w:t>
      </w:r>
      <w:r>
        <w:rPr/>
        <w:t xml:space="preserve"> One set of plans, priced for each market.</w:t>
      </w:r>
    </w:p>
    <w:p>
      <w:pPr>
        <w:pStyle w:val="Heading2"/>
      </w:pPr>
      <w:r>
        <w:rPr/>
        <w:t>Repricing policy</w:t>
      </w:r>
    </w:p>
    <w:p>
      <w:pPr>
        <w:pStyle w:val="ListBullet"/>
      </w:pPr>
      <w:r>
        <w:rPr/>
        <w:t xml:space="preserve">Local prices are </w:t>
      </w:r>
      <w:r>
        <w:rPr>
          <w:b/>
        </w:rPr>
        <w:t>reviewed quarterly</w:t>
      </w:r>
      <w:r>
        <w:rPr/>
        <w:t xml:space="preserve">. If the rand value of a local price has drifted more than </w:t>
      </w:r>
      <w:r>
        <w:rPr>
          <w:b/>
        </w:rPr>
        <w:t>10%</w:t>
      </w:r>
      <w:r>
        <w:rPr/>
        <w:t>, the price is reset to parity, using the rate observed a quarter earlier.</w:t>
      </w:r>
    </w:p>
    <w:p>
      <w:pPr>
        <w:pStyle w:val="ListBullet"/>
      </w:pPr>
      <w:r>
        <w:rPr/>
        <w:t xml:space="preserve">A </w:t>
      </w:r>
      <w:r>
        <w:rPr>
          <w:b/>
        </w:rPr>
        <w:t>6% list-price escalator</w:t>
      </w:r>
      <w:r>
        <w:rPr/>
        <w:t xml:space="preserve"> applies each October in all markets.</w:t>
      </w:r>
    </w:p>
    <w:p>
      <w:pPr>
        <w:pStyle w:val="ListBullet"/>
      </w:pPr>
      <w:r>
        <w:rPr/>
        <w:t>The model assumes annual depreciation against the rand of NGN −10%, GHS −8%, KES −3% and USD 0% (</w:t>
      </w:r>
      <w:r>
        <w:rPr>
          <w:b/>
          <w:color w:val="20242B"/>
          <w:shd w:val="clear" w:color="auto" w:fill="FFF1A8"/>
        </w:rPr>
        <w:t>[[CONFIRM FX ASSUMPTIONS]]</w:t>
      </w:r>
      <w:r>
        <w:rPr/>
        <w:t>).</w:t>
      </w:r>
    </w:p>
    <w:p>
      <w:pPr>
        <w:pStyle w:val="ListBullet"/>
      </w:pPr>
      <w:r>
        <w:rPr/>
        <w:t>Section 12 shows why this discipline matters: in a 15% rand-strengthening shock, repricing is the difference between a one-quarter dip and a R9.9m hit to FY5 EBITDA.</w:t>
      </w:r>
    </w:p>
    <w:p>
      <w:pPr>
        <w:pStyle w:val="Heading2"/>
      </w:pPr>
      <w:r>
        <w:rPr/>
        <w:t>Partner wholesale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wholesale pricing"/>
      </w:tblPr>
      <w:tblGrid>
        <w:gridCol w:w="2834"/>
        <w:gridCol w:w="1360"/>
        <w:gridCol w:w="1530"/>
        <w:gridCol w:w="1417"/>
        <w:gridCol w:w="1360"/>
        <w:gridCol w:w="1133"/>
      </w:tblGrid>
      <w:tr>
        <w:trPr>
          <w:cantSplit/>
          <w:tblHeader/>
        </w:trPr>
        <w:tc>
          <w:tcPr>
            <w:tcW w:type="dxa" w:w="2835"/>
            <w:shd w:val="clear" w:color="auto" w:fill="FF6A00"/>
            <w:vAlign w:val="center"/>
          </w:tcPr>
          <w:p>
            <w:pPr>
              <w:keepNext/>
              <w:spacing w:after="20" w:line="252" w:lineRule="auto"/>
            </w:pP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8"/>
              </w:rPr>
              <w:t>ZAR</w:t>
            </w:r>
          </w:p>
        </w:tc>
        <w:tc>
          <w:tcPr>
            <w:tcW w:type="dxa" w:w="1531"/>
            <w:shd w:val="clear" w:color="auto" w:fill="FF6A00"/>
            <w:vAlign w:val="center"/>
          </w:tcPr>
          <w:p>
            <w:pPr>
              <w:keepNext/>
              <w:spacing w:after="20" w:line="252" w:lineRule="auto"/>
              <w:jc w:val="right"/>
            </w:pPr>
            <w:r>
              <w:rPr>
                <w:rFonts w:ascii="Poppins" w:hAnsi="Poppins" w:cs="Poppins" w:eastAsia="Poppins"/>
                <w:b/>
                <w:color w:val="20242B"/>
                <w:sz w:val="18"/>
              </w:rPr>
              <w:t>NGN</w:t>
            </w:r>
          </w:p>
        </w:tc>
        <w:tc>
          <w:tcPr>
            <w:tcW w:type="dxa" w:w="1417"/>
            <w:shd w:val="clear" w:color="auto" w:fill="FF6A00"/>
            <w:vAlign w:val="center"/>
          </w:tcPr>
          <w:p>
            <w:pPr>
              <w:keepNext/>
              <w:spacing w:after="20" w:line="252" w:lineRule="auto"/>
              <w:jc w:val="right"/>
            </w:pPr>
            <w:r>
              <w:rPr>
                <w:rFonts w:ascii="Poppins" w:hAnsi="Poppins" w:cs="Poppins" w:eastAsia="Poppins"/>
                <w:b/>
                <w:color w:val="20242B"/>
                <w:sz w:val="18"/>
              </w:rPr>
              <w:t>KES</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8"/>
              </w:rPr>
              <w:t>GHS</w:t>
            </w:r>
          </w:p>
        </w:tc>
        <w:tc>
          <w:tcPr>
            <w:tcW w:type="dxa" w:w="1134"/>
            <w:shd w:val="clear" w:color="auto" w:fill="FF6A00"/>
            <w:vAlign w:val="center"/>
          </w:tcPr>
          <w:p>
            <w:pPr>
              <w:keepNext/>
              <w:spacing w:after="20" w:line="252" w:lineRule="auto"/>
              <w:jc w:val="right"/>
            </w:pPr>
            <w:r>
              <w:rPr>
                <w:rFonts w:ascii="Poppins" w:hAnsi="Poppins" w:cs="Poppins" w:eastAsia="Poppins"/>
                <w:b/>
                <w:color w:val="20242B"/>
                <w:sz w:val="18"/>
              </w:rPr>
              <w:t>USD</w:t>
            </w:r>
          </w:p>
        </w:tc>
      </w:tr>
      <w:tr>
        <w:trPr>
          <w:cantSplit/>
        </w:trPr>
        <w:tc>
          <w:tcPr>
            <w:tcW w:type="dxa" w:w="2835"/>
            <w:vAlign w:val="center"/>
          </w:tcPr>
          <w:p>
            <w:pPr>
              <w:spacing w:after="20" w:line="252" w:lineRule="auto"/>
            </w:pPr>
            <w:r>
              <w:rPr>
                <w:b/>
                <w:sz w:val="18"/>
              </w:rPr>
              <w:t>Agency list, monthly</w:t>
            </w:r>
          </w:p>
        </w:tc>
        <w:tc>
          <w:tcPr>
            <w:tcW w:type="dxa" w:w="1361"/>
            <w:vAlign w:val="center"/>
          </w:tcPr>
          <w:p>
            <w:pPr>
              <w:spacing w:after="20" w:line="252" w:lineRule="auto"/>
              <w:jc w:val="right"/>
            </w:pPr>
            <w:r>
              <w:rPr>
                <w:sz w:val="18"/>
              </w:rPr>
              <w:t>R7,999</w:t>
            </w:r>
          </w:p>
        </w:tc>
        <w:tc>
          <w:tcPr>
            <w:tcW w:type="dxa" w:w="1531"/>
            <w:vAlign w:val="center"/>
          </w:tcPr>
          <w:p>
            <w:pPr>
              <w:spacing w:after="20" w:line="252" w:lineRule="auto"/>
              <w:jc w:val="right"/>
            </w:pPr>
            <w:r>
              <w:rPr>
                <w:sz w:val="18"/>
              </w:rPr>
              <w:t>₦662,000</w:t>
            </w:r>
          </w:p>
        </w:tc>
        <w:tc>
          <w:tcPr>
            <w:tcW w:type="dxa" w:w="1417"/>
            <w:vAlign w:val="center"/>
          </w:tcPr>
          <w:p>
            <w:pPr>
              <w:spacing w:after="20" w:line="252" w:lineRule="auto"/>
              <w:jc w:val="right"/>
            </w:pPr>
            <w:r>
              <w:rPr>
                <w:sz w:val="18"/>
              </w:rPr>
              <w:t>KSh 64,499</w:t>
            </w:r>
          </w:p>
        </w:tc>
        <w:tc>
          <w:tcPr>
            <w:tcW w:type="dxa" w:w="1361"/>
            <w:vAlign w:val="center"/>
          </w:tcPr>
          <w:p>
            <w:pPr>
              <w:spacing w:after="20" w:line="252" w:lineRule="auto"/>
              <w:jc w:val="right"/>
            </w:pPr>
            <w:r>
              <w:rPr>
                <w:sz w:val="18"/>
              </w:rPr>
              <w:t>GH₵ 5,439</w:t>
            </w:r>
          </w:p>
        </w:tc>
        <w:tc>
          <w:tcPr>
            <w:tcW w:type="dxa" w:w="1134"/>
            <w:vAlign w:val="center"/>
          </w:tcPr>
          <w:p>
            <w:pPr>
              <w:spacing w:after="20" w:line="252" w:lineRule="auto"/>
              <w:jc w:val="right"/>
            </w:pPr>
            <w:r>
              <w:rPr>
                <w:sz w:val="18"/>
              </w:rPr>
              <w:t>$429</w:t>
            </w:r>
          </w:p>
        </w:tc>
      </w:tr>
      <w:tr>
        <w:trPr>
          <w:cantSplit/>
        </w:trPr>
        <w:tc>
          <w:tcPr>
            <w:tcW w:type="dxa" w:w="2835"/>
            <w:shd w:val="clear" w:color="auto" w:fill="FAFAFB"/>
            <w:vAlign w:val="center"/>
          </w:tcPr>
          <w:p>
            <w:pPr>
              <w:spacing w:after="20" w:line="252" w:lineRule="auto"/>
            </w:pPr>
            <w:r>
              <w:rPr>
                <w:b/>
                <w:sz w:val="18"/>
              </w:rPr>
              <w:t>Partner wholesale, monthly (−30%)</w:t>
            </w:r>
          </w:p>
        </w:tc>
        <w:tc>
          <w:tcPr>
            <w:tcW w:type="dxa" w:w="1361"/>
            <w:shd w:val="clear" w:color="auto" w:fill="FAFAFB"/>
            <w:vAlign w:val="center"/>
          </w:tcPr>
          <w:p>
            <w:pPr>
              <w:spacing w:after="20" w:line="252" w:lineRule="auto"/>
              <w:jc w:val="right"/>
            </w:pPr>
            <w:r>
              <w:rPr>
                <w:sz w:val="18"/>
              </w:rPr>
              <w:t>R5,599</w:t>
            </w:r>
          </w:p>
        </w:tc>
        <w:tc>
          <w:tcPr>
            <w:tcW w:type="dxa" w:w="1531"/>
            <w:shd w:val="clear" w:color="auto" w:fill="FAFAFB"/>
            <w:vAlign w:val="center"/>
          </w:tcPr>
          <w:p>
            <w:pPr>
              <w:spacing w:after="20" w:line="252" w:lineRule="auto"/>
              <w:jc w:val="right"/>
            </w:pPr>
            <w:r>
              <w:rPr>
                <w:sz w:val="18"/>
              </w:rPr>
              <w:t>₦463,000</w:t>
            </w:r>
          </w:p>
        </w:tc>
        <w:tc>
          <w:tcPr>
            <w:tcW w:type="dxa" w:w="1417"/>
            <w:shd w:val="clear" w:color="auto" w:fill="FAFAFB"/>
            <w:vAlign w:val="center"/>
          </w:tcPr>
          <w:p>
            <w:pPr>
              <w:spacing w:after="20" w:line="252" w:lineRule="auto"/>
              <w:jc w:val="right"/>
            </w:pPr>
            <w:r>
              <w:rPr>
                <w:sz w:val="18"/>
              </w:rPr>
              <w:t>KSh 44,999</w:t>
            </w:r>
          </w:p>
        </w:tc>
        <w:tc>
          <w:tcPr>
            <w:tcW w:type="dxa" w:w="1361"/>
            <w:shd w:val="clear" w:color="auto" w:fill="FAFAFB"/>
            <w:vAlign w:val="center"/>
          </w:tcPr>
          <w:p>
            <w:pPr>
              <w:spacing w:after="20" w:line="252" w:lineRule="auto"/>
              <w:jc w:val="right"/>
            </w:pPr>
            <w:r>
              <w:rPr>
                <w:sz w:val="18"/>
              </w:rPr>
              <w:t>GH₵ 3,799</w:t>
            </w:r>
          </w:p>
        </w:tc>
        <w:tc>
          <w:tcPr>
            <w:tcW w:type="dxa" w:w="1134"/>
            <w:shd w:val="clear" w:color="auto" w:fill="FAFAFB"/>
            <w:vAlign w:val="center"/>
          </w:tcPr>
          <w:p>
            <w:pPr>
              <w:spacing w:after="20" w:line="252" w:lineRule="auto"/>
              <w:jc w:val="right"/>
            </w:pPr>
            <w:r>
              <w:rPr>
                <w:sz w:val="18"/>
              </w:rPr>
              <w:t>$299</w:t>
            </w:r>
          </w:p>
        </w:tc>
      </w:tr>
      <w:tr>
        <w:trPr>
          <w:cantSplit/>
        </w:trPr>
        <w:tc>
          <w:tcPr>
            <w:tcW w:type="dxa" w:w="2835"/>
            <w:vAlign w:val="center"/>
          </w:tcPr>
          <w:p>
            <w:pPr>
              <w:spacing w:after="20" w:line="252" w:lineRule="auto"/>
            </w:pPr>
            <w:r>
              <w:rPr>
                <w:b/>
                <w:sz w:val="18"/>
              </w:rPr>
              <w:t>Partner wholesale, annual</w:t>
            </w:r>
          </w:p>
        </w:tc>
        <w:tc>
          <w:tcPr>
            <w:tcW w:type="dxa" w:w="1361"/>
            <w:vAlign w:val="center"/>
          </w:tcPr>
          <w:p>
            <w:pPr>
              <w:spacing w:after="20" w:line="252" w:lineRule="auto"/>
              <w:jc w:val="right"/>
            </w:pPr>
            <w:r>
              <w:rPr>
                <w:sz w:val="18"/>
              </w:rPr>
              <w:t>R55,990</w:t>
            </w:r>
          </w:p>
        </w:tc>
        <w:tc>
          <w:tcPr>
            <w:tcW w:type="dxa" w:w="1531"/>
            <w:vAlign w:val="center"/>
          </w:tcPr>
          <w:p>
            <w:pPr>
              <w:spacing w:after="20" w:line="252" w:lineRule="auto"/>
              <w:jc w:val="right"/>
            </w:pPr>
            <w:r>
              <w:rPr>
                <w:sz w:val="18"/>
              </w:rPr>
              <w:t>₦4,630,000</w:t>
            </w:r>
          </w:p>
        </w:tc>
        <w:tc>
          <w:tcPr>
            <w:tcW w:type="dxa" w:w="1417"/>
            <w:vAlign w:val="center"/>
          </w:tcPr>
          <w:p>
            <w:pPr>
              <w:spacing w:after="20" w:line="252" w:lineRule="auto"/>
              <w:jc w:val="right"/>
            </w:pPr>
            <w:r>
              <w:rPr>
                <w:sz w:val="18"/>
              </w:rPr>
              <w:t>KSh 449,990</w:t>
            </w:r>
          </w:p>
        </w:tc>
        <w:tc>
          <w:tcPr>
            <w:tcW w:type="dxa" w:w="1361"/>
            <w:vAlign w:val="center"/>
          </w:tcPr>
          <w:p>
            <w:pPr>
              <w:spacing w:after="20" w:line="252" w:lineRule="auto"/>
              <w:jc w:val="right"/>
            </w:pPr>
            <w:r>
              <w:rPr>
                <w:sz w:val="18"/>
              </w:rPr>
              <w:t>GH₵ 37,990</w:t>
            </w:r>
          </w:p>
        </w:tc>
        <w:tc>
          <w:tcPr>
            <w:tcW w:type="dxa" w:w="1134"/>
            <w:vAlign w:val="center"/>
          </w:tcPr>
          <w:p>
            <w:pPr>
              <w:spacing w:after="20" w:line="252" w:lineRule="auto"/>
              <w:jc w:val="right"/>
            </w:pPr>
            <w:r>
              <w:rPr>
                <w:sz w:val="18"/>
              </w:rPr>
              <w:t>$2,990</w:t>
            </w:r>
          </w:p>
        </w:tc>
      </w:tr>
    </w:tbl>
    <w:p>
      <w:pPr>
        <w:spacing w:after="0" w:line="120" w:lineRule="exact"/>
      </w:pPr>
    </w:p>
    <w:p>
      <w:pPr>
        <w:spacing w:after="160"/>
      </w:pPr>
      <w:r>
        <w:rPr>
          <w:i/>
          <w:color w:val="5B6570"/>
          <w:sz w:val="18"/>
        </w:rPr>
        <w:t>The partner price is a permanent wholesale price for the Agency tier, not a launch discount. The model assumes 100% of agency-segment customers buy at it (</w:t>
      </w:r>
      <w:r>
        <w:rPr>
          <w:b/>
          <w:i/>
          <w:color w:val="20242B"/>
          <w:sz w:val="18"/>
          <w:shd w:val="clear" w:color="auto" w:fill="FFF1A8"/>
        </w:rPr>
        <w:t>[[CONFIRM]]</w:t>
      </w:r>
      <w:r>
        <w:rPr>
          <w:i/>
          <w:color w:val="5B6570"/>
          <w:sz w:val="18"/>
        </w:rPr>
        <w:t xml:space="preserve">). Whether partners earn a commission on clients they refer onto their own Starter, Growth or Scale plans is </w:t>
      </w:r>
      <w:r>
        <w:rPr>
          <w:b/>
          <w:i/>
          <w:color w:val="20242B"/>
          <w:sz w:val="18"/>
          <w:shd w:val="clear" w:color="auto" w:fill="FFF1A8"/>
        </w:rPr>
        <w:t>[[FOUNDER DECISION: REFERRAL COMMISSION %]]</w:t>
      </w:r>
      <w:r>
        <w:rPr>
          <w:i/>
          <w:color w:val="5B6570"/>
          <w:sz w:val="18"/>
        </w:rPr>
        <w:t xml:space="preserve"> and is not modelled.</w:t>
      </w:r>
    </w:p>
    <w:p>
      <w:pPr>
        <w:pStyle w:val="Heading2"/>
      </w:pPr>
      <w:r>
        <w:rPr/>
        <w:t>Discounts</w:t>
      </w:r>
    </w:p>
    <w:p>
      <w:pPr>
        <w:pStyle w:val="ListBullet"/>
      </w:pPr>
      <w:r>
        <w:rPr>
          <w:b/>
        </w:rPr>
        <w:t>One launch offer only</w:t>
      </w:r>
      <w:r>
        <w:rPr/>
        <w:t>: Founding Member, 60 days per market, on Starter, Growth and Scale.</w:t>
      </w:r>
    </w:p>
    <w:p>
      <w:pPr>
        <w:pStyle w:val="ListBullet"/>
      </w:pPr>
      <w:r>
        <w:rPr>
          <w:b/>
        </w:rPr>
        <w:t>Pilot brands</w:t>
      </w:r>
      <w:r>
        <w:rPr/>
        <w:t xml:space="preserve"> get deepened terms (50% off the first two monthly bills from 1 December 2026) in exchange for a case study and logo permission. This is not a public offer.</w:t>
      </w:r>
    </w:p>
    <w:p>
      <w:pPr>
        <w:pStyle w:val="ListBullet"/>
      </w:pPr>
      <w:r>
        <w:rPr>
          <w:b/>
        </w:rPr>
        <w:t>No stacking.</w:t>
      </w:r>
      <w:r>
        <w:rPr/>
        <w:t xml:space="preserve"> Founding Member does not combine with partner wholesale pricing, and is never offered on the Agency tier.</w:t>
      </w:r>
    </w:p>
    <w:p>
      <w:pPr>
        <w:pStyle w:val="ListBullet"/>
      </w:pPr>
      <w:r>
        <w:rPr>
          <w:b/>
        </w:rPr>
        <w:t>Perks duration</w:t>
      </w:r>
      <w:r>
        <w:rPr/>
        <w:t xml:space="preserve"> (badge and priority support) is </w:t>
      </w:r>
      <w:r>
        <w:rPr>
          <w:b/>
          <w:color w:val="20242B"/>
          <w:shd w:val="clear" w:color="auto" w:fill="FFF1A8"/>
        </w:rPr>
        <w:t>[[FOUNDER DECISION: PERKS DURATION]]</w:t>
      </w:r>
      <w:r>
        <w:rPr/>
        <w:t>. Until it is decided, materials state the perks with no duration.</w:t>
      </w:r>
    </w:p>
    <w:p>
      <w:pPr>
        <w:pStyle w:val="Heading2"/>
      </w:pPr>
      <w:r>
        <w:rPr/>
        <w:t>Market gating</w:t>
      </w:r>
    </w:p>
    <w:p>
      <w:r>
        <w:rPr/>
        <w:t xml:space="preserve">Prices and checkout are shown </w:t>
      </w:r>
      <w:r>
        <w:rPr>
          <w:b/>
        </w:rPr>
        <w:t>only</w:t>
      </w:r>
      <w:r>
        <w:rPr/>
        <w:t xml:space="preserve"> in the 23 countries where a secured rail can collect. Botswana and Namibia appear as coming soon; South Sudan and Zimbabwe are payouts-only through Fincra and stay gated until subscription collection is confirmed (</w:t>
      </w:r>
      <w:r>
        <w:rPr>
          <w:b/>
          <w:color w:val="20242B"/>
          <w:shd w:val="clear" w:color="auto" w:fill="FFF1A8"/>
        </w:rPr>
        <w:t>[[CONFIRM FINCRA COLLECTION FOR SOUTH SUDAN AND ZIMBABWE]]</w:t>
      </w:r>
      <w:r>
        <w:rPr/>
        <w:t>). Everywhere else, including all countries outside Africa, visitors may join a waitlist but cannot buy.</w:t>
      </w:r>
    </w:p>
    <w:p>
      <w:pPr>
        <w:pStyle w:val="Heading2"/>
      </w:pPr>
      <w:r>
        <w:rPr/>
        <w:t>A fee that is not in pricing today</w:t>
      </w:r>
    </w:p>
    <w:p>
      <w:r>
        <w:rPr/>
        <w:t xml:space="preserve">A </w:t>
      </w:r>
      <w:r>
        <w:rPr>
          <w:b/>
        </w:rPr>
        <w:t>0.75% commerce fee</w:t>
      </w:r>
      <w:r>
        <w:rPr/>
        <w:t xml:space="preserve"> on WhatsApp-checkout GMV is modelled in the Upside scenario only. It is </w:t>
      </w:r>
      <w:r>
        <w:rPr>
          <w:b/>
        </w:rPr>
        <w:t>not part of current pricing</w:t>
      </w:r>
      <w:r>
        <w:rPr/>
        <w:t>, is not assumed in the Base or Conservative cases, and would need both a product change and evidence that merchants accept it.</w:t>
      </w:r>
    </w:p>
    <w:p>
      <w:pPr>
        <w:pStyle w:val="Heading1"/>
        <w:pageBreakBefore/>
      </w:pPr>
      <w:r>
        <w:rPr/>
        <w:t>10. Operations</w:t>
      </w:r>
    </w:p>
    <w:p>
      <w:pPr>
        <w:pStyle w:val="Heading2"/>
      </w:pPr>
      <w:r>
        <w:rPr/>
        <w:t>Technology and architecture</w:t>
      </w:r>
    </w:p>
    <w:p>
      <w:pPr>
        <w:pStyle w:val="ListBullet"/>
      </w:pPr>
      <w:r>
        <w:rPr>
          <w:b/>
        </w:rPr>
        <w:t>Front end</w:t>
      </w:r>
      <w:r>
        <w:rPr/>
        <w:t>: React with Vite, deployed on Vercel; installable as a progressive web app.</w:t>
      </w:r>
    </w:p>
    <w:p>
      <w:pPr>
        <w:pStyle w:val="ListBullet"/>
      </w:pPr>
      <w:r>
        <w:rPr>
          <w:b/>
        </w:rPr>
        <w:t>Back end</w:t>
      </w:r>
      <w:r>
        <w:rPr/>
        <w:t>: Supabase, providing Postgres, authentication and more than 140 edge functions.</w:t>
      </w:r>
    </w:p>
    <w:p>
      <w:pPr>
        <w:pStyle w:val="ListBullet"/>
      </w:pPr>
      <w:r>
        <w:rPr>
          <w:b/>
        </w:rPr>
        <w:t>Security</w:t>
      </w:r>
      <w:r>
        <w:rPr/>
        <w:t>: row-level security on every table, encrypted third-party access tokens, audit export.</w:t>
      </w:r>
    </w:p>
    <w:p>
      <w:pPr>
        <w:pStyle w:val="ListBullet"/>
      </w:pPr>
      <w:r>
        <w:rPr>
          <w:b/>
        </w:rPr>
        <w:t>Integrations</w:t>
      </w:r>
      <w:r>
        <w:rPr/>
        <w:t>: WhatsApp Cloud API, Meta Graph API, five payment providers, Shopify, WooCommerce, Takealot, HubSpot, accounting sync, Slack, Zapier and a public API.</w:t>
      </w:r>
    </w:p>
    <w:p>
      <w:pPr>
        <w:pStyle w:val="ListBullet"/>
      </w:pPr>
      <w:r>
        <w:rPr>
          <w:b/>
        </w:rPr>
        <w:t>Why it scales cheaply</w:t>
      </w:r>
      <w:r>
        <w:rPr/>
        <w:t>: managed infrastructure with per-workspace costs, so hosting grows with customers instead of ahead of them. Hosting is modelled at R30,000 a month plus R35 per workspace after the seed.</w:t>
      </w:r>
    </w:p>
    <w:p>
      <w:pPr>
        <w:pStyle w:val="Heading2"/>
      </w:pPr>
      <w:r>
        <w:rPr/>
        <w:t>Meta platform dependency and the App Review plan</w:t>
      </w:r>
    </w:p>
    <w:p>
      <w:r>
        <w:rPr/>
        <w:t>FluxMuse depends on Meta for WhatsApp and for Facebook and Instagram publishing. Business and Access Verification (Tech Provider) are already held, and WhatsApp messaging and management permissions are approved. The permissions still in App Review are the first item on the product roadmap. Until each is approved it stays switched off, and no customer is sold it.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roduct roadmap, in the founder's agreed order"/>
      </w:tblPr>
      <w:tblGrid>
        <w:gridCol w:w="3061"/>
        <w:gridCol w:w="6576"/>
      </w:tblGrid>
      <w:tr>
        <w:trPr>
          <w:cantSplit/>
          <w:tblHeader/>
        </w:trPr>
        <w:tc>
          <w:tcPr>
            <w:tcW w:type="dxa" w:w="3061"/>
            <w:shd w:val="clear" w:color="auto" w:fill="FF6A00"/>
            <w:vAlign w:val="center"/>
          </w:tcPr>
          <w:p>
            <w:pPr>
              <w:keepNext/>
              <w:spacing w:after="20" w:line="252" w:lineRule="auto"/>
            </w:pPr>
            <w:r>
              <w:rPr>
                <w:rFonts w:ascii="Poppins" w:hAnsi="Poppins" w:cs="Poppins" w:eastAsia="Poppins"/>
                <w:b/>
                <w:color w:val="20242B"/>
                <w:sz w:val="19"/>
              </w:rPr>
              <w:t>Stage</w:t>
            </w:r>
          </w:p>
        </w:tc>
        <w:tc>
          <w:tcPr>
            <w:tcW w:type="dxa" w:w="6576"/>
            <w:shd w:val="clear" w:color="auto" w:fill="FF6A00"/>
            <w:vAlign w:val="center"/>
          </w:tcPr>
          <w:p>
            <w:pPr>
              <w:keepNext/>
              <w:spacing w:after="20" w:line="252" w:lineRule="auto"/>
            </w:pPr>
            <w:r>
              <w:rPr>
                <w:rFonts w:ascii="Poppins" w:hAnsi="Poppins" w:cs="Poppins" w:eastAsia="Poppins"/>
                <w:b/>
                <w:color w:val="20242B"/>
                <w:sz w:val="19"/>
              </w:rPr>
              <w:t>Scope</w:t>
            </w:r>
          </w:p>
        </w:tc>
      </w:tr>
      <w:tr>
        <w:trPr>
          <w:cantSplit/>
        </w:trPr>
        <w:tc>
          <w:tcPr>
            <w:tcW w:type="dxa" w:w="3061"/>
            <w:vAlign w:val="center"/>
          </w:tcPr>
          <w:p>
            <w:pPr>
              <w:spacing w:after="20" w:line="252" w:lineRule="auto"/>
            </w:pPr>
            <w:r>
              <w:rPr>
                <w:b/>
                <w:sz w:val="19"/>
              </w:rPr>
              <w:t>1. Meta permissions (Q4 2026)</w:t>
            </w:r>
          </w:p>
        </w:tc>
        <w:tc>
          <w:tcPr>
            <w:tcW w:type="dxa" w:w="6576"/>
            <w:vAlign w:val="center"/>
          </w:tcPr>
          <w:p>
            <w:pPr>
              <w:spacing w:after="20" w:line="252" w:lineRule="auto"/>
            </w:pPr>
            <w:r>
              <w:rPr>
                <w:sz w:val="19"/>
              </w:rPr>
              <w:t>Instagram publishing, comments and DMs; Pages posting and engagement insights; business management; ads</w:t>
            </w:r>
          </w:p>
        </w:tc>
      </w:tr>
      <w:tr>
        <w:trPr>
          <w:cantSplit/>
        </w:trPr>
        <w:tc>
          <w:tcPr>
            <w:tcW w:type="dxa" w:w="3061"/>
            <w:shd w:val="clear" w:color="auto" w:fill="FAFAFB"/>
            <w:vAlign w:val="center"/>
          </w:tcPr>
          <w:p>
            <w:pPr>
              <w:spacing w:after="20" w:line="252" w:lineRule="auto"/>
            </w:pPr>
            <w:r>
              <w:rPr>
                <w:b/>
                <w:sz w:val="19"/>
              </w:rPr>
              <w:t>2. Social adapters</w:t>
            </w:r>
          </w:p>
        </w:tc>
        <w:tc>
          <w:tcPr>
            <w:tcW w:type="dxa" w:w="6576"/>
            <w:shd w:val="clear" w:color="auto" w:fill="FAFAFB"/>
            <w:vAlign w:val="center"/>
          </w:tcPr>
          <w:p>
            <w:pPr>
              <w:spacing w:after="20" w:line="252" w:lineRule="auto"/>
            </w:pPr>
            <w:r>
              <w:rPr>
                <w:sz w:val="19"/>
              </w:rPr>
              <w:t>Instagram Login, Threads, LinkedIn, X, TikTok, YouTube, Pinterest</w:t>
            </w:r>
          </w:p>
        </w:tc>
      </w:tr>
      <w:tr>
        <w:trPr>
          <w:cantSplit/>
        </w:trPr>
        <w:tc>
          <w:tcPr>
            <w:tcW w:type="dxa" w:w="3061"/>
            <w:vAlign w:val="center"/>
          </w:tcPr>
          <w:p>
            <w:pPr>
              <w:spacing w:after="20" w:line="252" w:lineRule="auto"/>
            </w:pPr>
            <w:r>
              <w:rPr>
                <w:b/>
                <w:sz w:val="19"/>
              </w:rPr>
              <w:t>3. Business app integrations</w:t>
            </w:r>
          </w:p>
        </w:tc>
        <w:tc>
          <w:tcPr>
            <w:tcW w:type="dxa" w:w="6576"/>
            <w:vAlign w:val="center"/>
          </w:tcPr>
          <w:p>
            <w:pPr>
              <w:spacing w:after="20" w:line="252" w:lineRule="auto"/>
            </w:pPr>
            <w:r>
              <w:rPr>
                <w:sz w:val="19"/>
              </w:rPr>
              <w:t>Commerce, CRM, accounting, email and SMS providers</w:t>
            </w:r>
          </w:p>
        </w:tc>
      </w:tr>
      <w:tr>
        <w:trPr>
          <w:cantSplit/>
        </w:trPr>
        <w:tc>
          <w:tcPr>
            <w:tcW w:type="dxa" w:w="3061"/>
            <w:shd w:val="clear" w:color="auto" w:fill="FAFAFB"/>
            <w:vAlign w:val="center"/>
          </w:tcPr>
          <w:p>
            <w:pPr>
              <w:spacing w:after="20" w:line="252" w:lineRule="auto"/>
            </w:pPr>
            <w:r>
              <w:rPr>
                <w:b/>
                <w:sz w:val="19"/>
              </w:rPr>
              <w:t>4. Flux_Partner programme</w:t>
            </w:r>
          </w:p>
        </w:tc>
        <w:tc>
          <w:tcPr>
            <w:tcW w:type="dxa" w:w="6576"/>
            <w:shd w:val="clear" w:color="auto" w:fill="FAFAFB"/>
            <w:vAlign w:val="center"/>
          </w:tcPr>
          <w:p>
            <w:pPr>
              <w:spacing w:after="20" w:line="252" w:lineRule="auto"/>
            </w:pPr>
            <w:r>
              <w:rPr>
                <w:sz w:val="19"/>
              </w:rPr>
              <w:t>Referral tracking, white-label, partner-managed workspaces</w:t>
            </w:r>
          </w:p>
        </w:tc>
      </w:tr>
    </w:tbl>
    <w:p>
      <w:pPr>
        <w:spacing w:after="0" w:line="120" w:lineRule="exact"/>
      </w:pPr>
    </w:p>
    <w:p>
      <w:pPr>
        <w:spacing w:after="160"/>
      </w:pPr>
      <w:r>
        <w:rPr>
          <w:i/>
          <w:color w:val="5B6570"/>
          <w:sz w:val="18"/>
        </w:rPr>
        <w:t>Timing beyond Q4 2026 is indicative and depends on Meta approvals and team capacity.</w:t>
      </w:r>
    </w:p>
    <w:p>
      <w:pPr>
        <w:pStyle w:val="Heading2"/>
      </w:pPr>
      <w:r>
        <w:rPr/>
        <w:t>Payment rails and settlement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e five secured payment rails"/>
      </w:tblPr>
      <w:tblGrid>
        <w:gridCol w:w="1360"/>
        <w:gridCol w:w="3401"/>
        <w:gridCol w:w="4875"/>
      </w:tblGrid>
      <w:tr>
        <w:trPr>
          <w:cantSplit/>
          <w:tblHeader/>
        </w:trPr>
        <w:tc>
          <w:tcPr>
            <w:tcW w:type="dxa" w:w="1361"/>
            <w:shd w:val="clear" w:color="auto" w:fill="FF6A00"/>
            <w:vAlign w:val="center"/>
          </w:tcPr>
          <w:p>
            <w:pPr>
              <w:keepNext/>
              <w:spacing w:after="20" w:line="252" w:lineRule="auto"/>
            </w:pPr>
            <w:r>
              <w:rPr>
                <w:rFonts w:ascii="Poppins" w:hAnsi="Poppins" w:cs="Poppins" w:eastAsia="Poppins"/>
                <w:b/>
                <w:color w:val="20242B"/>
                <w:sz w:val="18"/>
              </w:rPr>
              <w:t>Rail</w:t>
            </w:r>
          </w:p>
        </w:tc>
        <w:tc>
          <w:tcPr>
            <w:tcW w:type="dxa" w:w="3402"/>
            <w:shd w:val="clear" w:color="auto" w:fill="FF6A00"/>
            <w:vAlign w:val="center"/>
          </w:tcPr>
          <w:p>
            <w:pPr>
              <w:keepNext/>
              <w:spacing w:after="20" w:line="252" w:lineRule="auto"/>
            </w:pPr>
            <w:r>
              <w:rPr>
                <w:rFonts w:ascii="Poppins" w:hAnsi="Poppins" w:cs="Poppins" w:eastAsia="Poppins"/>
                <w:b/>
                <w:color w:val="20242B"/>
                <w:sz w:val="18"/>
              </w:rPr>
              <w:t>Type</w:t>
            </w:r>
          </w:p>
        </w:tc>
        <w:tc>
          <w:tcPr>
            <w:tcW w:type="dxa" w:w="4876"/>
            <w:shd w:val="clear" w:color="auto" w:fill="FF6A00"/>
            <w:vAlign w:val="center"/>
          </w:tcPr>
          <w:p>
            <w:pPr>
              <w:keepNext/>
              <w:spacing w:after="20" w:line="252" w:lineRule="auto"/>
            </w:pPr>
            <w:r>
              <w:rPr>
                <w:rFonts w:ascii="Poppins" w:hAnsi="Poppins" w:cs="Poppins" w:eastAsia="Poppins"/>
                <w:b/>
                <w:color w:val="20242B"/>
                <w:sz w:val="18"/>
              </w:rPr>
              <w:t>Countries</w:t>
            </w:r>
          </w:p>
        </w:tc>
      </w:tr>
      <w:tr>
        <w:trPr>
          <w:cantSplit/>
        </w:trPr>
        <w:tc>
          <w:tcPr>
            <w:tcW w:type="dxa" w:w="1361"/>
            <w:vAlign w:val="center"/>
          </w:tcPr>
          <w:p>
            <w:pPr>
              <w:spacing w:after="20" w:line="252" w:lineRule="auto"/>
            </w:pPr>
            <w:r>
              <w:rPr>
                <w:b/>
                <w:sz w:val="18"/>
              </w:rPr>
              <w:t>Yoco</w:t>
            </w:r>
          </w:p>
        </w:tc>
        <w:tc>
          <w:tcPr>
            <w:tcW w:type="dxa" w:w="3402"/>
            <w:vAlign w:val="center"/>
          </w:tcPr>
          <w:p>
            <w:pPr>
              <w:spacing w:after="20" w:line="252" w:lineRule="auto"/>
            </w:pPr>
            <w:r>
              <w:rPr>
                <w:sz w:val="18"/>
              </w:rPr>
              <w:t>Card acquiring, tap-to-pay</w:t>
            </w:r>
          </w:p>
        </w:tc>
        <w:tc>
          <w:tcPr>
            <w:tcW w:type="dxa" w:w="4876"/>
            <w:vAlign w:val="center"/>
          </w:tcPr>
          <w:p>
            <w:pPr>
              <w:spacing w:after="20" w:line="252" w:lineRule="auto"/>
            </w:pPr>
            <w:r>
              <w:rPr>
                <w:sz w:val="18"/>
              </w:rPr>
              <w:t>South Africa</w:t>
            </w:r>
          </w:p>
        </w:tc>
      </w:tr>
      <w:tr>
        <w:trPr>
          <w:cantSplit/>
        </w:trPr>
        <w:tc>
          <w:tcPr>
            <w:tcW w:type="dxa" w:w="1361"/>
            <w:shd w:val="clear" w:color="auto" w:fill="FAFAFB"/>
            <w:vAlign w:val="center"/>
          </w:tcPr>
          <w:p>
            <w:pPr>
              <w:spacing w:after="20" w:line="252" w:lineRule="auto"/>
            </w:pPr>
            <w:r>
              <w:rPr>
                <w:b/>
                <w:sz w:val="18"/>
              </w:rPr>
              <w:t>Ozow</w:t>
            </w:r>
          </w:p>
        </w:tc>
        <w:tc>
          <w:tcPr>
            <w:tcW w:type="dxa" w:w="3402"/>
            <w:shd w:val="clear" w:color="auto" w:fill="FAFAFB"/>
            <w:vAlign w:val="center"/>
          </w:tcPr>
          <w:p>
            <w:pPr>
              <w:spacing w:after="20" w:line="252" w:lineRule="auto"/>
            </w:pPr>
            <w:r>
              <w:rPr>
                <w:sz w:val="18"/>
              </w:rPr>
              <w:t>Instant EFT / pay-by-bank</w:t>
            </w:r>
          </w:p>
        </w:tc>
        <w:tc>
          <w:tcPr>
            <w:tcW w:type="dxa" w:w="4876"/>
            <w:shd w:val="clear" w:color="auto" w:fill="FAFAFB"/>
            <w:vAlign w:val="center"/>
          </w:tcPr>
          <w:p>
            <w:pPr>
              <w:spacing w:after="20" w:line="252" w:lineRule="auto"/>
            </w:pPr>
            <w:r>
              <w:rPr>
                <w:sz w:val="18"/>
              </w:rPr>
              <w:t>South Africa</w:t>
            </w:r>
          </w:p>
        </w:tc>
      </w:tr>
      <w:tr>
        <w:trPr>
          <w:cantSplit/>
        </w:trPr>
        <w:tc>
          <w:tcPr>
            <w:tcW w:type="dxa" w:w="1361"/>
            <w:vAlign w:val="center"/>
          </w:tcPr>
          <w:p>
            <w:pPr>
              <w:spacing w:after="20" w:line="252" w:lineRule="auto"/>
            </w:pPr>
            <w:r>
              <w:rPr>
                <w:b/>
                <w:sz w:val="18"/>
              </w:rPr>
              <w:t>Paystack</w:t>
            </w:r>
          </w:p>
        </w:tc>
        <w:tc>
          <w:tcPr>
            <w:tcW w:type="dxa" w:w="3402"/>
            <w:vAlign w:val="center"/>
          </w:tcPr>
          <w:p>
            <w:pPr>
              <w:spacing w:after="20" w:line="252" w:lineRule="auto"/>
            </w:pPr>
            <w:r>
              <w:rPr>
                <w:sz w:val="18"/>
              </w:rPr>
              <w:t>Cards, bank transfer, USSD, mobile money</w:t>
            </w:r>
          </w:p>
        </w:tc>
        <w:tc>
          <w:tcPr>
            <w:tcW w:type="dxa" w:w="4876"/>
            <w:vAlign w:val="center"/>
          </w:tcPr>
          <w:p>
            <w:pPr>
              <w:spacing w:after="20" w:line="252" w:lineRule="auto"/>
            </w:pPr>
            <w:r>
              <w:rPr>
                <w:sz w:val="18"/>
              </w:rPr>
              <w:t>Nigeria, Ghana, South Africa, Kenya, Côte d'Ivoire, Rwanda</w:t>
            </w:r>
          </w:p>
        </w:tc>
      </w:tr>
      <w:tr>
        <w:trPr>
          <w:cantSplit/>
        </w:trPr>
        <w:tc>
          <w:tcPr>
            <w:tcW w:type="dxa" w:w="1361"/>
            <w:shd w:val="clear" w:color="auto" w:fill="FAFAFB"/>
            <w:vAlign w:val="center"/>
          </w:tcPr>
          <w:p>
            <w:pPr>
              <w:spacing w:after="20" w:line="252" w:lineRule="auto"/>
            </w:pPr>
            <w:r>
              <w:rPr>
                <w:b/>
                <w:sz w:val="18"/>
              </w:rPr>
              <w:t>pawaPay</w:t>
            </w:r>
          </w:p>
        </w:tc>
        <w:tc>
          <w:tcPr>
            <w:tcW w:type="dxa" w:w="3402"/>
            <w:shd w:val="clear" w:color="auto" w:fill="FAFAFB"/>
            <w:vAlign w:val="center"/>
          </w:tcPr>
          <w:p>
            <w:pPr>
              <w:spacing w:after="20" w:line="252" w:lineRule="auto"/>
            </w:pPr>
            <w:r>
              <w:rPr>
                <w:sz w:val="18"/>
              </w:rPr>
              <w:t>Mobile money collections and payouts, 40+ mobile network operators</w:t>
            </w:r>
          </w:p>
        </w:tc>
        <w:tc>
          <w:tcPr>
            <w:tcW w:type="dxa" w:w="4876"/>
            <w:shd w:val="clear" w:color="auto" w:fill="FAFAFB"/>
            <w:vAlign w:val="center"/>
          </w:tcPr>
          <w:p>
            <w:pPr>
              <w:spacing w:after="20" w:line="252" w:lineRule="auto"/>
            </w:pPr>
            <w:r>
              <w:rPr>
                <w:sz w:val="18"/>
              </w:rPr>
              <w:t>20 countries</w:t>
            </w:r>
          </w:p>
        </w:tc>
      </w:tr>
      <w:tr>
        <w:trPr>
          <w:cantSplit/>
        </w:trPr>
        <w:tc>
          <w:tcPr>
            <w:tcW w:type="dxa" w:w="1361"/>
            <w:vAlign w:val="center"/>
          </w:tcPr>
          <w:p>
            <w:pPr>
              <w:spacing w:after="20" w:line="252" w:lineRule="auto"/>
            </w:pPr>
            <w:r>
              <w:rPr>
                <w:b/>
                <w:sz w:val="18"/>
              </w:rPr>
              <w:t>Fincra</w:t>
            </w:r>
          </w:p>
        </w:tc>
        <w:tc>
          <w:tcPr>
            <w:tcW w:type="dxa" w:w="3402"/>
            <w:vAlign w:val="center"/>
          </w:tcPr>
          <w:p>
            <w:pPr>
              <w:spacing w:after="20" w:line="252" w:lineRule="auto"/>
            </w:pPr>
            <w:r>
              <w:rPr>
                <w:sz w:val="18"/>
              </w:rPr>
              <w:t>Collections (virtual accounts, cards, bank, mobile money) and payouts</w:t>
            </w:r>
          </w:p>
        </w:tc>
        <w:tc>
          <w:tcPr>
            <w:tcW w:type="dxa" w:w="4876"/>
            <w:vAlign w:val="center"/>
          </w:tcPr>
          <w:p>
            <w:pPr>
              <w:spacing w:after="20" w:line="252" w:lineRule="auto"/>
            </w:pPr>
            <w:r>
              <w:rPr>
                <w:sz w:val="18"/>
              </w:rPr>
              <w:t>Collections hubs: Nigeria, Ghana, Kenya, Uganda, South Africa. African payouts across West, Central and East Africa, plus South Sudan and Zimbabwe</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4896000" cy="2754000"/>
            <wp:docPr id="15" name="Picture 15" descr="Tile map of 23 African countries coloured by how many of the five rails cover them, with South Africa the only four-rail country, Botswana and Namibia shown as dashed coming-soon tiles, and stat cards for five live payment rails, 23 countries covered, plus two coming soon and 40-plus mobile money operators."/>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896000" cy="2754000"/>
                    </a:xfrm>
                    <a:prstGeom prst="rect"/>
                  </pic:spPr>
                </pic:pic>
              </a:graphicData>
            </a:graphic>
          </wp:inline>
        </w:drawing>
      </w:r>
    </w:p>
    <w:p>
      <w:pPr>
        <w:pStyle w:val="Caption"/>
        <w:jc w:val="center"/>
      </w:pPr>
      <w:r>
        <w:rPr>
          <w:b/>
        </w:rPr>
        <w:t>Figure 14.</w:t>
      </w:r>
      <w:r>
        <w:rPr/>
        <w:t xml:space="preserve"> Coverage: 23 countries, with Botswana and Namibia coming soon.</w:t>
      </w:r>
    </w:p>
    <w:p>
      <w:pPr>
        <w:pStyle w:val="ListBullet"/>
      </w:pPr>
      <w:r>
        <w:rPr>
          <w:b/>
        </w:rPr>
        <w:t>All five rails are live in September 2026</w:t>
      </w:r>
      <w:r>
        <w:rPr/>
        <w:t xml:space="preserve"> (pawaPay and Fincra from the week of 14 September), so market expansion depends on sales capacity, not payments.</w:t>
      </w:r>
    </w:p>
    <w:p>
      <w:pPr>
        <w:pStyle w:val="ListBullet"/>
      </w:pPr>
      <w:r>
        <w:rPr>
          <w:b/>
        </w:rPr>
        <w:t>Settlement</w:t>
      </w:r>
      <w:r>
        <w:rPr/>
        <w:t xml:space="preserve"> runs through each provider to the company's bank accounts; FluxMuse does not hold customer funds. Settlement timing and reconciliation by rail: </w:t>
      </w:r>
      <w:r>
        <w:rPr>
          <w:b/>
          <w:color w:val="20242B"/>
          <w:shd w:val="clear" w:color="auto" w:fill="FFF1A8"/>
        </w:rPr>
        <w:t>[[SETTLEMENT TERMS AND RECONCILIATION PROCESS PER RAIL]]</w:t>
      </w:r>
      <w:r>
        <w:rPr/>
        <w:t>.</w:t>
      </w:r>
    </w:p>
    <w:p>
      <w:pPr>
        <w:pStyle w:val="ListBullet"/>
      </w:pPr>
      <w:r>
        <w:rPr>
          <w:b/>
        </w:rPr>
        <w:t>Processing cost</w:t>
      </w:r>
      <w:r>
        <w:rPr/>
        <w:t xml:space="preserve"> is modelled at 2.9%, plus 1.5% for mobile money and FX on non-South African revenue.</w:t>
      </w:r>
    </w:p>
    <w:p>
      <w:pPr>
        <w:pStyle w:val="ListBullet"/>
      </w:pPr>
      <w:r>
        <w:rPr/>
        <w:t>Appendix B lists all 23 countries, their currencies and their rails.</w:t>
      </w:r>
    </w:p>
    <w:p>
      <w:pPr>
        <w:pStyle w:val="Heading2"/>
      </w:pPr>
      <w:r>
        <w:rPr/>
        <w:t>Customer onboarding and support</w:t>
      </w:r>
    </w:p>
    <w:p>
      <w:pPr>
        <w:pStyle w:val="ListBullet"/>
      </w:pPr>
      <w:r>
        <w:rPr>
          <w:b/>
        </w:rPr>
        <w:t>Solo</w:t>
      </w:r>
      <w:r>
        <w:rPr/>
        <w:t>: self-serve 14-day trial, in-product onboarding, community support.</w:t>
      </w:r>
    </w:p>
    <w:p>
      <w:pPr>
        <w:pStyle w:val="ListBullet"/>
      </w:pPr>
      <w:r>
        <w:rPr>
          <w:b/>
        </w:rPr>
        <w:t>SME</w:t>
      </w:r>
      <w:r>
        <w:rPr/>
        <w:t>: trial plus a guided onboarding call; email support, priority on Scale.</w:t>
      </w:r>
    </w:p>
    <w:p>
      <w:pPr>
        <w:pStyle w:val="ListBullet"/>
      </w:pPr>
      <w:r>
        <w:rPr>
          <w:b/>
        </w:rPr>
        <w:t>Agency</w:t>
      </w:r>
      <w:r>
        <w:rPr/>
        <w:t>: demo, a pilot client, then white-label setup with dedicated support.</w:t>
      </w:r>
    </w:p>
    <w:p>
      <w:pPr>
        <w:pStyle w:val="ListBullet"/>
      </w:pPr>
      <w:r>
        <w:rPr/>
        <w:t>A customer success team is hired from the seed month and sits in cost of revenue, not operating expenses: 3 people at the end of FY1 rising to 39 by FY5.</w:t>
      </w:r>
    </w:p>
    <w:p>
      <w:pPr>
        <w:pStyle w:val="ListBullet"/>
      </w:pPr>
      <w:r>
        <w:rPr/>
        <w:t>Support cost is modelled at R50 per workspace per month on top of that team.</w:t>
      </w:r>
    </w:p>
    <w:p>
      <w:pPr>
        <w:pStyle w:val="Heading2"/>
      </w:pPr>
      <w:r>
        <w:rPr/>
        <w:t>Data protection and security</w:t>
      </w:r>
    </w:p>
    <w:p>
      <w:pPr>
        <w:pStyle w:val="ListBullet"/>
      </w:pPr>
      <w:r>
        <w:rPr/>
        <w:t>Built to be POPIA, NDPR and GDPR ready; row-level security on every table; encrypted tokens; audit export; data export and account deletion on request.</w:t>
      </w:r>
    </w:p>
    <w:p>
      <w:pPr>
        <w:pStyle w:val="ListBullet"/>
      </w:pPr>
      <w:r>
        <w:rPr/>
        <w:t>Marketing messages go only to contacts who opted in, using Meta-approved templates, with an opt-out in every broadcast and suppression lists kept in the platform.</w:t>
      </w:r>
    </w:p>
    <w:p>
      <w:pPr>
        <w:pStyle w:val="ListBullet"/>
      </w:pPr>
      <w:r>
        <w:rPr/>
        <w:t>Screenshots and case studies blur customer names and phone numbers.</w:t>
      </w:r>
    </w:p>
    <w:p>
      <w:pPr>
        <w:pStyle w:val="ListBullet"/>
      </w:pPr>
      <w:r>
        <w:rPr/>
        <w:t>A security and compliance engineer is hired in the plan once net MRR passes R2.5m, and legal and data-protection counsel once it passes R2.0m.</w:t>
      </w:r>
    </w:p>
    <w:p>
      <w:pPr>
        <w:pStyle w:val="ListBullet"/>
      </w:pPr>
      <w:r>
        <w:rPr>
          <w:b/>
          <w:color w:val="20242B"/>
          <w:shd w:val="clear" w:color="auto" w:fill="FFF1A8"/>
        </w:rPr>
        <w:t>[[SECURITY POLICY, BREACH-RESPONSE PLAN, PENETRATION TEST AND HOSTING REGIONS: TO CONFIRM]]</w:t>
      </w:r>
    </w:p>
    <w:p>
      <w:pPr>
        <w:pStyle w:val="Heading2"/>
      </w:pPr>
      <w:r>
        <w:rPr/>
        <w:t>Suppliers and key partners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Key suppliers and partners"/>
      </w:tblPr>
      <w:tblGrid>
        <w:gridCol w:w="2494"/>
        <w:gridCol w:w="3968"/>
        <w:gridCol w:w="3174"/>
      </w:tblGrid>
      <w:tr>
        <w:trPr>
          <w:cantSplit/>
          <w:tblHeader/>
        </w:trPr>
        <w:tc>
          <w:tcPr>
            <w:tcW w:type="dxa" w:w="2494"/>
            <w:shd w:val="clear" w:color="auto" w:fill="FF6A00"/>
            <w:vAlign w:val="center"/>
          </w:tcPr>
          <w:p>
            <w:pPr>
              <w:keepNext/>
              <w:spacing w:after="20" w:line="252" w:lineRule="auto"/>
            </w:pPr>
            <w:r>
              <w:rPr>
                <w:rFonts w:ascii="Poppins" w:hAnsi="Poppins" w:cs="Poppins" w:eastAsia="Poppins"/>
                <w:b/>
                <w:color w:val="20242B"/>
                <w:sz w:val="18"/>
              </w:rPr>
              <w:t>Partner</w:t>
            </w:r>
          </w:p>
        </w:tc>
        <w:tc>
          <w:tcPr>
            <w:tcW w:type="dxa" w:w="3969"/>
            <w:shd w:val="clear" w:color="auto" w:fill="FF6A00"/>
            <w:vAlign w:val="center"/>
          </w:tcPr>
          <w:p>
            <w:pPr>
              <w:keepNext/>
              <w:spacing w:after="20" w:line="252" w:lineRule="auto"/>
            </w:pPr>
            <w:r>
              <w:rPr>
                <w:rFonts w:ascii="Poppins" w:hAnsi="Poppins" w:cs="Poppins" w:eastAsia="Poppins"/>
                <w:b/>
                <w:color w:val="20242B"/>
                <w:sz w:val="18"/>
              </w:rPr>
              <w:t>Role</w:t>
            </w:r>
          </w:p>
        </w:tc>
        <w:tc>
          <w:tcPr>
            <w:tcW w:type="dxa" w:w="3175"/>
            <w:shd w:val="clear" w:color="auto" w:fill="FF6A00"/>
            <w:vAlign w:val="center"/>
          </w:tcPr>
          <w:p>
            <w:pPr>
              <w:keepNext/>
              <w:spacing w:after="20" w:line="252" w:lineRule="auto"/>
            </w:pPr>
            <w:r>
              <w:rPr>
                <w:rFonts w:ascii="Poppins" w:hAnsi="Poppins" w:cs="Poppins" w:eastAsia="Poppins"/>
                <w:b/>
                <w:color w:val="20242B"/>
                <w:sz w:val="18"/>
              </w:rPr>
              <w:t>Dependency</w:t>
            </w:r>
          </w:p>
        </w:tc>
      </w:tr>
      <w:tr>
        <w:trPr>
          <w:cantSplit/>
        </w:trPr>
        <w:tc>
          <w:tcPr>
            <w:tcW w:type="dxa" w:w="2494"/>
            <w:vAlign w:val="center"/>
          </w:tcPr>
          <w:p>
            <w:pPr>
              <w:spacing w:after="20" w:line="252" w:lineRule="auto"/>
            </w:pPr>
            <w:r>
              <w:rPr>
                <w:b/>
                <w:sz w:val="18"/>
              </w:rPr>
              <w:t>Meta</w:t>
            </w:r>
          </w:p>
        </w:tc>
        <w:tc>
          <w:tcPr>
            <w:tcW w:type="dxa" w:w="3969"/>
            <w:vAlign w:val="center"/>
          </w:tcPr>
          <w:p>
            <w:pPr>
              <w:spacing w:after="20" w:line="252" w:lineRule="auto"/>
            </w:pPr>
            <w:r>
              <w:rPr>
                <w:sz w:val="18"/>
              </w:rPr>
              <w:t>WhatsApp Cloud API, Facebook and Instagram</w:t>
            </w:r>
          </w:p>
        </w:tc>
        <w:tc>
          <w:tcPr>
            <w:tcW w:type="dxa" w:w="3175"/>
            <w:vAlign w:val="center"/>
          </w:tcPr>
          <w:p>
            <w:pPr>
              <w:spacing w:after="20" w:line="252" w:lineRule="auto"/>
            </w:pPr>
            <w:r>
              <w:rPr>
                <w:sz w:val="18"/>
              </w:rPr>
              <w:t>High: see section 14</w:t>
            </w:r>
          </w:p>
        </w:tc>
      </w:tr>
      <w:tr>
        <w:trPr>
          <w:cantSplit/>
        </w:trPr>
        <w:tc>
          <w:tcPr>
            <w:tcW w:type="dxa" w:w="2494"/>
            <w:shd w:val="clear" w:color="auto" w:fill="FAFAFB"/>
            <w:vAlign w:val="center"/>
          </w:tcPr>
          <w:p>
            <w:pPr>
              <w:spacing w:after="20" w:line="252" w:lineRule="auto"/>
            </w:pPr>
            <w:r>
              <w:rPr>
                <w:b/>
                <w:sz w:val="18"/>
              </w:rPr>
              <w:t>Supabase and Vercel</w:t>
            </w:r>
          </w:p>
        </w:tc>
        <w:tc>
          <w:tcPr>
            <w:tcW w:type="dxa" w:w="3969"/>
            <w:shd w:val="clear" w:color="auto" w:fill="FAFAFB"/>
            <w:vAlign w:val="center"/>
          </w:tcPr>
          <w:p>
            <w:pPr>
              <w:spacing w:after="20" w:line="252" w:lineRule="auto"/>
            </w:pPr>
            <w:r>
              <w:rPr>
                <w:sz w:val="18"/>
              </w:rPr>
              <w:t>Database, authentication, edge functions, hosting</w:t>
            </w:r>
          </w:p>
        </w:tc>
        <w:tc>
          <w:tcPr>
            <w:tcW w:type="dxa" w:w="3175"/>
            <w:shd w:val="clear" w:color="auto" w:fill="FAFAFB"/>
            <w:vAlign w:val="center"/>
          </w:tcPr>
          <w:p>
            <w:pPr>
              <w:spacing w:after="20" w:line="252" w:lineRule="auto"/>
            </w:pPr>
            <w:r>
              <w:rPr>
                <w:sz w:val="18"/>
              </w:rPr>
              <w:t>Medium: replaceable, with effort</w:t>
            </w:r>
          </w:p>
        </w:tc>
      </w:tr>
      <w:tr>
        <w:trPr>
          <w:cantSplit/>
        </w:trPr>
        <w:tc>
          <w:tcPr>
            <w:tcW w:type="dxa" w:w="2494"/>
            <w:vAlign w:val="center"/>
          </w:tcPr>
          <w:p>
            <w:pPr>
              <w:spacing w:after="20" w:line="252" w:lineRule="auto"/>
            </w:pPr>
            <w:r>
              <w:rPr>
                <w:b/>
                <w:sz w:val="18"/>
              </w:rPr>
              <w:t>AI model providers</w:t>
            </w:r>
          </w:p>
        </w:tc>
        <w:tc>
          <w:tcPr>
            <w:tcW w:type="dxa" w:w="3969"/>
            <w:vAlign w:val="center"/>
          </w:tcPr>
          <w:p>
            <w:pPr>
              <w:spacing w:after="20" w:line="252" w:lineRule="auto"/>
            </w:pPr>
            <w:r>
              <w:rPr>
                <w:sz w:val="18"/>
              </w:rPr>
              <w:t>Inference behind the agents</w:t>
            </w:r>
          </w:p>
        </w:tc>
        <w:tc>
          <w:tcPr>
            <w:tcW w:type="dxa" w:w="3175"/>
            <w:vAlign w:val="center"/>
          </w:tcPr>
          <w:p>
            <w:pPr>
              <w:spacing w:after="20" w:line="252" w:lineRule="auto"/>
            </w:pPr>
            <w:r>
              <w:rPr>
                <w:sz w:val="18"/>
              </w:rPr>
              <w:t>Medium: cost and availability; multi-provider by design</w:t>
            </w:r>
          </w:p>
        </w:tc>
      </w:tr>
      <w:tr>
        <w:trPr>
          <w:cantSplit/>
        </w:trPr>
        <w:tc>
          <w:tcPr>
            <w:tcW w:type="dxa" w:w="2494"/>
            <w:shd w:val="clear" w:color="auto" w:fill="FAFAFB"/>
            <w:vAlign w:val="center"/>
          </w:tcPr>
          <w:p>
            <w:pPr>
              <w:spacing w:after="20" w:line="252" w:lineRule="auto"/>
            </w:pPr>
            <w:r>
              <w:rPr>
                <w:b/>
                <w:sz w:val="18"/>
              </w:rPr>
              <w:t>Yoco, Ozow, Paystack, pawaPay, Fincra</w:t>
            </w:r>
          </w:p>
        </w:tc>
        <w:tc>
          <w:tcPr>
            <w:tcW w:type="dxa" w:w="3969"/>
            <w:shd w:val="clear" w:color="auto" w:fill="FAFAFB"/>
            <w:vAlign w:val="center"/>
          </w:tcPr>
          <w:p>
            <w:pPr>
              <w:spacing w:after="20" w:line="252" w:lineRule="auto"/>
            </w:pPr>
            <w:r>
              <w:rPr>
                <w:sz w:val="18"/>
              </w:rPr>
              <w:t>Collections and payouts</w:t>
            </w:r>
          </w:p>
        </w:tc>
        <w:tc>
          <w:tcPr>
            <w:tcW w:type="dxa" w:w="3175"/>
            <w:shd w:val="clear" w:color="auto" w:fill="FAFAFB"/>
            <w:vAlign w:val="center"/>
          </w:tcPr>
          <w:p>
            <w:pPr>
              <w:spacing w:after="20" w:line="252" w:lineRule="auto"/>
            </w:pPr>
            <w:r>
              <w:rPr>
                <w:sz w:val="18"/>
              </w:rPr>
              <w:t>Medium: overlapping coverage in the larger markets</w:t>
            </w:r>
          </w:p>
        </w:tc>
      </w:tr>
      <w:tr>
        <w:trPr>
          <w:cantSplit/>
        </w:trPr>
        <w:tc>
          <w:tcPr>
            <w:tcW w:type="dxa" w:w="2494"/>
            <w:vAlign w:val="center"/>
          </w:tcPr>
          <w:p>
            <w:pPr>
              <w:spacing w:after="20" w:line="252" w:lineRule="auto"/>
            </w:pPr>
            <w:r>
              <w:rPr>
                <w:b/>
                <w:sz w:val="18"/>
              </w:rPr>
              <w:t>Agency partners</w:t>
            </w:r>
          </w:p>
        </w:tc>
        <w:tc>
          <w:tcPr>
            <w:tcW w:type="dxa" w:w="3969"/>
            <w:vAlign w:val="center"/>
          </w:tcPr>
          <w:p>
            <w:pPr>
              <w:spacing w:after="20" w:line="252" w:lineRule="auto"/>
            </w:pPr>
            <w:r>
              <w:rPr>
                <w:sz w:val="18"/>
              </w:rPr>
              <w:t>White-label distribution</w:t>
            </w:r>
          </w:p>
        </w:tc>
        <w:tc>
          <w:tcPr>
            <w:tcW w:type="dxa" w:w="3175"/>
            <w:vAlign w:val="center"/>
          </w:tcPr>
          <w:p>
            <w:pPr>
              <w:spacing w:after="20" w:line="252" w:lineRule="auto"/>
            </w:pPr>
            <w:r>
              <w:rPr>
                <w:sz w:val="18"/>
              </w:rPr>
              <w:t>Builds over time</w:t>
            </w:r>
          </w:p>
        </w:tc>
      </w:tr>
    </w:tbl>
    <w:p>
      <w:pPr>
        <w:spacing w:after="0" w:line="120" w:lineRule="exact"/>
      </w:pPr>
    </w:p>
    <w:p>
      <w:pPr>
        <w:pStyle w:val="Heading1"/>
        <w:pageBreakBefore/>
      </w:pPr>
      <w:r>
        <w:rPr/>
        <w:t>11. Management and organisation</w:t>
      </w:r>
    </w:p>
    <w:p>
      <w:pPr>
        <w:pStyle w:val="Heading2"/>
      </w:pPr>
      <w:r>
        <w:rPr/>
        <w:t>Founders and team</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ounders and senior team"/>
      </w:tblPr>
      <w:tblGrid>
        <w:gridCol w:w="2267"/>
        <w:gridCol w:w="2267"/>
        <w:gridCol w:w="5102"/>
      </w:tblGrid>
      <w:tr>
        <w:trPr>
          <w:cantSplit/>
          <w:tblHeader/>
        </w:trPr>
        <w:tc>
          <w:tcPr>
            <w:tcW w:type="dxa" w:w="2268"/>
            <w:shd w:val="clear" w:color="auto" w:fill="FF6A00"/>
            <w:vAlign w:val="center"/>
          </w:tcPr>
          <w:p>
            <w:pPr>
              <w:keepNext/>
              <w:spacing w:after="20" w:line="252" w:lineRule="auto"/>
            </w:pPr>
            <w:r>
              <w:rPr>
                <w:rFonts w:ascii="Poppins" w:hAnsi="Poppins" w:cs="Poppins" w:eastAsia="Poppins"/>
                <w:b/>
                <w:color w:val="20242B"/>
                <w:sz w:val="19"/>
              </w:rPr>
              <w:t>Role</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Name</w:t>
            </w:r>
          </w:p>
        </w:tc>
        <w:tc>
          <w:tcPr>
            <w:tcW w:type="dxa" w:w="5102"/>
            <w:shd w:val="clear" w:color="auto" w:fill="FF6A00"/>
            <w:vAlign w:val="center"/>
          </w:tcPr>
          <w:p>
            <w:pPr>
              <w:keepNext/>
              <w:spacing w:after="20" w:line="252" w:lineRule="auto"/>
            </w:pPr>
            <w:r>
              <w:rPr>
                <w:rFonts w:ascii="Poppins" w:hAnsi="Poppins" w:cs="Poppins" w:eastAsia="Poppins"/>
                <w:b/>
                <w:color w:val="20242B"/>
                <w:sz w:val="19"/>
              </w:rPr>
              <w:t>Background and responsibility</w:t>
            </w:r>
          </w:p>
        </w:tc>
      </w:tr>
      <w:tr>
        <w:trPr>
          <w:cantSplit/>
        </w:trPr>
        <w:tc>
          <w:tcPr>
            <w:tcW w:type="dxa" w:w="2268"/>
            <w:vAlign w:val="center"/>
          </w:tcPr>
          <w:p>
            <w:pPr>
              <w:spacing w:after="20" w:line="252" w:lineRule="auto"/>
            </w:pPr>
            <w:r>
              <w:rPr>
                <w:b/>
                <w:sz w:val="19"/>
              </w:rPr>
              <w:t>Founder &amp; CEO</w:t>
            </w:r>
          </w:p>
        </w:tc>
        <w:tc>
          <w:tcPr>
            <w:tcW w:type="dxa" w:w="2268"/>
            <w:vAlign w:val="center"/>
          </w:tcPr>
          <w:p>
            <w:pPr>
              <w:spacing w:after="20" w:line="252" w:lineRule="auto"/>
            </w:pPr>
            <w:r>
              <w:rPr>
                <w:b/>
                <w:color w:val="20242B"/>
                <w:sz w:val="19"/>
                <w:shd w:val="clear" w:color="auto" w:fill="FFF1A8"/>
              </w:rPr>
              <w:t>[[FOUNDER NAME]]</w:t>
            </w:r>
          </w:p>
        </w:tc>
        <w:tc>
          <w:tcPr>
            <w:tcW w:type="dxa" w:w="5102"/>
            <w:vAlign w:val="center"/>
          </w:tcPr>
          <w:p>
            <w:pPr>
              <w:spacing w:after="20" w:line="252" w:lineRule="auto"/>
            </w:pPr>
            <w:r>
              <w:rPr>
                <w:b/>
                <w:color w:val="20242B"/>
                <w:sz w:val="19"/>
                <w:shd w:val="clear" w:color="auto" w:fill="FFF1A8"/>
              </w:rPr>
              <w:t>[[BACKGROUND, YEARS OF EXPERIENCE, RESPONSIBILITY]]</w:t>
            </w:r>
          </w:p>
        </w:tc>
      </w:tr>
      <w:tr>
        <w:trPr>
          <w:cantSplit/>
        </w:trPr>
        <w:tc>
          <w:tcPr>
            <w:tcW w:type="dxa" w:w="2268"/>
            <w:shd w:val="clear" w:color="auto" w:fill="FAFAFB"/>
            <w:vAlign w:val="center"/>
          </w:tcPr>
          <w:p>
            <w:pPr>
              <w:spacing w:after="20" w:line="252" w:lineRule="auto"/>
            </w:pPr>
            <w:r>
              <w:rPr>
                <w:b/>
                <w:sz w:val="19"/>
              </w:rPr>
              <w:t>CTO / founding engineer</w:t>
            </w:r>
          </w:p>
        </w:tc>
        <w:tc>
          <w:tcPr>
            <w:tcW w:type="dxa" w:w="2268"/>
            <w:shd w:val="clear" w:color="auto" w:fill="FAFAFB"/>
            <w:vAlign w:val="center"/>
          </w:tcPr>
          <w:p>
            <w:pPr>
              <w:spacing w:after="20" w:line="252" w:lineRule="auto"/>
            </w:pPr>
            <w:r>
              <w:rPr>
                <w:b/>
                <w:color w:val="20242B"/>
                <w:sz w:val="19"/>
                <w:shd w:val="clear" w:color="auto" w:fill="FFF1A8"/>
              </w:rPr>
              <w:t>[[CTO NAME]]</w:t>
            </w:r>
          </w:p>
        </w:tc>
        <w:tc>
          <w:tcPr>
            <w:tcW w:type="dxa" w:w="5102"/>
            <w:shd w:val="clear" w:color="auto" w:fill="FAFAFB"/>
            <w:vAlign w:val="center"/>
          </w:tcPr>
          <w:p>
            <w:pPr>
              <w:spacing w:after="20" w:line="252" w:lineRule="auto"/>
            </w:pPr>
            <w:r>
              <w:rPr>
                <w:b/>
                <w:color w:val="20242B"/>
                <w:sz w:val="19"/>
                <w:shd w:val="clear" w:color="auto" w:fill="FFF1A8"/>
              </w:rPr>
              <w:t>[[BACKGROUND, RESPONSIBILITY]]</w:t>
            </w:r>
          </w:p>
        </w:tc>
      </w:tr>
      <w:tr>
        <w:trPr>
          <w:cantSplit/>
        </w:trPr>
        <w:tc>
          <w:tcPr>
            <w:tcW w:type="dxa" w:w="2268"/>
            <w:vAlign w:val="center"/>
          </w:tcPr>
          <w:p>
            <w:pPr>
              <w:spacing w:after="20" w:line="252" w:lineRule="auto"/>
            </w:pPr>
            <w:r>
              <w:rPr>
                <w:b/>
                <w:color w:val="20242B"/>
                <w:sz w:val="19"/>
                <w:shd w:val="clear" w:color="auto" w:fill="FFF1A8"/>
              </w:rPr>
              <w:t>[[ROLE]]</w:t>
            </w:r>
          </w:p>
        </w:tc>
        <w:tc>
          <w:tcPr>
            <w:tcW w:type="dxa" w:w="2268"/>
            <w:vAlign w:val="center"/>
          </w:tcPr>
          <w:p>
            <w:pPr>
              <w:spacing w:after="20" w:line="252" w:lineRule="auto"/>
            </w:pPr>
            <w:r>
              <w:rPr>
                <w:b/>
                <w:color w:val="20242B"/>
                <w:sz w:val="19"/>
                <w:shd w:val="clear" w:color="auto" w:fill="FFF1A8"/>
              </w:rPr>
              <w:t>[[NAME]]</w:t>
            </w:r>
          </w:p>
        </w:tc>
        <w:tc>
          <w:tcPr>
            <w:tcW w:type="dxa" w:w="5102"/>
            <w:vAlign w:val="center"/>
          </w:tcPr>
          <w:p>
            <w:pPr>
              <w:spacing w:after="20" w:line="252" w:lineRule="auto"/>
            </w:pPr>
            <w:r>
              <w:rPr>
                <w:b/>
                <w:color w:val="20242B"/>
                <w:sz w:val="19"/>
                <w:shd w:val="clear" w:color="auto" w:fill="FFF1A8"/>
              </w:rPr>
              <w:t>[[BACKGROUND, RESPONSIBILITY]]</w:t>
            </w:r>
          </w:p>
        </w:tc>
      </w:tr>
    </w:tbl>
    <w:p>
      <w:pPr>
        <w:spacing w:after="0" w:line="120" w:lineRule="exact"/>
      </w:pPr>
    </w:p>
    <w:p>
      <w:r>
        <w:rPr/>
        <w:t>Both founders are on reduced salaries until the seed lands (R45,000 and R55,000 cost to company a month), which is what keeps the pre-seed burn small.</w:t>
      </w:r>
    </w:p>
    <w:p>
      <w:r>
        <w:rPr>
          <w:b/>
        </w:rPr>
        <w:t>Advisors.</w:t>
      </w:r>
      <w:r>
        <w:rPr/>
        <w:t xml:space="preserve"> </w:t>
      </w:r>
      <w:r>
        <w:rPr>
          <w:b/>
          <w:color w:val="20242B"/>
          <w:shd w:val="clear" w:color="auto" w:fill="FFF1A8"/>
        </w:rPr>
        <w:t>[[ADVISORS: NAMES, AREAS AND WHAT THEY CONTRIBUTE]]</w:t>
      </w:r>
    </w:p>
    <w:p>
      <w:pPr>
        <w:pStyle w:val="Heading2"/>
      </w:pPr>
      <w:r>
        <w:rPr/>
        <w:t>Governance</w:t>
      </w:r>
    </w:p>
    <w:p>
      <w:pPr>
        <w:pStyle w:val="ListBullet"/>
      </w:pPr>
      <w:r>
        <w:rPr/>
        <w:t xml:space="preserve">Board composition after the round: </w:t>
      </w:r>
      <w:r>
        <w:rPr>
          <w:b/>
          <w:color w:val="20242B"/>
          <w:shd w:val="clear" w:color="auto" w:fill="FFF1A8"/>
        </w:rPr>
        <w:t>[[BOARD COMPOSITION AND INVESTOR RIGHTS]]</w:t>
      </w:r>
      <w:r>
        <w:rPr/>
        <w:t>.</w:t>
      </w:r>
    </w:p>
    <w:p>
      <w:pPr>
        <w:pStyle w:val="ListBullet"/>
      </w:pPr>
      <w:r>
        <w:rPr/>
        <w:t>Reporting: monthly management accounts and the KPI dashboard in section 15; quarterly board meetings (</w:t>
      </w:r>
      <w:r>
        <w:rPr>
          <w:b/>
          <w:color w:val="20242B"/>
          <w:shd w:val="clear" w:color="auto" w:fill="FFF1A8"/>
        </w:rPr>
        <w:t>[[CONFIRM REPORTING CADENCE WITH INVESTORS]]</w:t>
      </w:r>
      <w:r>
        <w:rPr/>
        <w:t>).</w:t>
      </w:r>
    </w:p>
    <w:p>
      <w:pPr>
        <w:pStyle w:val="ListBullet"/>
      </w:pPr>
      <w:r>
        <w:rPr/>
        <w:t xml:space="preserve">Financial controls: </w:t>
      </w:r>
      <w:r>
        <w:rPr>
          <w:b/>
          <w:color w:val="20242B"/>
          <w:shd w:val="clear" w:color="auto" w:fill="FFF1A8"/>
        </w:rPr>
        <w:t>[[SIGNING AUTHORITY, APPROVAL LIMITS, PAYROLL AND PAYMENT CONTROLS]]</w:t>
      </w:r>
      <w:r>
        <w:rPr/>
        <w:t>.</w:t>
      </w:r>
    </w:p>
    <w:p>
      <w:pPr>
        <w:pStyle w:val="ListBullet"/>
      </w:pPr>
      <w:r>
        <w:rPr/>
        <w:t>A finance and compliance manager is hired early (from R150,000 net MRR), a finance analyst and people partner later, and a CFO at R8m net MRR.</w:t>
      </w:r>
    </w:p>
    <w:p>
      <w:pPr>
        <w:pStyle w:val="Heading2"/>
      </w:pPr>
      <w:r>
        <w:rPr/>
        <w:t>The hiring plan</w:t>
      </w:r>
    </w:p>
    <w:p>
      <w:r>
        <w:rPr>
          <w:b/>
        </w:rPr>
        <w:t>Nobody is hired on a calendar date alone.</w:t>
      </w:r>
      <w:r>
        <w:rPr/>
        <w:t xml:space="preserve"> Every non-founder role waits for three things: its earliest month, the seed, and last month's net MRR clearing that role's gate. In the Conservative scenario every gate rises by 40%, which is how the plan survives a slower market without extra funding.</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eadcount by department at each year end (Base case)"/>
      </w:tblPr>
      <w:tblGrid>
        <w:gridCol w:w="2607"/>
        <w:gridCol w:w="1405"/>
        <w:gridCol w:w="1405"/>
        <w:gridCol w:w="1405"/>
        <w:gridCol w:w="1405"/>
        <w:gridCol w:w="1405"/>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Department</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FY1</w:t>
            </w:r>
          </w:p>
          <w:p>
            <w:pPr>
              <w:keepNext/>
              <w:spacing w:after="20" w:line="252" w:lineRule="auto"/>
              <w:jc w:val="right"/>
            </w:pPr>
            <w:r>
              <w:rPr>
                <w:rFonts w:ascii="Poppins" w:hAnsi="Poppins" w:cs="Poppins" w:eastAsia="Poppins"/>
                <w:b/>
                <w:color w:val="20242B"/>
                <w:sz w:val="19"/>
              </w:rPr>
              <w:t>Oct 2026–Sep 2027</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FY2</w:t>
            </w:r>
          </w:p>
          <w:p>
            <w:pPr>
              <w:keepNext/>
              <w:spacing w:after="20" w:line="252" w:lineRule="auto"/>
              <w:jc w:val="right"/>
            </w:pPr>
            <w:r>
              <w:rPr>
                <w:rFonts w:ascii="Poppins" w:hAnsi="Poppins" w:cs="Poppins" w:eastAsia="Poppins"/>
                <w:b/>
                <w:color w:val="20242B"/>
                <w:sz w:val="19"/>
              </w:rPr>
              <w:t>Oct 2027–Sep 2028</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FY3</w:t>
            </w:r>
          </w:p>
          <w:p>
            <w:pPr>
              <w:keepNext/>
              <w:spacing w:after="20" w:line="252" w:lineRule="auto"/>
              <w:jc w:val="right"/>
            </w:pPr>
            <w:r>
              <w:rPr>
                <w:rFonts w:ascii="Poppins" w:hAnsi="Poppins" w:cs="Poppins" w:eastAsia="Poppins"/>
                <w:b/>
                <w:color w:val="20242B"/>
                <w:sz w:val="19"/>
              </w:rPr>
              <w:t>Oct 2028–Sep 2029</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FY4</w:t>
            </w:r>
          </w:p>
          <w:p>
            <w:pPr>
              <w:keepNext/>
              <w:spacing w:after="20" w:line="252" w:lineRule="auto"/>
              <w:jc w:val="right"/>
            </w:pPr>
            <w:r>
              <w:rPr>
                <w:rFonts w:ascii="Poppins" w:hAnsi="Poppins" w:cs="Poppins" w:eastAsia="Poppins"/>
                <w:b/>
                <w:color w:val="20242B"/>
                <w:sz w:val="19"/>
              </w:rPr>
              <w:t>Oct 2029–Sep 2030</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FY5</w:t>
            </w:r>
          </w:p>
          <w:p>
            <w:pPr>
              <w:keepNext/>
              <w:spacing w:after="20" w:line="252" w:lineRule="auto"/>
              <w:jc w:val="right"/>
            </w:pPr>
            <w:r>
              <w:rPr>
                <w:rFonts w:ascii="Poppins" w:hAnsi="Poppins" w:cs="Poppins" w:eastAsia="Poppins"/>
                <w:b/>
                <w:color w:val="20242B"/>
                <w:sz w:val="19"/>
              </w:rPr>
              <w:t>Oct 2030–Sep 2031</w:t>
            </w:r>
          </w:p>
        </w:tc>
      </w:tr>
      <w:tr>
        <w:trPr>
          <w:cantSplit/>
        </w:trPr>
        <w:tc>
          <w:tcPr>
            <w:tcW w:type="dxa" w:w="2608"/>
            <w:vAlign w:val="center"/>
          </w:tcPr>
          <w:p>
            <w:pPr>
              <w:spacing w:after="20" w:line="252" w:lineRule="auto"/>
            </w:pPr>
            <w:r>
              <w:rPr>
                <w:b/>
                <w:sz w:val="19"/>
              </w:rPr>
              <w:t>Leadership</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r>
      <w:tr>
        <w:trPr>
          <w:cantSplit/>
        </w:trPr>
        <w:tc>
          <w:tcPr>
            <w:tcW w:type="dxa" w:w="2608"/>
            <w:shd w:val="clear" w:color="auto" w:fill="FAFAFB"/>
            <w:vAlign w:val="center"/>
          </w:tcPr>
          <w:p>
            <w:pPr>
              <w:spacing w:after="20" w:line="252" w:lineRule="auto"/>
            </w:pPr>
            <w:r>
              <w:rPr>
                <w:b/>
                <w:sz w:val="19"/>
              </w:rPr>
              <w:t>Engineering &amp; product</w:t>
            </w:r>
          </w:p>
        </w:tc>
        <w:tc>
          <w:tcPr>
            <w:tcW w:type="dxa" w:w="1406"/>
            <w:shd w:val="clear" w:color="auto" w:fill="FAFAFB"/>
            <w:vAlign w:val="center"/>
          </w:tcPr>
          <w:p>
            <w:pPr>
              <w:spacing w:after="20" w:line="252" w:lineRule="auto"/>
              <w:jc w:val="right"/>
            </w:pPr>
            <w:r>
              <w:rPr>
                <w:sz w:val="19"/>
              </w:rPr>
              <w:t>6</w:t>
            </w:r>
          </w:p>
        </w:tc>
        <w:tc>
          <w:tcPr>
            <w:tcW w:type="dxa" w:w="1406"/>
            <w:shd w:val="clear" w:color="auto" w:fill="FAFAFB"/>
            <w:vAlign w:val="center"/>
          </w:tcPr>
          <w:p>
            <w:pPr>
              <w:spacing w:after="20" w:line="252" w:lineRule="auto"/>
              <w:jc w:val="right"/>
            </w:pPr>
            <w:r>
              <w:rPr>
                <w:sz w:val="19"/>
              </w:rPr>
              <w:t>11</w:t>
            </w:r>
          </w:p>
        </w:tc>
        <w:tc>
          <w:tcPr>
            <w:tcW w:type="dxa" w:w="1406"/>
            <w:shd w:val="clear" w:color="auto" w:fill="FAFAFB"/>
            <w:vAlign w:val="center"/>
          </w:tcPr>
          <w:p>
            <w:pPr>
              <w:spacing w:after="20" w:line="252" w:lineRule="auto"/>
              <w:jc w:val="right"/>
            </w:pPr>
            <w:r>
              <w:rPr>
                <w:sz w:val="19"/>
              </w:rPr>
              <w:t>17</w:t>
            </w:r>
          </w:p>
        </w:tc>
        <w:tc>
          <w:tcPr>
            <w:tcW w:type="dxa" w:w="1406"/>
            <w:shd w:val="clear" w:color="auto" w:fill="FAFAFB"/>
            <w:vAlign w:val="center"/>
          </w:tcPr>
          <w:p>
            <w:pPr>
              <w:spacing w:after="20" w:line="252" w:lineRule="auto"/>
              <w:jc w:val="right"/>
            </w:pPr>
            <w:r>
              <w:rPr>
                <w:sz w:val="19"/>
              </w:rPr>
              <w:t>24</w:t>
            </w:r>
          </w:p>
        </w:tc>
        <w:tc>
          <w:tcPr>
            <w:tcW w:type="dxa" w:w="1406"/>
            <w:shd w:val="clear" w:color="auto" w:fill="FAFAFB"/>
            <w:vAlign w:val="center"/>
          </w:tcPr>
          <w:p>
            <w:pPr>
              <w:spacing w:after="20" w:line="252" w:lineRule="auto"/>
              <w:jc w:val="right"/>
            </w:pPr>
            <w:r>
              <w:rPr>
                <w:sz w:val="19"/>
              </w:rPr>
              <w:t>36</w:t>
            </w:r>
          </w:p>
        </w:tc>
      </w:tr>
      <w:tr>
        <w:trPr>
          <w:cantSplit/>
        </w:trPr>
        <w:tc>
          <w:tcPr>
            <w:tcW w:type="dxa" w:w="2608"/>
            <w:vAlign w:val="center"/>
          </w:tcPr>
          <w:p>
            <w:pPr>
              <w:spacing w:after="20" w:line="252" w:lineRule="auto"/>
            </w:pPr>
            <w:r>
              <w:rPr>
                <w:b/>
                <w:sz w:val="19"/>
              </w:rPr>
              <w:t>Marketing</w:t>
            </w:r>
          </w:p>
        </w:tc>
        <w:tc>
          <w:tcPr>
            <w:tcW w:type="dxa" w:w="1406"/>
            <w:vAlign w:val="center"/>
          </w:tcPr>
          <w:p>
            <w:pPr>
              <w:spacing w:after="20" w:line="252" w:lineRule="auto"/>
              <w:jc w:val="right"/>
            </w:pPr>
            <w:r>
              <w:rPr>
                <w:sz w:val="19"/>
              </w:rPr>
              <w:t>4</w:t>
            </w:r>
          </w:p>
        </w:tc>
        <w:tc>
          <w:tcPr>
            <w:tcW w:type="dxa" w:w="1406"/>
            <w:vAlign w:val="center"/>
          </w:tcPr>
          <w:p>
            <w:pPr>
              <w:spacing w:after="20" w:line="252" w:lineRule="auto"/>
              <w:jc w:val="right"/>
            </w:pPr>
            <w:r>
              <w:rPr>
                <w:sz w:val="19"/>
              </w:rPr>
              <w:t>6</w:t>
            </w:r>
          </w:p>
        </w:tc>
        <w:tc>
          <w:tcPr>
            <w:tcW w:type="dxa" w:w="1406"/>
            <w:vAlign w:val="center"/>
          </w:tcPr>
          <w:p>
            <w:pPr>
              <w:spacing w:after="20" w:line="252" w:lineRule="auto"/>
              <w:jc w:val="right"/>
            </w:pPr>
            <w:r>
              <w:rPr>
                <w:sz w:val="19"/>
              </w:rPr>
              <w:t>9</w:t>
            </w:r>
          </w:p>
        </w:tc>
        <w:tc>
          <w:tcPr>
            <w:tcW w:type="dxa" w:w="1406"/>
            <w:vAlign w:val="center"/>
          </w:tcPr>
          <w:p>
            <w:pPr>
              <w:spacing w:after="20" w:line="252" w:lineRule="auto"/>
              <w:jc w:val="right"/>
            </w:pPr>
            <w:r>
              <w:rPr>
                <w:sz w:val="19"/>
              </w:rPr>
              <w:t>12</w:t>
            </w:r>
          </w:p>
        </w:tc>
        <w:tc>
          <w:tcPr>
            <w:tcW w:type="dxa" w:w="1406"/>
            <w:vAlign w:val="center"/>
          </w:tcPr>
          <w:p>
            <w:pPr>
              <w:spacing w:after="20" w:line="252" w:lineRule="auto"/>
              <w:jc w:val="right"/>
            </w:pPr>
            <w:r>
              <w:rPr>
                <w:sz w:val="19"/>
              </w:rPr>
              <w:t>16</w:t>
            </w:r>
          </w:p>
        </w:tc>
      </w:tr>
      <w:tr>
        <w:trPr>
          <w:cantSplit/>
        </w:trPr>
        <w:tc>
          <w:tcPr>
            <w:tcW w:type="dxa" w:w="2608"/>
            <w:shd w:val="clear" w:color="auto" w:fill="FAFAFB"/>
            <w:vAlign w:val="center"/>
          </w:tcPr>
          <w:p>
            <w:pPr>
              <w:spacing w:after="20" w:line="252" w:lineRule="auto"/>
            </w:pPr>
            <w:r>
              <w:rPr>
                <w:b/>
                <w:sz w:val="19"/>
              </w:rPr>
              <w:t>Sales &amp; partnerships</w:t>
            </w:r>
          </w:p>
        </w:tc>
        <w:tc>
          <w:tcPr>
            <w:tcW w:type="dxa" w:w="1406"/>
            <w:shd w:val="clear" w:color="auto" w:fill="FAFAFB"/>
            <w:vAlign w:val="center"/>
          </w:tcPr>
          <w:p>
            <w:pPr>
              <w:spacing w:after="20" w:line="252" w:lineRule="auto"/>
              <w:jc w:val="right"/>
            </w:pPr>
            <w:r>
              <w:rPr>
                <w:sz w:val="19"/>
              </w:rPr>
              <w:t>1</w:t>
            </w:r>
          </w:p>
        </w:tc>
        <w:tc>
          <w:tcPr>
            <w:tcW w:type="dxa" w:w="1406"/>
            <w:shd w:val="clear" w:color="auto" w:fill="FAFAFB"/>
            <w:vAlign w:val="center"/>
          </w:tcPr>
          <w:p>
            <w:pPr>
              <w:spacing w:after="20" w:line="252" w:lineRule="auto"/>
              <w:jc w:val="right"/>
            </w:pPr>
            <w:r>
              <w:rPr>
                <w:sz w:val="19"/>
              </w:rPr>
              <w:t>4</w:t>
            </w:r>
          </w:p>
        </w:tc>
        <w:tc>
          <w:tcPr>
            <w:tcW w:type="dxa" w:w="1406"/>
            <w:shd w:val="clear" w:color="auto" w:fill="FAFAFB"/>
            <w:vAlign w:val="center"/>
          </w:tcPr>
          <w:p>
            <w:pPr>
              <w:spacing w:after="20" w:line="252" w:lineRule="auto"/>
              <w:jc w:val="right"/>
            </w:pPr>
            <w:r>
              <w:rPr>
                <w:sz w:val="19"/>
              </w:rPr>
              <w:t>7</w:t>
            </w:r>
          </w:p>
        </w:tc>
        <w:tc>
          <w:tcPr>
            <w:tcW w:type="dxa" w:w="1406"/>
            <w:shd w:val="clear" w:color="auto" w:fill="FAFAFB"/>
            <w:vAlign w:val="center"/>
          </w:tcPr>
          <w:p>
            <w:pPr>
              <w:spacing w:after="20" w:line="252" w:lineRule="auto"/>
              <w:jc w:val="right"/>
            </w:pPr>
            <w:r>
              <w:rPr>
                <w:sz w:val="19"/>
              </w:rPr>
              <w:t>12</w:t>
            </w:r>
          </w:p>
        </w:tc>
        <w:tc>
          <w:tcPr>
            <w:tcW w:type="dxa" w:w="1406"/>
            <w:shd w:val="clear" w:color="auto" w:fill="FAFAFB"/>
            <w:vAlign w:val="center"/>
          </w:tcPr>
          <w:p>
            <w:pPr>
              <w:spacing w:after="20" w:line="252" w:lineRule="auto"/>
              <w:jc w:val="right"/>
            </w:pPr>
            <w:r>
              <w:rPr>
                <w:sz w:val="19"/>
              </w:rPr>
              <w:t>18</w:t>
            </w:r>
          </w:p>
        </w:tc>
      </w:tr>
      <w:tr>
        <w:trPr>
          <w:cantSplit/>
        </w:trPr>
        <w:tc>
          <w:tcPr>
            <w:tcW w:type="dxa" w:w="2608"/>
            <w:vAlign w:val="center"/>
          </w:tcPr>
          <w:p>
            <w:pPr>
              <w:spacing w:after="20" w:line="252" w:lineRule="auto"/>
            </w:pPr>
            <w:r>
              <w:rPr>
                <w:b/>
                <w:sz w:val="19"/>
              </w:rPr>
              <w:t>Customer success</w:t>
            </w:r>
          </w:p>
        </w:tc>
        <w:tc>
          <w:tcPr>
            <w:tcW w:type="dxa" w:w="1406"/>
            <w:vAlign w:val="center"/>
          </w:tcPr>
          <w:p>
            <w:pPr>
              <w:spacing w:after="20" w:line="252" w:lineRule="auto"/>
              <w:jc w:val="right"/>
            </w:pPr>
            <w:r>
              <w:rPr>
                <w:sz w:val="19"/>
              </w:rPr>
              <w:t>3</w:t>
            </w:r>
          </w:p>
        </w:tc>
        <w:tc>
          <w:tcPr>
            <w:tcW w:type="dxa" w:w="1406"/>
            <w:vAlign w:val="center"/>
          </w:tcPr>
          <w:p>
            <w:pPr>
              <w:spacing w:after="20" w:line="252" w:lineRule="auto"/>
              <w:jc w:val="right"/>
            </w:pPr>
            <w:r>
              <w:rPr>
                <w:sz w:val="19"/>
              </w:rPr>
              <w:t>7</w:t>
            </w:r>
          </w:p>
        </w:tc>
        <w:tc>
          <w:tcPr>
            <w:tcW w:type="dxa" w:w="1406"/>
            <w:vAlign w:val="center"/>
          </w:tcPr>
          <w:p>
            <w:pPr>
              <w:spacing w:after="20" w:line="252" w:lineRule="auto"/>
              <w:jc w:val="right"/>
            </w:pPr>
            <w:r>
              <w:rPr>
                <w:sz w:val="19"/>
              </w:rPr>
              <w:t>13</w:t>
            </w:r>
          </w:p>
        </w:tc>
        <w:tc>
          <w:tcPr>
            <w:tcW w:type="dxa" w:w="1406"/>
            <w:vAlign w:val="center"/>
          </w:tcPr>
          <w:p>
            <w:pPr>
              <w:spacing w:after="20" w:line="252" w:lineRule="auto"/>
              <w:jc w:val="right"/>
            </w:pPr>
            <w:r>
              <w:rPr>
                <w:sz w:val="19"/>
              </w:rPr>
              <w:t>21</w:t>
            </w:r>
          </w:p>
        </w:tc>
        <w:tc>
          <w:tcPr>
            <w:tcW w:type="dxa" w:w="1406"/>
            <w:vAlign w:val="center"/>
          </w:tcPr>
          <w:p>
            <w:pPr>
              <w:spacing w:after="20" w:line="252" w:lineRule="auto"/>
              <w:jc w:val="right"/>
            </w:pPr>
            <w:r>
              <w:rPr>
                <w:sz w:val="19"/>
              </w:rPr>
              <w:t>39</w:t>
            </w:r>
          </w:p>
        </w:tc>
      </w:tr>
      <w:tr>
        <w:trPr>
          <w:cantSplit/>
        </w:trPr>
        <w:tc>
          <w:tcPr>
            <w:tcW w:type="dxa" w:w="2608"/>
            <w:shd w:val="clear" w:color="auto" w:fill="FAFAFB"/>
            <w:vAlign w:val="center"/>
          </w:tcPr>
          <w:p>
            <w:pPr>
              <w:spacing w:after="20" w:line="252" w:lineRule="auto"/>
            </w:pPr>
            <w:r>
              <w:rPr>
                <w:b/>
                <w:sz w:val="19"/>
              </w:rPr>
              <w:t>G&amp;A &amp; compliance</w:t>
            </w:r>
          </w:p>
        </w:tc>
        <w:tc>
          <w:tcPr>
            <w:tcW w:type="dxa" w:w="1406"/>
            <w:shd w:val="clear" w:color="auto" w:fill="FAFAFB"/>
            <w:vAlign w:val="center"/>
          </w:tcPr>
          <w:p>
            <w:pPr>
              <w:spacing w:after="20" w:line="252" w:lineRule="auto"/>
              <w:jc w:val="right"/>
            </w:pPr>
            <w:r>
              <w:rPr>
                <w:sz w:val="19"/>
              </w:rPr>
              <w:t>2</w:t>
            </w:r>
          </w:p>
        </w:tc>
        <w:tc>
          <w:tcPr>
            <w:tcW w:type="dxa" w:w="1406"/>
            <w:shd w:val="clear" w:color="auto" w:fill="FAFAFB"/>
            <w:vAlign w:val="center"/>
          </w:tcPr>
          <w:p>
            <w:pPr>
              <w:spacing w:after="20" w:line="252" w:lineRule="auto"/>
              <w:jc w:val="right"/>
            </w:pPr>
            <w:r>
              <w:rPr>
                <w:sz w:val="19"/>
              </w:rPr>
              <w:t>3</w:t>
            </w:r>
          </w:p>
        </w:tc>
        <w:tc>
          <w:tcPr>
            <w:tcW w:type="dxa" w:w="1406"/>
            <w:shd w:val="clear" w:color="auto" w:fill="FAFAFB"/>
            <w:vAlign w:val="center"/>
          </w:tcPr>
          <w:p>
            <w:pPr>
              <w:spacing w:after="20" w:line="252" w:lineRule="auto"/>
              <w:jc w:val="right"/>
            </w:pPr>
            <w:r>
              <w:rPr>
                <w:sz w:val="19"/>
              </w:rPr>
              <w:t>5</w:t>
            </w:r>
          </w:p>
        </w:tc>
        <w:tc>
          <w:tcPr>
            <w:tcW w:type="dxa" w:w="1406"/>
            <w:shd w:val="clear" w:color="auto" w:fill="FAFAFB"/>
            <w:vAlign w:val="center"/>
          </w:tcPr>
          <w:p>
            <w:pPr>
              <w:spacing w:after="20" w:line="252" w:lineRule="auto"/>
              <w:jc w:val="right"/>
            </w:pPr>
            <w:r>
              <w:rPr>
                <w:sz w:val="19"/>
              </w:rPr>
              <w:t>6</w:t>
            </w:r>
          </w:p>
        </w:tc>
        <w:tc>
          <w:tcPr>
            <w:tcW w:type="dxa" w:w="1406"/>
            <w:shd w:val="clear" w:color="auto" w:fill="FAFAFB"/>
            <w:vAlign w:val="center"/>
          </w:tcPr>
          <w:p>
            <w:pPr>
              <w:spacing w:after="20" w:line="252" w:lineRule="auto"/>
              <w:jc w:val="right"/>
            </w:pPr>
            <w:r>
              <w:rPr>
                <w:sz w:val="19"/>
              </w:rPr>
              <w:t>9</w:t>
            </w:r>
          </w:p>
        </w:tc>
      </w:tr>
      <w:tr>
        <w:trPr>
          <w:cantSplit/>
        </w:trPr>
        <w:tc>
          <w:tcPr>
            <w:tcW w:type="dxa" w:w="2608"/>
            <w:vAlign w:val="center"/>
          </w:tcPr>
          <w:p>
            <w:pPr>
              <w:spacing w:after="20" w:line="252" w:lineRule="auto"/>
            </w:pPr>
            <w:r>
              <w:rPr>
                <w:b/>
                <w:sz w:val="19"/>
              </w:rPr>
              <w:t>Country teams</w:t>
            </w:r>
          </w:p>
        </w:tc>
        <w:tc>
          <w:tcPr>
            <w:tcW w:type="dxa" w:w="1406"/>
            <w:vAlign w:val="center"/>
          </w:tcPr>
          <w:p>
            <w:pPr>
              <w:spacing w:after="20" w:line="252" w:lineRule="auto"/>
              <w:jc w:val="right"/>
            </w:pPr>
            <w:r>
              <w:rPr>
                <w:sz w:val="19"/>
              </w:rPr>
              <w:t>0</w:t>
            </w:r>
          </w:p>
        </w:tc>
        <w:tc>
          <w:tcPr>
            <w:tcW w:type="dxa" w:w="1406"/>
            <w:vAlign w:val="center"/>
          </w:tcPr>
          <w:p>
            <w:pPr>
              <w:spacing w:after="20" w:line="252" w:lineRule="auto"/>
              <w:jc w:val="right"/>
            </w:pPr>
            <w:r>
              <w:rPr>
                <w:sz w:val="19"/>
              </w:rPr>
              <w:t>8</w:t>
            </w:r>
          </w:p>
        </w:tc>
        <w:tc>
          <w:tcPr>
            <w:tcW w:type="dxa" w:w="1406"/>
            <w:vAlign w:val="center"/>
          </w:tcPr>
          <w:p>
            <w:pPr>
              <w:spacing w:after="20" w:line="252" w:lineRule="auto"/>
              <w:jc w:val="right"/>
            </w:pPr>
            <w:r>
              <w:rPr>
                <w:sz w:val="19"/>
              </w:rPr>
              <w:t>15</w:t>
            </w:r>
          </w:p>
        </w:tc>
        <w:tc>
          <w:tcPr>
            <w:tcW w:type="dxa" w:w="1406"/>
            <w:vAlign w:val="center"/>
          </w:tcPr>
          <w:p>
            <w:pPr>
              <w:spacing w:after="20" w:line="252" w:lineRule="auto"/>
              <w:jc w:val="right"/>
            </w:pPr>
            <w:r>
              <w:rPr>
                <w:sz w:val="19"/>
              </w:rPr>
              <w:t>15</w:t>
            </w:r>
          </w:p>
        </w:tc>
        <w:tc>
          <w:tcPr>
            <w:tcW w:type="dxa" w:w="1406"/>
            <w:vAlign w:val="center"/>
          </w:tcPr>
          <w:p>
            <w:pPr>
              <w:spacing w:after="20" w:line="252" w:lineRule="auto"/>
              <w:jc w:val="right"/>
            </w:pPr>
            <w:r>
              <w:rPr>
                <w:sz w:val="19"/>
              </w:rPr>
              <w:t>15</w:t>
            </w:r>
          </w:p>
        </w:tc>
      </w:tr>
      <w:tr>
        <w:trPr>
          <w:cantSplit/>
        </w:trPr>
        <w:tc>
          <w:tcPr>
            <w:tcW w:type="dxa" w:w="2608"/>
            <w:shd w:val="clear" w:color="auto" w:fill="FFF4EB"/>
            <w:vAlign w:val="center"/>
          </w:tcPr>
          <w:p>
            <w:pPr>
              <w:spacing w:after="20" w:line="252" w:lineRule="auto"/>
            </w:pPr>
            <w:r>
              <w:rPr>
                <w:b/>
                <w:sz w:val="19"/>
              </w:rPr>
              <w:t>Total headcount</w:t>
            </w:r>
          </w:p>
        </w:tc>
        <w:tc>
          <w:tcPr>
            <w:tcW w:type="dxa" w:w="1406"/>
            <w:shd w:val="clear" w:color="auto" w:fill="FFF4EB"/>
            <w:vAlign w:val="center"/>
          </w:tcPr>
          <w:p>
            <w:pPr>
              <w:spacing w:after="20" w:line="252" w:lineRule="auto"/>
              <w:jc w:val="right"/>
            </w:pPr>
            <w:r>
              <w:rPr>
                <w:b/>
                <w:sz w:val="19"/>
              </w:rPr>
              <w:t>18</w:t>
            </w:r>
          </w:p>
        </w:tc>
        <w:tc>
          <w:tcPr>
            <w:tcW w:type="dxa" w:w="1406"/>
            <w:shd w:val="clear" w:color="auto" w:fill="FFF4EB"/>
            <w:vAlign w:val="center"/>
          </w:tcPr>
          <w:p>
            <w:pPr>
              <w:spacing w:after="20" w:line="252" w:lineRule="auto"/>
              <w:jc w:val="right"/>
            </w:pPr>
            <w:r>
              <w:rPr>
                <w:b/>
                <w:sz w:val="19"/>
              </w:rPr>
              <w:t>41</w:t>
            </w:r>
          </w:p>
        </w:tc>
        <w:tc>
          <w:tcPr>
            <w:tcW w:type="dxa" w:w="1406"/>
            <w:shd w:val="clear" w:color="auto" w:fill="FFF4EB"/>
            <w:vAlign w:val="center"/>
          </w:tcPr>
          <w:p>
            <w:pPr>
              <w:spacing w:after="20" w:line="252" w:lineRule="auto"/>
              <w:jc w:val="right"/>
            </w:pPr>
            <w:r>
              <w:rPr>
                <w:b/>
                <w:sz w:val="19"/>
              </w:rPr>
              <w:t>68</w:t>
            </w:r>
          </w:p>
        </w:tc>
        <w:tc>
          <w:tcPr>
            <w:tcW w:type="dxa" w:w="1406"/>
            <w:shd w:val="clear" w:color="auto" w:fill="FFF4EB"/>
            <w:vAlign w:val="center"/>
          </w:tcPr>
          <w:p>
            <w:pPr>
              <w:spacing w:after="20" w:line="252" w:lineRule="auto"/>
              <w:jc w:val="right"/>
            </w:pPr>
            <w:r>
              <w:rPr>
                <w:b/>
                <w:sz w:val="19"/>
              </w:rPr>
              <w:t>92</w:t>
            </w:r>
          </w:p>
        </w:tc>
        <w:tc>
          <w:tcPr>
            <w:tcW w:type="dxa" w:w="1406"/>
            <w:shd w:val="clear" w:color="auto" w:fill="FFF4EB"/>
            <w:vAlign w:val="center"/>
          </w:tcPr>
          <w:p>
            <w:pPr>
              <w:spacing w:after="20" w:line="252" w:lineRule="auto"/>
              <w:jc w:val="right"/>
            </w:pPr>
            <w:r>
              <w:rPr>
                <w:b/>
                <w:sz w:val="19"/>
              </w:rPr>
              <w:t>135</w:t>
            </w:r>
          </w:p>
        </w:tc>
      </w:tr>
    </w:tbl>
    <w:p>
      <w:pPr>
        <w:spacing w:after="0" w:line="120" w:lineRule="exact"/>
      </w:pPr>
    </w:p>
    <w:p>
      <w:pPr>
        <w:spacing w:after="200"/>
      </w:pPr>
      <w:r>
        <w:rPr>
          <w:color w:val="5B6570"/>
          <w:sz w:val="17"/>
        </w:rPr>
        <w:t>Source: FluxMuse Financial Model v2 (Base case), derived from the model's headcount rows.</w:t>
      </w:r>
    </w:p>
    <w:p>
      <w:r>
        <w:rPr>
          <w:b/>
        </w:rPr>
        <w:t>Jobs created.</w:t>
      </w:r>
      <w:r>
        <w:rPr/>
        <w:t xml:space="preserve"> The plan grows from 2 founders to </w:t>
      </w:r>
      <w:r>
        <w:rPr>
          <w:b/>
        </w:rPr>
        <w:t>18 people by the end of FY1</w:t>
      </w:r>
      <w:r>
        <w:rPr/>
        <w:t xml:space="preserve"> and </w:t>
      </w:r>
      <w:r>
        <w:rPr>
          <w:b/>
        </w:rPr>
        <w:t>135 by FY5</w:t>
      </w:r>
      <w:r>
        <w:rPr/>
        <w:t>, of which 15 are country-team roles in Nigeria, Kenya and Ghana and 39 are customer-success roles, which are the most accessible entry-level positions in the plan. Section 16 sets out the development-impact view.</w:t>
      </w:r>
    </w:p>
    <w:p>
      <w:pPr>
        <w:pStyle w:val="Heading2"/>
      </w:pPr>
      <w:r>
        <w:rPr/>
        <w:t>When each role is hired</w:t>
      </w:r>
    </w:p>
    <w:p>
      <w:r>
        <w:rPr/>
        <w:t>The table shows the first month each role group is hired in the Base case, and the net MRR gate it waits for. Country-team roles are tied to their market's launch decision rather than to an MRR gate of their own.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Hiring plan: first hire month and MRR gate (Base case)"/>
      </w:tblPr>
      <w:tblGrid>
        <w:gridCol w:w="680"/>
        <w:gridCol w:w="1303"/>
        <w:gridCol w:w="566"/>
        <w:gridCol w:w="5385"/>
        <w:gridCol w:w="1700"/>
      </w:tblGrid>
      <w:tr>
        <w:trPr>
          <w:cantSplit/>
          <w:tblHeader/>
        </w:trPr>
        <w:tc>
          <w:tcPr>
            <w:tcW w:type="dxa" w:w="680"/>
            <w:shd w:val="clear" w:color="auto" w:fill="FF6A00"/>
            <w:vAlign w:val="center"/>
          </w:tcPr>
          <w:p>
            <w:pPr>
              <w:keepNext/>
              <w:spacing w:after="20" w:line="252" w:lineRule="auto"/>
            </w:pPr>
            <w:r>
              <w:rPr>
                <w:rFonts w:ascii="Poppins" w:hAnsi="Poppins" w:cs="Poppins" w:eastAsia="Poppins"/>
                <w:b/>
                <w:color w:val="20242B"/>
                <w:sz w:val="16"/>
              </w:rPr>
              <w:t>FY</w:t>
            </w:r>
          </w:p>
        </w:tc>
        <w:tc>
          <w:tcPr>
            <w:tcW w:type="dxa" w:w="1304"/>
            <w:shd w:val="clear" w:color="auto" w:fill="FF6A00"/>
            <w:vAlign w:val="center"/>
          </w:tcPr>
          <w:p>
            <w:pPr>
              <w:keepNext/>
              <w:spacing w:after="20" w:line="252" w:lineRule="auto"/>
            </w:pPr>
            <w:r>
              <w:rPr>
                <w:rFonts w:ascii="Poppins" w:hAnsi="Poppins" w:cs="Poppins" w:eastAsia="Poppins"/>
                <w:b/>
                <w:color w:val="20242B"/>
                <w:sz w:val="16"/>
              </w:rPr>
              <w:t>First hired</w:t>
            </w:r>
          </w:p>
        </w:tc>
        <w:tc>
          <w:tcPr>
            <w:tcW w:type="dxa" w:w="567"/>
            <w:shd w:val="clear" w:color="auto" w:fill="FF6A00"/>
            <w:vAlign w:val="center"/>
          </w:tcPr>
          <w:p>
            <w:pPr>
              <w:keepNext/>
              <w:spacing w:after="20" w:line="252" w:lineRule="auto"/>
              <w:jc w:val="right"/>
            </w:pPr>
            <w:r>
              <w:rPr>
                <w:rFonts w:ascii="Poppins" w:hAnsi="Poppins" w:cs="Poppins" w:eastAsia="Poppins"/>
                <w:b/>
                <w:color w:val="20242B"/>
                <w:sz w:val="16"/>
              </w:rPr>
              <w:t>FTE</w:t>
            </w:r>
          </w:p>
        </w:tc>
        <w:tc>
          <w:tcPr>
            <w:tcW w:type="dxa" w:w="5386"/>
            <w:shd w:val="clear" w:color="auto" w:fill="FF6A00"/>
            <w:vAlign w:val="center"/>
          </w:tcPr>
          <w:p>
            <w:pPr>
              <w:keepNext/>
              <w:spacing w:after="20" w:line="252" w:lineRule="auto"/>
            </w:pPr>
            <w:r>
              <w:rPr>
                <w:rFonts w:ascii="Poppins" w:hAnsi="Poppins" w:cs="Poppins" w:eastAsia="Poppins"/>
                <w:b/>
                <w:color w:val="20242B"/>
                <w:sz w:val="16"/>
              </w:rPr>
              <w:t>Role</w:t>
            </w:r>
          </w:p>
        </w:tc>
        <w:tc>
          <w:tcPr>
            <w:tcW w:type="dxa" w:w="1701"/>
            <w:shd w:val="clear" w:color="auto" w:fill="FF6A00"/>
            <w:vAlign w:val="center"/>
          </w:tcPr>
          <w:p>
            <w:pPr>
              <w:keepNext/>
              <w:spacing w:after="20" w:line="252" w:lineRule="auto"/>
              <w:jc w:val="right"/>
            </w:pPr>
            <w:r>
              <w:rPr>
                <w:rFonts w:ascii="Poppins" w:hAnsi="Poppins" w:cs="Poppins" w:eastAsia="Poppins"/>
                <w:b/>
                <w:color w:val="20242B"/>
                <w:sz w:val="16"/>
              </w:rPr>
              <w:t>Net MRR gate</w:t>
            </w:r>
          </w:p>
        </w:tc>
      </w:tr>
      <w:tr>
        <w:trPr>
          <w:cantSplit/>
        </w:trPr>
        <w:tc>
          <w:tcPr>
            <w:tcW w:type="dxa" w:w="680"/>
            <w:vAlign w:val="center"/>
          </w:tcPr>
          <w:p>
            <w:pPr>
              <w:spacing w:after="20" w:line="252" w:lineRule="auto"/>
            </w:pPr>
            <w:r>
              <w:rPr>
                <w:sz w:val="16"/>
              </w:rPr>
              <w:t>FY1</w:t>
            </w:r>
          </w:p>
        </w:tc>
        <w:tc>
          <w:tcPr>
            <w:tcW w:type="dxa" w:w="1304"/>
            <w:vAlign w:val="center"/>
          </w:tcPr>
          <w:p>
            <w:pPr>
              <w:spacing w:after="20" w:line="252" w:lineRule="auto"/>
            </w:pPr>
            <w:r>
              <w:rPr>
                <w:sz w:val="16"/>
              </w:rPr>
              <w:t>Mar 2027</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AI / ML engineer</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FY1</w:t>
            </w:r>
          </w:p>
        </w:tc>
        <w:tc>
          <w:tcPr>
            <w:tcW w:type="dxa" w:w="1304"/>
            <w:shd w:val="clear" w:color="auto" w:fill="FAFAFB"/>
            <w:vAlign w:val="center"/>
          </w:tcPr>
          <w:p>
            <w:pPr>
              <w:spacing w:after="20" w:line="252" w:lineRule="auto"/>
            </w:pPr>
            <w:r>
              <w:rPr>
                <w:sz w:val="16"/>
              </w:rPr>
              <w:t>May 2027</w:t>
            </w:r>
          </w:p>
        </w:tc>
        <w:tc>
          <w:tcPr>
            <w:tcW w:type="dxa" w:w="567"/>
            <w:shd w:val="clear" w:color="auto" w:fill="FAFAFB"/>
            <w:vAlign w:val="center"/>
          </w:tcPr>
          <w:p>
            <w:pPr>
              <w:spacing w:after="20" w:line="252" w:lineRule="auto"/>
              <w:jc w:val="right"/>
            </w:pPr>
            <w:r>
              <w:rPr>
                <w:sz w:val="16"/>
              </w:rPr>
              <w:t>2</w:t>
            </w:r>
          </w:p>
        </w:tc>
        <w:tc>
          <w:tcPr>
            <w:tcW w:type="dxa" w:w="5386"/>
            <w:shd w:val="clear" w:color="auto" w:fill="FAFAFB"/>
            <w:vAlign w:val="center"/>
          </w:tcPr>
          <w:p>
            <w:pPr>
              <w:spacing w:after="20" w:line="252" w:lineRule="auto"/>
            </w:pPr>
            <w:r>
              <w:rPr>
                <w:sz w:val="16"/>
              </w:rPr>
              <w:t>CS &amp; onboarding agents</w:t>
            </w:r>
          </w:p>
        </w:tc>
        <w:tc>
          <w:tcPr>
            <w:tcW w:type="dxa" w:w="1701"/>
            <w:shd w:val="clear" w:color="auto" w:fill="FAFAFB"/>
            <w:vAlign w:val="center"/>
          </w:tcPr>
          <w:p>
            <w:pPr>
              <w:spacing w:after="20" w:line="252" w:lineRule="auto"/>
              <w:jc w:val="right"/>
            </w:pPr>
            <w:r>
              <w:rPr>
                <w:sz w:val="16"/>
              </w:rPr>
              <w:t>R150,000</w:t>
            </w:r>
          </w:p>
        </w:tc>
      </w:tr>
      <w:tr>
        <w:trPr>
          <w:cantSplit/>
        </w:trPr>
        <w:tc>
          <w:tcPr>
            <w:tcW w:type="dxa" w:w="680"/>
            <w:vAlign w:val="center"/>
          </w:tcPr>
          <w:p>
            <w:pPr>
              <w:spacing w:after="20" w:line="252" w:lineRule="auto"/>
            </w:pPr>
            <w:r>
              <w:rPr>
                <w:sz w:val="16"/>
              </w:rPr>
              <w:t>FY1</w:t>
            </w:r>
          </w:p>
        </w:tc>
        <w:tc>
          <w:tcPr>
            <w:tcW w:type="dxa" w:w="1304"/>
            <w:vAlign w:val="center"/>
          </w:tcPr>
          <w:p>
            <w:pPr>
              <w:spacing w:after="20" w:line="252" w:lineRule="auto"/>
            </w:pPr>
            <w:r>
              <w:rPr>
                <w:sz w:val="16"/>
              </w:rPr>
              <w:t>Feb 2027</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Customer success lead</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FY1</w:t>
            </w:r>
          </w:p>
        </w:tc>
        <w:tc>
          <w:tcPr>
            <w:tcW w:type="dxa" w:w="1304"/>
            <w:shd w:val="clear" w:color="auto" w:fill="FAFAFB"/>
            <w:vAlign w:val="center"/>
          </w:tcPr>
          <w:p>
            <w:pPr>
              <w:spacing w:after="20" w:line="252" w:lineRule="auto"/>
            </w:pPr>
            <w:r>
              <w:rPr>
                <w:sz w:val="16"/>
              </w:rPr>
              <w:t>May 2027</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Finance &amp; compliance manager</w:t>
            </w:r>
          </w:p>
        </w:tc>
        <w:tc>
          <w:tcPr>
            <w:tcW w:type="dxa" w:w="1701"/>
            <w:shd w:val="clear" w:color="auto" w:fill="FAFAFB"/>
            <w:vAlign w:val="center"/>
          </w:tcPr>
          <w:p>
            <w:pPr>
              <w:spacing w:after="20" w:line="252" w:lineRule="auto"/>
              <w:jc w:val="right"/>
            </w:pPr>
            <w:r>
              <w:rPr>
                <w:sz w:val="16"/>
              </w:rPr>
              <w:t>R150,000</w:t>
            </w:r>
          </w:p>
        </w:tc>
      </w:tr>
      <w:tr>
        <w:trPr>
          <w:cantSplit/>
        </w:trPr>
        <w:tc>
          <w:tcPr>
            <w:tcW w:type="dxa" w:w="680"/>
            <w:vAlign w:val="center"/>
          </w:tcPr>
          <w:p>
            <w:pPr>
              <w:spacing w:after="20" w:line="252" w:lineRule="auto"/>
            </w:pPr>
            <w:r>
              <w:rPr>
                <w:sz w:val="16"/>
              </w:rPr>
              <w:t>FY1</w:t>
            </w:r>
          </w:p>
        </w:tc>
        <w:tc>
          <w:tcPr>
            <w:tcW w:type="dxa" w:w="1304"/>
            <w:vAlign w:val="center"/>
          </w:tcPr>
          <w:p>
            <w:pPr>
              <w:spacing w:after="20" w:line="252" w:lineRule="auto"/>
            </w:pPr>
            <w:r>
              <w:rPr>
                <w:sz w:val="16"/>
              </w:rPr>
              <w:t>Sep 2027</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Full-stack engineers</w:t>
            </w:r>
          </w:p>
        </w:tc>
        <w:tc>
          <w:tcPr>
            <w:tcW w:type="dxa" w:w="1701"/>
            <w:vAlign w:val="center"/>
          </w:tcPr>
          <w:p>
            <w:pPr>
              <w:spacing w:after="20" w:line="252" w:lineRule="auto"/>
              <w:jc w:val="right"/>
            </w:pPr>
            <w:r>
              <w:rPr>
                <w:sz w:val="16"/>
              </w:rPr>
              <w:t>R400,000</w:t>
            </w:r>
          </w:p>
        </w:tc>
      </w:tr>
      <w:tr>
        <w:trPr>
          <w:cantSplit/>
        </w:trPr>
        <w:tc>
          <w:tcPr>
            <w:tcW w:type="dxa" w:w="680"/>
            <w:shd w:val="clear" w:color="auto" w:fill="FAFAFB"/>
            <w:vAlign w:val="center"/>
          </w:tcPr>
          <w:p>
            <w:pPr>
              <w:spacing w:after="20" w:line="252" w:lineRule="auto"/>
            </w:pPr>
            <w:r>
              <w:rPr>
                <w:sz w:val="16"/>
              </w:rPr>
              <w:t>FY1</w:t>
            </w:r>
          </w:p>
        </w:tc>
        <w:tc>
          <w:tcPr>
            <w:tcW w:type="dxa" w:w="1304"/>
            <w:shd w:val="clear" w:color="auto" w:fill="FAFAFB"/>
            <w:vAlign w:val="center"/>
          </w:tcPr>
          <w:p>
            <w:pPr>
              <w:spacing w:after="20" w:line="252" w:lineRule="auto"/>
            </w:pPr>
            <w:r>
              <w:rPr>
                <w:sz w:val="16"/>
              </w:rPr>
              <w:t>Feb 2027</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Head of Growth</w:t>
            </w:r>
          </w:p>
        </w:tc>
        <w:tc>
          <w:tcPr>
            <w:tcW w:type="dxa" w:w="1701"/>
            <w:shd w:val="clear" w:color="auto" w:fill="FAFAFB"/>
            <w:vAlign w:val="center"/>
          </w:tcPr>
          <w:p>
            <w:pPr>
              <w:spacing w:after="20" w:line="252" w:lineRule="auto"/>
              <w:jc w:val="right"/>
            </w:pPr>
            <w:r>
              <w:rPr>
                <w:sz w:val="16"/>
              </w:rPr>
              <w:t>Tied to market launch</w:t>
            </w:r>
          </w:p>
        </w:tc>
      </w:tr>
      <w:tr>
        <w:trPr>
          <w:cantSplit/>
        </w:trPr>
        <w:tc>
          <w:tcPr>
            <w:tcW w:type="dxa" w:w="680"/>
            <w:vAlign w:val="center"/>
          </w:tcPr>
          <w:p>
            <w:pPr>
              <w:spacing w:after="20" w:line="252" w:lineRule="auto"/>
            </w:pPr>
            <w:r>
              <w:rPr>
                <w:sz w:val="16"/>
              </w:rPr>
              <w:t>FY1</w:t>
            </w:r>
          </w:p>
        </w:tc>
        <w:tc>
          <w:tcPr>
            <w:tcW w:type="dxa" w:w="1304"/>
            <w:vAlign w:val="center"/>
          </w:tcPr>
          <w:p>
            <w:pPr>
              <w:spacing w:after="20" w:line="252" w:lineRule="auto"/>
            </w:pPr>
            <w:r>
              <w:rPr>
                <w:sz w:val="16"/>
              </w:rPr>
              <w:t>Jul 2027</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Multilingual content &amp; community</w:t>
            </w:r>
          </w:p>
        </w:tc>
        <w:tc>
          <w:tcPr>
            <w:tcW w:type="dxa" w:w="1701"/>
            <w:vAlign w:val="center"/>
          </w:tcPr>
          <w:p>
            <w:pPr>
              <w:spacing w:after="20" w:line="252" w:lineRule="auto"/>
              <w:jc w:val="right"/>
            </w:pPr>
            <w:r>
              <w:rPr>
                <w:sz w:val="16"/>
              </w:rPr>
              <w:t>R300,000</w:t>
            </w:r>
          </w:p>
        </w:tc>
      </w:tr>
      <w:tr>
        <w:trPr>
          <w:cantSplit/>
        </w:trPr>
        <w:tc>
          <w:tcPr>
            <w:tcW w:type="dxa" w:w="680"/>
            <w:shd w:val="clear" w:color="auto" w:fill="FAFAFB"/>
            <w:vAlign w:val="center"/>
          </w:tcPr>
          <w:p>
            <w:pPr>
              <w:spacing w:after="20" w:line="252" w:lineRule="auto"/>
            </w:pPr>
            <w:r>
              <w:rPr>
                <w:sz w:val="16"/>
              </w:rPr>
              <w:t>FY1</w:t>
            </w:r>
          </w:p>
        </w:tc>
        <w:tc>
          <w:tcPr>
            <w:tcW w:type="dxa" w:w="1304"/>
            <w:shd w:val="clear" w:color="auto" w:fill="FAFAFB"/>
            <w:vAlign w:val="center"/>
          </w:tcPr>
          <w:p>
            <w:pPr>
              <w:spacing w:after="20" w:line="252" w:lineRule="auto"/>
            </w:pPr>
            <w:r>
              <w:rPr>
                <w:sz w:val="16"/>
              </w:rPr>
              <w:t>Sep 2027</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Operations &amp; admin</w:t>
            </w:r>
          </w:p>
        </w:tc>
        <w:tc>
          <w:tcPr>
            <w:tcW w:type="dxa" w:w="1701"/>
            <w:shd w:val="clear" w:color="auto" w:fill="FAFAFB"/>
            <w:vAlign w:val="center"/>
          </w:tcPr>
          <w:p>
            <w:pPr>
              <w:spacing w:after="20" w:line="252" w:lineRule="auto"/>
              <w:jc w:val="right"/>
            </w:pPr>
            <w:r>
              <w:rPr>
                <w:sz w:val="16"/>
              </w:rPr>
              <w:t>R500,000</w:t>
            </w:r>
          </w:p>
        </w:tc>
      </w:tr>
      <w:tr>
        <w:trPr>
          <w:cantSplit/>
        </w:trPr>
        <w:tc>
          <w:tcPr>
            <w:tcW w:type="dxa" w:w="680"/>
            <w:vAlign w:val="center"/>
          </w:tcPr>
          <w:p>
            <w:pPr>
              <w:spacing w:after="20" w:line="252" w:lineRule="auto"/>
            </w:pPr>
            <w:r>
              <w:rPr>
                <w:sz w:val="16"/>
              </w:rPr>
              <w:t>FY1</w:t>
            </w:r>
          </w:p>
        </w:tc>
        <w:tc>
          <w:tcPr>
            <w:tcW w:type="dxa" w:w="1304"/>
            <w:vAlign w:val="center"/>
          </w:tcPr>
          <w:p>
            <w:pPr>
              <w:spacing w:after="20" w:line="252" w:lineRule="auto"/>
            </w:pPr>
            <w:r>
              <w:rPr>
                <w:sz w:val="16"/>
              </w:rPr>
              <w:t>Feb 2027</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Partnerships manager #1 (agency programme)</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FY1</w:t>
            </w:r>
          </w:p>
        </w:tc>
        <w:tc>
          <w:tcPr>
            <w:tcW w:type="dxa" w:w="1304"/>
            <w:shd w:val="clear" w:color="auto" w:fill="FAFAFB"/>
            <w:vAlign w:val="center"/>
          </w:tcPr>
          <w:p>
            <w:pPr>
              <w:spacing w:after="20" w:line="252" w:lineRule="auto"/>
            </w:pPr>
            <w:r>
              <w:rPr>
                <w:sz w:val="16"/>
              </w:rPr>
              <w:t>Apr 2027</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Performance marketer</w:t>
            </w:r>
          </w:p>
        </w:tc>
        <w:tc>
          <w:tcPr>
            <w:tcW w:type="dxa" w:w="1701"/>
            <w:shd w:val="clear" w:color="auto" w:fill="FAFAFB"/>
            <w:vAlign w:val="center"/>
          </w:tcPr>
          <w:p>
            <w:pPr>
              <w:spacing w:after="20" w:line="252" w:lineRule="auto"/>
              <w:jc w:val="right"/>
            </w:pPr>
            <w:r>
              <w:rPr>
                <w:sz w:val="16"/>
              </w:rPr>
              <w:t>R100,000</w:t>
            </w:r>
          </w:p>
        </w:tc>
      </w:tr>
      <w:tr>
        <w:trPr>
          <w:cantSplit/>
        </w:trPr>
        <w:tc>
          <w:tcPr>
            <w:tcW w:type="dxa" w:w="680"/>
            <w:vAlign w:val="center"/>
          </w:tcPr>
          <w:p>
            <w:pPr>
              <w:spacing w:after="20" w:line="252" w:lineRule="auto"/>
            </w:pPr>
            <w:r>
              <w:rPr>
                <w:sz w:val="16"/>
              </w:rPr>
              <w:t>FY1</w:t>
            </w:r>
          </w:p>
        </w:tc>
        <w:tc>
          <w:tcPr>
            <w:tcW w:type="dxa" w:w="1304"/>
            <w:vAlign w:val="center"/>
          </w:tcPr>
          <w:p>
            <w:pPr>
              <w:spacing w:after="20" w:line="252" w:lineRule="auto"/>
            </w:pPr>
            <w:r>
              <w:rPr>
                <w:sz w:val="16"/>
              </w:rPr>
              <w:t>May 2027</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Product designer (UX)</w:t>
            </w:r>
          </w:p>
        </w:tc>
        <w:tc>
          <w:tcPr>
            <w:tcW w:type="dxa" w:w="1701"/>
            <w:vAlign w:val="center"/>
          </w:tcPr>
          <w:p>
            <w:pPr>
              <w:spacing w:after="20" w:line="252" w:lineRule="auto"/>
              <w:jc w:val="right"/>
            </w:pPr>
            <w:r>
              <w:rPr>
                <w:sz w:val="16"/>
              </w:rPr>
              <w:t>R150,000</w:t>
            </w:r>
          </w:p>
        </w:tc>
      </w:tr>
      <w:tr>
        <w:trPr>
          <w:cantSplit/>
        </w:trPr>
        <w:tc>
          <w:tcPr>
            <w:tcW w:type="dxa" w:w="680"/>
            <w:shd w:val="clear" w:color="auto" w:fill="FAFAFB"/>
            <w:vAlign w:val="center"/>
          </w:tcPr>
          <w:p>
            <w:pPr>
              <w:spacing w:after="20" w:line="252" w:lineRule="auto"/>
            </w:pPr>
            <w:r>
              <w:rPr>
                <w:sz w:val="16"/>
              </w:rPr>
              <w:t>FY1</w:t>
            </w:r>
          </w:p>
        </w:tc>
        <w:tc>
          <w:tcPr>
            <w:tcW w:type="dxa" w:w="1304"/>
            <w:shd w:val="clear" w:color="auto" w:fill="FAFAFB"/>
            <w:vAlign w:val="center"/>
          </w:tcPr>
          <w:p>
            <w:pPr>
              <w:spacing w:after="20" w:line="252" w:lineRule="auto"/>
            </w:pPr>
            <w:r>
              <w:rPr>
                <w:sz w:val="16"/>
              </w:rPr>
              <w:t>Feb 2027</w:t>
            </w:r>
          </w:p>
        </w:tc>
        <w:tc>
          <w:tcPr>
            <w:tcW w:type="dxa" w:w="567"/>
            <w:shd w:val="clear" w:color="auto" w:fill="FAFAFB"/>
            <w:vAlign w:val="center"/>
          </w:tcPr>
          <w:p>
            <w:pPr>
              <w:spacing w:after="20" w:line="252" w:lineRule="auto"/>
              <w:jc w:val="right"/>
            </w:pPr>
            <w:r>
              <w:rPr>
                <w:sz w:val="16"/>
              </w:rPr>
              <w:t>2</w:t>
            </w:r>
          </w:p>
        </w:tc>
        <w:tc>
          <w:tcPr>
            <w:tcW w:type="dxa" w:w="5386"/>
            <w:shd w:val="clear" w:color="auto" w:fill="FAFAFB"/>
            <w:vAlign w:val="center"/>
          </w:tcPr>
          <w:p>
            <w:pPr>
              <w:spacing w:after="20" w:line="252" w:lineRule="auto"/>
            </w:pPr>
            <w:r>
              <w:rPr>
                <w:sz w:val="16"/>
              </w:rPr>
              <w:t>Senior full-stack engineers</w:t>
            </w:r>
          </w:p>
        </w:tc>
        <w:tc>
          <w:tcPr>
            <w:tcW w:type="dxa" w:w="1701"/>
            <w:shd w:val="clear" w:color="auto" w:fill="FAFAFB"/>
            <w:vAlign w:val="center"/>
          </w:tcPr>
          <w:p>
            <w:pPr>
              <w:spacing w:after="20" w:line="252" w:lineRule="auto"/>
              <w:jc w:val="right"/>
            </w:pPr>
            <w:r>
              <w:rPr>
                <w:sz w:val="16"/>
              </w:rPr>
              <w:t>Tied to market launch</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Feb 2028</w:t>
            </w:r>
          </w:p>
        </w:tc>
        <w:tc>
          <w:tcPr>
            <w:tcW w:type="dxa" w:w="567"/>
            <w:vAlign w:val="center"/>
          </w:tcPr>
          <w:p>
            <w:pPr>
              <w:spacing w:after="20" w:line="252" w:lineRule="auto"/>
              <w:jc w:val="right"/>
            </w:pPr>
            <w:r>
              <w:rPr>
                <w:sz w:val="16"/>
              </w:rPr>
              <w:t>4</w:t>
            </w:r>
          </w:p>
        </w:tc>
        <w:tc>
          <w:tcPr>
            <w:tcW w:type="dxa" w:w="5386"/>
            <w:vAlign w:val="center"/>
          </w:tcPr>
          <w:p>
            <w:pPr>
              <w:spacing w:after="20" w:line="252" w:lineRule="auto"/>
            </w:pPr>
            <w:r>
              <w:rPr>
                <w:sz w:val="16"/>
              </w:rPr>
              <w:t>CS agents II</w:t>
            </w:r>
          </w:p>
        </w:tc>
        <w:tc>
          <w:tcPr>
            <w:tcW w:type="dxa" w:w="1701"/>
            <w:vAlign w:val="center"/>
          </w:tcPr>
          <w:p>
            <w:pPr>
              <w:spacing w:after="20" w:line="252" w:lineRule="auto"/>
              <w:jc w:val="right"/>
            </w:pPr>
            <w:r>
              <w:rPr>
                <w:sz w:val="16"/>
              </w:rPr>
              <w:t>R1,200,000</w:t>
            </w:r>
          </w:p>
        </w:tc>
      </w:tr>
      <w:tr>
        <w:trPr>
          <w:cantSplit/>
        </w:trPr>
        <w:tc>
          <w:tcPr>
            <w:tcW w:type="dxa" w:w="680"/>
            <w:shd w:val="clear" w:color="auto" w:fill="FAFAFB"/>
            <w:vAlign w:val="center"/>
          </w:tcPr>
          <w:p>
            <w:pPr>
              <w:spacing w:after="20" w:line="252" w:lineRule="auto"/>
            </w:pPr>
            <w:r>
              <w:rPr>
                <w:sz w:val="16"/>
              </w:rPr>
              <w:t>FY2</w:t>
            </w:r>
          </w:p>
        </w:tc>
        <w:tc>
          <w:tcPr>
            <w:tcW w:type="dxa" w:w="1304"/>
            <w:shd w:val="clear" w:color="auto" w:fill="FAFAFB"/>
            <w:vAlign w:val="center"/>
          </w:tcPr>
          <w:p>
            <w:pPr>
              <w:spacing w:after="20" w:line="252" w:lineRule="auto"/>
            </w:pPr>
            <w:r>
              <w:rPr>
                <w:sz w:val="16"/>
              </w:rPr>
              <w:t>Apr 2028</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Country lead: Ghana</w:t>
            </w:r>
          </w:p>
        </w:tc>
        <w:tc>
          <w:tcPr>
            <w:tcW w:type="dxa" w:w="1701"/>
            <w:shd w:val="clear" w:color="auto" w:fill="FAFAFB"/>
            <w:vAlign w:val="center"/>
          </w:tcPr>
          <w:p>
            <w:pPr>
              <w:spacing w:after="20" w:line="252" w:lineRule="auto"/>
              <w:jc w:val="right"/>
            </w:pPr>
            <w:r>
              <w:rPr>
                <w:sz w:val="16"/>
              </w:rPr>
              <w:t>Tied to market launch</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Feb 2028</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Country lead: Kenya</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FY2</w:t>
            </w:r>
          </w:p>
        </w:tc>
        <w:tc>
          <w:tcPr>
            <w:tcW w:type="dxa" w:w="1304"/>
            <w:shd w:val="clear" w:color="auto" w:fill="FAFAFB"/>
            <w:vAlign w:val="center"/>
          </w:tcPr>
          <w:p>
            <w:pPr>
              <w:spacing w:after="20" w:line="252" w:lineRule="auto"/>
            </w:pPr>
            <w:r>
              <w:rPr>
                <w:sz w:val="16"/>
              </w:rPr>
              <w:t>Dec 2027</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Country lead: Nigeria</w:t>
            </w:r>
          </w:p>
        </w:tc>
        <w:tc>
          <w:tcPr>
            <w:tcW w:type="dxa" w:w="1701"/>
            <w:shd w:val="clear" w:color="auto" w:fill="FAFAFB"/>
            <w:vAlign w:val="center"/>
          </w:tcPr>
          <w:p>
            <w:pPr>
              <w:spacing w:after="20" w:line="252" w:lineRule="auto"/>
              <w:jc w:val="right"/>
            </w:pPr>
            <w:r>
              <w:rPr>
                <w:sz w:val="16"/>
              </w:rPr>
              <w:t>Tied to market launch</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Dec 2027</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DevOps / QA engineer</w:t>
            </w:r>
          </w:p>
        </w:tc>
        <w:tc>
          <w:tcPr>
            <w:tcW w:type="dxa" w:w="1701"/>
            <w:vAlign w:val="center"/>
          </w:tcPr>
          <w:p>
            <w:pPr>
              <w:spacing w:after="20" w:line="252" w:lineRule="auto"/>
              <w:jc w:val="right"/>
            </w:pPr>
            <w:r>
              <w:rPr>
                <w:sz w:val="16"/>
              </w:rPr>
              <w:t>R800,000</w:t>
            </w:r>
          </w:p>
        </w:tc>
      </w:tr>
      <w:tr>
        <w:trPr>
          <w:cantSplit/>
        </w:trPr>
        <w:tc>
          <w:tcPr>
            <w:tcW w:type="dxa" w:w="680"/>
            <w:shd w:val="clear" w:color="auto" w:fill="FAFAFB"/>
            <w:vAlign w:val="center"/>
          </w:tcPr>
          <w:p>
            <w:pPr>
              <w:spacing w:after="20" w:line="252" w:lineRule="auto"/>
            </w:pPr>
            <w:r>
              <w:rPr>
                <w:sz w:val="16"/>
              </w:rPr>
              <w:t>FY2</w:t>
            </w:r>
          </w:p>
        </w:tc>
        <w:tc>
          <w:tcPr>
            <w:tcW w:type="dxa" w:w="1304"/>
            <w:shd w:val="clear" w:color="auto" w:fill="FAFAFB"/>
            <w:vAlign w:val="center"/>
          </w:tcPr>
          <w:p>
            <w:pPr>
              <w:spacing w:after="20" w:line="252" w:lineRule="auto"/>
            </w:pPr>
            <w:r>
              <w:rPr>
                <w:sz w:val="16"/>
              </w:rPr>
              <w:t>Jun 2028</w:t>
            </w:r>
          </w:p>
        </w:tc>
        <w:tc>
          <w:tcPr>
            <w:tcW w:type="dxa" w:w="567"/>
            <w:shd w:val="clear" w:color="auto" w:fill="FAFAFB"/>
            <w:vAlign w:val="center"/>
          </w:tcPr>
          <w:p>
            <w:pPr>
              <w:spacing w:after="20" w:line="252" w:lineRule="auto"/>
              <w:jc w:val="right"/>
            </w:pPr>
            <w:r>
              <w:rPr>
                <w:sz w:val="16"/>
              </w:rPr>
              <w:t>2</w:t>
            </w:r>
          </w:p>
        </w:tc>
        <w:tc>
          <w:tcPr>
            <w:tcW w:type="dxa" w:w="5386"/>
            <w:shd w:val="clear" w:color="auto" w:fill="FAFAFB"/>
            <w:vAlign w:val="center"/>
          </w:tcPr>
          <w:p>
            <w:pPr>
              <w:spacing w:after="20" w:line="252" w:lineRule="auto"/>
            </w:pPr>
            <w:r>
              <w:rPr>
                <w:sz w:val="16"/>
              </w:rPr>
              <w:t>Ghana sales &amp; CS</w:t>
            </w:r>
          </w:p>
        </w:tc>
        <w:tc>
          <w:tcPr>
            <w:tcW w:type="dxa" w:w="1701"/>
            <w:shd w:val="clear" w:color="auto" w:fill="FAFAFB"/>
            <w:vAlign w:val="center"/>
          </w:tcPr>
          <w:p>
            <w:pPr>
              <w:spacing w:after="20" w:line="252" w:lineRule="auto"/>
              <w:jc w:val="right"/>
            </w:pPr>
            <w:r>
              <w:rPr>
                <w:sz w:val="16"/>
              </w:rPr>
              <w:t>Tied to market launch</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Jan 2028</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Integrations engineers (social adapters, commerce, CRM)</w:t>
            </w:r>
          </w:p>
        </w:tc>
        <w:tc>
          <w:tcPr>
            <w:tcW w:type="dxa" w:w="1701"/>
            <w:vAlign w:val="center"/>
          </w:tcPr>
          <w:p>
            <w:pPr>
              <w:spacing w:after="20" w:line="252" w:lineRule="auto"/>
              <w:jc w:val="right"/>
            </w:pPr>
            <w:r>
              <w:rPr>
                <w:sz w:val="16"/>
              </w:rPr>
              <w:t>R1,000,000</w:t>
            </w:r>
          </w:p>
        </w:tc>
      </w:tr>
      <w:tr>
        <w:trPr>
          <w:cantSplit/>
        </w:trPr>
        <w:tc>
          <w:tcPr>
            <w:tcW w:type="dxa" w:w="680"/>
            <w:shd w:val="clear" w:color="auto" w:fill="FAFAFB"/>
            <w:vAlign w:val="center"/>
          </w:tcPr>
          <w:p>
            <w:pPr>
              <w:spacing w:after="20" w:line="252" w:lineRule="auto"/>
            </w:pPr>
            <w:r>
              <w:rPr>
                <w:sz w:val="16"/>
              </w:rPr>
              <w:t>FY2</w:t>
            </w:r>
          </w:p>
        </w:tc>
        <w:tc>
          <w:tcPr>
            <w:tcW w:type="dxa" w:w="1304"/>
            <w:shd w:val="clear" w:color="auto" w:fill="FAFAFB"/>
            <w:vAlign w:val="center"/>
          </w:tcPr>
          <w:p>
            <w:pPr>
              <w:spacing w:after="20" w:line="252" w:lineRule="auto"/>
            </w:pPr>
            <w:r>
              <w:rPr>
                <w:sz w:val="16"/>
              </w:rPr>
              <w:t>Apr 2028</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Kenya sales &amp; CS</w:t>
            </w:r>
          </w:p>
        </w:tc>
        <w:tc>
          <w:tcPr>
            <w:tcW w:type="dxa" w:w="1701"/>
            <w:shd w:val="clear" w:color="auto" w:fill="FAFAFB"/>
            <w:vAlign w:val="center"/>
          </w:tcPr>
          <w:p>
            <w:pPr>
              <w:spacing w:after="20" w:line="252" w:lineRule="auto"/>
              <w:jc w:val="right"/>
            </w:pPr>
            <w:r>
              <w:rPr>
                <w:sz w:val="16"/>
              </w:rPr>
              <w:t>Tied to market launch</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Jul 2028</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Legal &amp; data-protection counsel</w:t>
            </w:r>
          </w:p>
        </w:tc>
        <w:tc>
          <w:tcPr>
            <w:tcW w:type="dxa" w:w="1701"/>
            <w:vAlign w:val="center"/>
          </w:tcPr>
          <w:p>
            <w:pPr>
              <w:spacing w:after="20" w:line="252" w:lineRule="auto"/>
              <w:jc w:val="right"/>
            </w:pPr>
            <w:r>
              <w:rPr>
                <w:sz w:val="16"/>
              </w:rPr>
              <w:t>R2,000,000</w:t>
            </w:r>
          </w:p>
        </w:tc>
      </w:tr>
      <w:tr>
        <w:trPr>
          <w:cantSplit/>
        </w:trPr>
        <w:tc>
          <w:tcPr>
            <w:tcW w:type="dxa" w:w="680"/>
            <w:shd w:val="clear" w:color="auto" w:fill="FAFAFB"/>
            <w:vAlign w:val="center"/>
          </w:tcPr>
          <w:p>
            <w:pPr>
              <w:spacing w:after="20" w:line="252" w:lineRule="auto"/>
            </w:pPr>
            <w:r>
              <w:rPr>
                <w:sz w:val="16"/>
              </w:rPr>
              <w:t>FY2</w:t>
            </w:r>
          </w:p>
        </w:tc>
        <w:tc>
          <w:tcPr>
            <w:tcW w:type="dxa" w:w="1304"/>
            <w:shd w:val="clear" w:color="auto" w:fill="FAFAFB"/>
            <w:vAlign w:val="center"/>
          </w:tcPr>
          <w:p>
            <w:pPr>
              <w:spacing w:after="20" w:line="252" w:lineRule="auto"/>
            </w:pPr>
            <w:r>
              <w:rPr>
                <w:sz w:val="16"/>
              </w:rPr>
              <w:t>May 2028</w:t>
            </w:r>
          </w:p>
        </w:tc>
        <w:tc>
          <w:tcPr>
            <w:tcW w:type="dxa" w:w="567"/>
            <w:shd w:val="clear" w:color="auto" w:fill="FAFAFB"/>
            <w:vAlign w:val="center"/>
          </w:tcPr>
          <w:p>
            <w:pPr>
              <w:spacing w:after="20" w:line="252" w:lineRule="auto"/>
              <w:jc w:val="right"/>
            </w:pPr>
            <w:r>
              <w:rPr>
                <w:sz w:val="16"/>
              </w:rPr>
              <w:t>2</w:t>
            </w:r>
          </w:p>
        </w:tc>
        <w:tc>
          <w:tcPr>
            <w:tcW w:type="dxa" w:w="5386"/>
            <w:shd w:val="clear" w:color="auto" w:fill="FAFAFB"/>
            <w:vAlign w:val="center"/>
          </w:tcPr>
          <w:p>
            <w:pPr>
              <w:spacing w:after="20" w:line="252" w:lineRule="auto"/>
            </w:pPr>
            <w:r>
              <w:rPr>
                <w:sz w:val="16"/>
              </w:rPr>
              <w:t>Lifecycle &amp; growth marketers</w:t>
            </w:r>
          </w:p>
        </w:tc>
        <w:tc>
          <w:tcPr>
            <w:tcW w:type="dxa" w:w="1701"/>
            <w:shd w:val="clear" w:color="auto" w:fill="FAFAFB"/>
            <w:vAlign w:val="center"/>
          </w:tcPr>
          <w:p>
            <w:pPr>
              <w:spacing w:after="20" w:line="252" w:lineRule="auto"/>
              <w:jc w:val="right"/>
            </w:pPr>
            <w:r>
              <w:rPr>
                <w:sz w:val="16"/>
              </w:rPr>
              <w:t>R1,500,000</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Feb 2028</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Nigeria sales &amp; CS</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FY2</w:t>
            </w:r>
          </w:p>
        </w:tc>
        <w:tc>
          <w:tcPr>
            <w:tcW w:type="dxa" w:w="1304"/>
            <w:shd w:val="clear" w:color="auto" w:fill="FAFAFB"/>
            <w:vAlign w:val="center"/>
          </w:tcPr>
          <w:p>
            <w:pPr>
              <w:spacing w:after="20" w:line="252" w:lineRule="auto"/>
            </w:pPr>
            <w:r>
              <w:rPr>
                <w:sz w:val="16"/>
              </w:rPr>
              <w:t>Nov 2027</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Partnerships manager #2</w:t>
            </w:r>
          </w:p>
        </w:tc>
        <w:tc>
          <w:tcPr>
            <w:tcW w:type="dxa" w:w="1701"/>
            <w:shd w:val="clear" w:color="auto" w:fill="FAFAFB"/>
            <w:vAlign w:val="center"/>
          </w:tcPr>
          <w:p>
            <w:pPr>
              <w:spacing w:after="20" w:line="252" w:lineRule="auto"/>
              <w:jc w:val="right"/>
            </w:pPr>
            <w:r>
              <w:rPr>
                <w:sz w:val="16"/>
              </w:rPr>
              <w:t>R800,000</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May 2028</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Product manager</w:t>
            </w:r>
          </w:p>
        </w:tc>
        <w:tc>
          <w:tcPr>
            <w:tcW w:type="dxa" w:w="1701"/>
            <w:vAlign w:val="center"/>
          </w:tcPr>
          <w:p>
            <w:pPr>
              <w:spacing w:after="20" w:line="252" w:lineRule="auto"/>
              <w:jc w:val="right"/>
            </w:pPr>
            <w:r>
              <w:rPr>
                <w:sz w:val="16"/>
              </w:rPr>
              <w:t>R1,500,000</w:t>
            </w:r>
          </w:p>
        </w:tc>
      </w:tr>
      <w:tr>
        <w:trPr>
          <w:cantSplit/>
        </w:trPr>
        <w:tc>
          <w:tcPr>
            <w:tcW w:type="dxa" w:w="680"/>
            <w:shd w:val="clear" w:color="auto" w:fill="FAFAFB"/>
            <w:vAlign w:val="center"/>
          </w:tcPr>
          <w:p>
            <w:pPr>
              <w:spacing w:after="20" w:line="252" w:lineRule="auto"/>
            </w:pPr>
            <w:r>
              <w:rPr>
                <w:sz w:val="16"/>
              </w:rPr>
              <w:t>FY2</w:t>
            </w:r>
          </w:p>
        </w:tc>
        <w:tc>
          <w:tcPr>
            <w:tcW w:type="dxa" w:w="1304"/>
            <w:shd w:val="clear" w:color="auto" w:fill="FAFAFB"/>
            <w:vAlign w:val="center"/>
          </w:tcPr>
          <w:p>
            <w:pPr>
              <w:spacing w:after="20" w:line="252" w:lineRule="auto"/>
            </w:pPr>
            <w:r>
              <w:rPr>
                <w:sz w:val="16"/>
              </w:rPr>
              <w:t>Oct 2027</w:t>
            </w:r>
          </w:p>
        </w:tc>
        <w:tc>
          <w:tcPr>
            <w:tcW w:type="dxa" w:w="567"/>
            <w:shd w:val="clear" w:color="auto" w:fill="FAFAFB"/>
            <w:vAlign w:val="center"/>
          </w:tcPr>
          <w:p>
            <w:pPr>
              <w:spacing w:after="20" w:line="252" w:lineRule="auto"/>
              <w:jc w:val="right"/>
            </w:pPr>
            <w:r>
              <w:rPr>
                <w:sz w:val="16"/>
              </w:rPr>
              <w:t>2</w:t>
            </w:r>
          </w:p>
        </w:tc>
        <w:tc>
          <w:tcPr>
            <w:tcW w:type="dxa" w:w="5386"/>
            <w:shd w:val="clear" w:color="auto" w:fill="FAFAFB"/>
            <w:vAlign w:val="center"/>
          </w:tcPr>
          <w:p>
            <w:pPr>
              <w:spacing w:after="20" w:line="252" w:lineRule="auto"/>
            </w:pPr>
            <w:r>
              <w:rPr>
                <w:sz w:val="16"/>
              </w:rPr>
              <w:t>SME onboarding &amp; sales-assist</w:t>
            </w:r>
          </w:p>
        </w:tc>
        <w:tc>
          <w:tcPr>
            <w:tcW w:type="dxa" w:w="1701"/>
            <w:shd w:val="clear" w:color="auto" w:fill="FAFAFB"/>
            <w:vAlign w:val="center"/>
          </w:tcPr>
          <w:p>
            <w:pPr>
              <w:spacing w:after="20" w:line="252" w:lineRule="auto"/>
              <w:jc w:val="right"/>
            </w:pPr>
            <w:r>
              <w:rPr>
                <w:sz w:val="16"/>
              </w:rPr>
              <w:t>R600,000</w:t>
            </w:r>
          </w:p>
        </w:tc>
      </w:tr>
      <w:tr>
        <w:trPr>
          <w:cantSplit/>
        </w:trPr>
        <w:tc>
          <w:tcPr>
            <w:tcW w:type="dxa" w:w="680"/>
            <w:vAlign w:val="center"/>
          </w:tcPr>
          <w:p>
            <w:pPr>
              <w:spacing w:after="20" w:line="252" w:lineRule="auto"/>
            </w:pPr>
            <w:r>
              <w:rPr>
                <w:sz w:val="16"/>
              </w:rPr>
              <w:t>FY2</w:t>
            </w:r>
          </w:p>
        </w:tc>
        <w:tc>
          <w:tcPr>
            <w:tcW w:type="dxa" w:w="1304"/>
            <w:vAlign w:val="center"/>
          </w:tcPr>
          <w:p>
            <w:pPr>
              <w:spacing w:after="20" w:line="252" w:lineRule="auto"/>
            </w:pPr>
            <w:r>
              <w:rPr>
                <w:sz w:val="16"/>
              </w:rPr>
              <w:t>Sep 2028</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Security &amp; compliance engineer</w:t>
            </w:r>
          </w:p>
        </w:tc>
        <w:tc>
          <w:tcPr>
            <w:tcW w:type="dxa" w:w="1701"/>
            <w:vAlign w:val="center"/>
          </w:tcPr>
          <w:p>
            <w:pPr>
              <w:spacing w:after="20" w:line="252" w:lineRule="auto"/>
              <w:jc w:val="right"/>
            </w:pPr>
            <w:r>
              <w:rPr>
                <w:sz w:val="16"/>
              </w:rPr>
              <w:t>R2,500,000</w:t>
            </w:r>
          </w:p>
        </w:tc>
      </w:tr>
      <w:tr>
        <w:trPr>
          <w:cantSplit/>
        </w:trPr>
        <w:tc>
          <w:tcPr>
            <w:tcW w:type="dxa" w:w="680"/>
            <w:shd w:val="clear" w:color="auto" w:fill="FAFAFB"/>
            <w:vAlign w:val="center"/>
          </w:tcPr>
          <w:p>
            <w:pPr>
              <w:spacing w:after="20" w:line="252" w:lineRule="auto"/>
            </w:pPr>
            <w:r>
              <w:rPr>
                <w:sz w:val="16"/>
              </w:rPr>
              <w:t>FY3</w:t>
            </w:r>
          </w:p>
        </w:tc>
        <w:tc>
          <w:tcPr>
            <w:tcW w:type="dxa" w:w="1304"/>
            <w:shd w:val="clear" w:color="auto" w:fill="FAFAFB"/>
            <w:vAlign w:val="center"/>
          </w:tcPr>
          <w:p>
            <w:pPr>
              <w:spacing w:after="20" w:line="252" w:lineRule="auto"/>
            </w:pPr>
            <w:r>
              <w:rPr>
                <w:sz w:val="16"/>
              </w:rPr>
              <w:t>Dec 2028</w:t>
            </w:r>
          </w:p>
        </w:tc>
        <w:tc>
          <w:tcPr>
            <w:tcW w:type="dxa" w:w="567"/>
            <w:shd w:val="clear" w:color="auto" w:fill="FAFAFB"/>
            <w:vAlign w:val="center"/>
          </w:tcPr>
          <w:p>
            <w:pPr>
              <w:spacing w:after="20" w:line="252" w:lineRule="auto"/>
              <w:jc w:val="right"/>
            </w:pPr>
            <w:r>
              <w:rPr>
                <w:sz w:val="16"/>
              </w:rPr>
              <w:t>6</w:t>
            </w:r>
          </w:p>
        </w:tc>
        <w:tc>
          <w:tcPr>
            <w:tcW w:type="dxa" w:w="5386"/>
            <w:shd w:val="clear" w:color="auto" w:fill="FAFAFB"/>
            <w:vAlign w:val="center"/>
          </w:tcPr>
          <w:p>
            <w:pPr>
              <w:spacing w:after="20" w:line="252" w:lineRule="auto"/>
            </w:pPr>
            <w:r>
              <w:rPr>
                <w:sz w:val="16"/>
              </w:rPr>
              <w:t>CS agents III</w:t>
            </w:r>
          </w:p>
        </w:tc>
        <w:tc>
          <w:tcPr>
            <w:tcW w:type="dxa" w:w="1701"/>
            <w:shd w:val="clear" w:color="auto" w:fill="FAFAFB"/>
            <w:vAlign w:val="center"/>
          </w:tcPr>
          <w:p>
            <w:pPr>
              <w:spacing w:after="20" w:line="252" w:lineRule="auto"/>
              <w:jc w:val="right"/>
            </w:pPr>
            <w:r>
              <w:rPr>
                <w:sz w:val="16"/>
              </w:rPr>
              <w:t>R3,500,000</w:t>
            </w:r>
          </w:p>
        </w:tc>
      </w:tr>
      <w:tr>
        <w:trPr>
          <w:cantSplit/>
        </w:trPr>
        <w:tc>
          <w:tcPr>
            <w:tcW w:type="dxa" w:w="680"/>
            <w:vAlign w:val="center"/>
          </w:tcPr>
          <w:p>
            <w:pPr>
              <w:spacing w:after="20" w:line="252" w:lineRule="auto"/>
            </w:pPr>
            <w:r>
              <w:rPr>
                <w:sz w:val="16"/>
              </w:rPr>
              <w:t>FY3</w:t>
            </w:r>
          </w:p>
        </w:tc>
        <w:tc>
          <w:tcPr>
            <w:tcW w:type="dxa" w:w="1304"/>
            <w:vAlign w:val="center"/>
          </w:tcPr>
          <w:p>
            <w:pPr>
              <w:spacing w:after="20" w:line="252" w:lineRule="auto"/>
            </w:pPr>
            <w:r>
              <w:rPr>
                <w:sz w:val="16"/>
              </w:rPr>
              <w:t>Apr 2029</w:t>
            </w:r>
          </w:p>
        </w:tc>
        <w:tc>
          <w:tcPr>
            <w:tcW w:type="dxa" w:w="567"/>
            <w:vAlign w:val="center"/>
          </w:tcPr>
          <w:p>
            <w:pPr>
              <w:spacing w:after="20" w:line="252" w:lineRule="auto"/>
              <w:jc w:val="right"/>
            </w:pPr>
            <w:r>
              <w:rPr>
                <w:sz w:val="16"/>
              </w:rPr>
              <w:t>3</w:t>
            </w:r>
          </w:p>
        </w:tc>
        <w:tc>
          <w:tcPr>
            <w:tcW w:type="dxa" w:w="5386"/>
            <w:vAlign w:val="center"/>
          </w:tcPr>
          <w:p>
            <w:pPr>
              <w:spacing w:after="20" w:line="252" w:lineRule="auto"/>
            </w:pPr>
            <w:r>
              <w:rPr>
                <w:sz w:val="16"/>
              </w:rPr>
              <w:t>Engineers (scale-up I)</w:t>
            </w:r>
          </w:p>
        </w:tc>
        <w:tc>
          <w:tcPr>
            <w:tcW w:type="dxa" w:w="1701"/>
            <w:vAlign w:val="center"/>
          </w:tcPr>
          <w:p>
            <w:pPr>
              <w:spacing w:after="20" w:line="252" w:lineRule="auto"/>
              <w:jc w:val="right"/>
            </w:pPr>
            <w:r>
              <w:rPr>
                <w:sz w:val="16"/>
              </w:rPr>
              <w:t>R5,000,000</w:t>
            </w:r>
          </w:p>
        </w:tc>
      </w:tr>
      <w:tr>
        <w:trPr>
          <w:cantSplit/>
        </w:trPr>
        <w:tc>
          <w:tcPr>
            <w:tcW w:type="dxa" w:w="680"/>
            <w:shd w:val="clear" w:color="auto" w:fill="FAFAFB"/>
            <w:vAlign w:val="center"/>
          </w:tcPr>
          <w:p>
            <w:pPr>
              <w:spacing w:after="20" w:line="252" w:lineRule="auto"/>
            </w:pPr>
            <w:r>
              <w:rPr>
                <w:sz w:val="16"/>
              </w:rPr>
              <w:t>FY3</w:t>
            </w:r>
          </w:p>
        </w:tc>
        <w:tc>
          <w:tcPr>
            <w:tcW w:type="dxa" w:w="1304"/>
            <w:shd w:val="clear" w:color="auto" w:fill="FAFAFB"/>
            <w:vAlign w:val="center"/>
          </w:tcPr>
          <w:p>
            <w:pPr>
              <w:spacing w:after="20" w:line="252" w:lineRule="auto"/>
            </w:pPr>
            <w:r>
              <w:rPr>
                <w:sz w:val="16"/>
              </w:rPr>
              <w:t>Apr 2029</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Finance analyst</w:t>
            </w:r>
          </w:p>
        </w:tc>
        <w:tc>
          <w:tcPr>
            <w:tcW w:type="dxa" w:w="1701"/>
            <w:shd w:val="clear" w:color="auto" w:fill="FAFAFB"/>
            <w:vAlign w:val="center"/>
          </w:tcPr>
          <w:p>
            <w:pPr>
              <w:spacing w:after="20" w:line="252" w:lineRule="auto"/>
              <w:jc w:val="right"/>
            </w:pPr>
            <w:r>
              <w:rPr>
                <w:sz w:val="16"/>
              </w:rPr>
              <w:t>R5,000,000</w:t>
            </w:r>
          </w:p>
        </w:tc>
      </w:tr>
      <w:tr>
        <w:trPr>
          <w:cantSplit/>
        </w:trPr>
        <w:tc>
          <w:tcPr>
            <w:tcW w:type="dxa" w:w="680"/>
            <w:vAlign w:val="center"/>
          </w:tcPr>
          <w:p>
            <w:pPr>
              <w:spacing w:after="20" w:line="252" w:lineRule="auto"/>
            </w:pPr>
            <w:r>
              <w:rPr>
                <w:sz w:val="16"/>
              </w:rPr>
              <w:t>FY3</w:t>
            </w:r>
          </w:p>
        </w:tc>
        <w:tc>
          <w:tcPr>
            <w:tcW w:type="dxa" w:w="1304"/>
            <w:vAlign w:val="center"/>
          </w:tcPr>
          <w:p>
            <w:pPr>
              <w:spacing w:after="20" w:line="252" w:lineRule="auto"/>
            </w:pPr>
            <w:r>
              <w:rPr>
                <w:sz w:val="16"/>
              </w:rPr>
              <w:t>Jun 2029</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Ghana team expansion</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FY3</w:t>
            </w:r>
          </w:p>
        </w:tc>
        <w:tc>
          <w:tcPr>
            <w:tcW w:type="dxa" w:w="1304"/>
            <w:shd w:val="clear" w:color="auto" w:fill="FAFAFB"/>
            <w:vAlign w:val="center"/>
          </w:tcPr>
          <w:p>
            <w:pPr>
              <w:spacing w:after="20" w:line="252" w:lineRule="auto"/>
            </w:pPr>
            <w:r>
              <w:rPr>
                <w:sz w:val="16"/>
              </w:rPr>
              <w:t>Apr 2029</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Head of Sales &amp; Partnerships</w:t>
            </w:r>
          </w:p>
        </w:tc>
        <w:tc>
          <w:tcPr>
            <w:tcW w:type="dxa" w:w="1701"/>
            <w:shd w:val="clear" w:color="auto" w:fill="FAFAFB"/>
            <w:vAlign w:val="center"/>
          </w:tcPr>
          <w:p>
            <w:pPr>
              <w:spacing w:after="20" w:line="252" w:lineRule="auto"/>
              <w:jc w:val="right"/>
            </w:pPr>
            <w:r>
              <w:rPr>
                <w:sz w:val="16"/>
              </w:rPr>
              <w:t>R5,000,000</w:t>
            </w:r>
          </w:p>
        </w:tc>
      </w:tr>
      <w:tr>
        <w:trPr>
          <w:cantSplit/>
        </w:trPr>
        <w:tc>
          <w:tcPr>
            <w:tcW w:type="dxa" w:w="680"/>
            <w:vAlign w:val="center"/>
          </w:tcPr>
          <w:p>
            <w:pPr>
              <w:spacing w:after="20" w:line="252" w:lineRule="auto"/>
            </w:pPr>
            <w:r>
              <w:rPr>
                <w:sz w:val="16"/>
              </w:rPr>
              <w:t>FY3</w:t>
            </w:r>
          </w:p>
        </w:tc>
        <w:tc>
          <w:tcPr>
            <w:tcW w:type="dxa" w:w="1304"/>
            <w:vAlign w:val="center"/>
          </w:tcPr>
          <w:p>
            <w:pPr>
              <w:spacing w:after="20" w:line="252" w:lineRule="auto"/>
            </w:pPr>
            <w:r>
              <w:rPr>
                <w:sz w:val="16"/>
              </w:rPr>
              <w:t>Apr 2029</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Kenya team expansion</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FY3</w:t>
            </w:r>
          </w:p>
        </w:tc>
        <w:tc>
          <w:tcPr>
            <w:tcW w:type="dxa" w:w="1304"/>
            <w:shd w:val="clear" w:color="auto" w:fill="FAFAFB"/>
            <w:vAlign w:val="center"/>
          </w:tcPr>
          <w:p>
            <w:pPr>
              <w:spacing w:after="20" w:line="252" w:lineRule="auto"/>
            </w:pPr>
            <w:r>
              <w:rPr>
                <w:sz w:val="16"/>
              </w:rPr>
              <w:t>Apr 2029</w:t>
            </w:r>
          </w:p>
        </w:tc>
        <w:tc>
          <w:tcPr>
            <w:tcW w:type="dxa" w:w="567"/>
            <w:shd w:val="clear" w:color="auto" w:fill="FAFAFB"/>
            <w:vAlign w:val="center"/>
          </w:tcPr>
          <w:p>
            <w:pPr>
              <w:spacing w:after="20" w:line="252" w:lineRule="auto"/>
              <w:jc w:val="right"/>
            </w:pPr>
            <w:r>
              <w:rPr>
                <w:sz w:val="16"/>
              </w:rPr>
              <w:t>3</w:t>
            </w:r>
          </w:p>
        </w:tc>
        <w:tc>
          <w:tcPr>
            <w:tcW w:type="dxa" w:w="5386"/>
            <w:shd w:val="clear" w:color="auto" w:fill="FAFAFB"/>
            <w:vAlign w:val="center"/>
          </w:tcPr>
          <w:p>
            <w:pPr>
              <w:spacing w:after="20" w:line="252" w:lineRule="auto"/>
            </w:pPr>
            <w:r>
              <w:rPr>
                <w:sz w:val="16"/>
              </w:rPr>
              <w:t>Marketing team expansion I</w:t>
            </w:r>
          </w:p>
        </w:tc>
        <w:tc>
          <w:tcPr>
            <w:tcW w:type="dxa" w:w="1701"/>
            <w:shd w:val="clear" w:color="auto" w:fill="FAFAFB"/>
            <w:vAlign w:val="center"/>
          </w:tcPr>
          <w:p>
            <w:pPr>
              <w:spacing w:after="20" w:line="252" w:lineRule="auto"/>
              <w:jc w:val="right"/>
            </w:pPr>
            <w:r>
              <w:rPr>
                <w:sz w:val="16"/>
              </w:rPr>
              <w:t>R5,000,000</w:t>
            </w:r>
          </w:p>
        </w:tc>
      </w:tr>
      <w:tr>
        <w:trPr>
          <w:cantSplit/>
        </w:trPr>
        <w:tc>
          <w:tcPr>
            <w:tcW w:type="dxa" w:w="680"/>
            <w:vAlign w:val="center"/>
          </w:tcPr>
          <w:p>
            <w:pPr>
              <w:spacing w:after="20" w:line="252" w:lineRule="auto"/>
            </w:pPr>
            <w:r>
              <w:rPr>
                <w:sz w:val="16"/>
              </w:rPr>
              <w:t>FY3</w:t>
            </w:r>
          </w:p>
        </w:tc>
        <w:tc>
          <w:tcPr>
            <w:tcW w:type="dxa" w:w="1304"/>
            <w:vAlign w:val="center"/>
          </w:tcPr>
          <w:p>
            <w:pPr>
              <w:spacing w:after="20" w:line="252" w:lineRule="auto"/>
            </w:pPr>
            <w:r>
              <w:rPr>
                <w:sz w:val="16"/>
              </w:rPr>
              <w:t>Feb 2029</w:t>
            </w:r>
          </w:p>
        </w:tc>
        <w:tc>
          <w:tcPr>
            <w:tcW w:type="dxa" w:w="567"/>
            <w:vAlign w:val="center"/>
          </w:tcPr>
          <w:p>
            <w:pPr>
              <w:spacing w:after="20" w:line="252" w:lineRule="auto"/>
              <w:jc w:val="right"/>
            </w:pPr>
            <w:r>
              <w:rPr>
                <w:sz w:val="16"/>
              </w:rPr>
              <w:t>3</w:t>
            </w:r>
          </w:p>
        </w:tc>
        <w:tc>
          <w:tcPr>
            <w:tcW w:type="dxa" w:w="5386"/>
            <w:vAlign w:val="center"/>
          </w:tcPr>
          <w:p>
            <w:pPr>
              <w:spacing w:after="20" w:line="252" w:lineRule="auto"/>
            </w:pPr>
            <w:r>
              <w:rPr>
                <w:sz w:val="16"/>
              </w:rPr>
              <w:t>Nigeria team expansion</w:t>
            </w:r>
          </w:p>
        </w:tc>
        <w:tc>
          <w:tcPr>
            <w:tcW w:type="dxa" w:w="1701"/>
            <w:vAlign w:val="center"/>
          </w:tcPr>
          <w:p>
            <w:pPr>
              <w:spacing w:after="20" w:line="252" w:lineRule="auto"/>
              <w:jc w:val="right"/>
            </w:pPr>
            <w:r>
              <w:rPr>
                <w:sz w:val="16"/>
              </w:rPr>
              <w:t>Tied to market launch</w:t>
            </w:r>
          </w:p>
        </w:tc>
      </w:tr>
      <w:tr>
        <w:trPr>
          <w:cantSplit/>
        </w:trPr>
        <w:tc>
          <w:tcPr>
            <w:tcW w:type="dxa" w:w="680"/>
            <w:shd w:val="clear" w:color="auto" w:fill="FAFAFB"/>
            <w:vAlign w:val="center"/>
          </w:tcPr>
          <w:p>
            <w:pPr>
              <w:spacing w:after="20" w:line="252" w:lineRule="auto"/>
            </w:pPr>
            <w:r>
              <w:rPr>
                <w:sz w:val="16"/>
              </w:rPr>
              <w:t>FY3</w:t>
            </w:r>
          </w:p>
        </w:tc>
        <w:tc>
          <w:tcPr>
            <w:tcW w:type="dxa" w:w="1304"/>
            <w:shd w:val="clear" w:color="auto" w:fill="FAFAFB"/>
            <w:vAlign w:val="center"/>
          </w:tcPr>
          <w:p>
            <w:pPr>
              <w:spacing w:after="20" w:line="252" w:lineRule="auto"/>
            </w:pPr>
            <w:r>
              <w:rPr>
                <w:sz w:val="16"/>
              </w:rPr>
              <w:t>Dec 2028</w:t>
            </w:r>
          </w:p>
        </w:tc>
        <w:tc>
          <w:tcPr>
            <w:tcW w:type="dxa" w:w="567"/>
            <w:shd w:val="clear" w:color="auto" w:fill="FAFAFB"/>
            <w:vAlign w:val="center"/>
          </w:tcPr>
          <w:p>
            <w:pPr>
              <w:spacing w:after="20" w:line="252" w:lineRule="auto"/>
              <w:jc w:val="right"/>
            </w:pPr>
            <w:r>
              <w:rPr>
                <w:sz w:val="16"/>
              </w:rPr>
              <w:t>2</w:t>
            </w:r>
          </w:p>
        </w:tc>
        <w:tc>
          <w:tcPr>
            <w:tcW w:type="dxa" w:w="5386"/>
            <w:shd w:val="clear" w:color="auto" w:fill="FAFAFB"/>
            <w:vAlign w:val="center"/>
          </w:tcPr>
          <w:p>
            <w:pPr>
              <w:spacing w:after="20" w:line="252" w:lineRule="auto"/>
            </w:pPr>
            <w:r>
              <w:rPr>
                <w:sz w:val="16"/>
              </w:rPr>
              <w:t>Partnerships managers (scale-up I)</w:t>
            </w:r>
          </w:p>
        </w:tc>
        <w:tc>
          <w:tcPr>
            <w:tcW w:type="dxa" w:w="1701"/>
            <w:shd w:val="clear" w:color="auto" w:fill="FAFAFB"/>
            <w:vAlign w:val="center"/>
          </w:tcPr>
          <w:p>
            <w:pPr>
              <w:spacing w:after="20" w:line="252" w:lineRule="auto"/>
              <w:jc w:val="right"/>
            </w:pPr>
            <w:r>
              <w:rPr>
                <w:sz w:val="16"/>
              </w:rPr>
              <w:t>R3,500,000</w:t>
            </w:r>
          </w:p>
        </w:tc>
      </w:tr>
      <w:tr>
        <w:trPr>
          <w:cantSplit/>
        </w:trPr>
        <w:tc>
          <w:tcPr>
            <w:tcW w:type="dxa" w:w="680"/>
            <w:vAlign w:val="center"/>
          </w:tcPr>
          <w:p>
            <w:pPr>
              <w:spacing w:after="20" w:line="252" w:lineRule="auto"/>
            </w:pPr>
            <w:r>
              <w:rPr>
                <w:sz w:val="16"/>
              </w:rPr>
              <w:t>FY3</w:t>
            </w:r>
          </w:p>
        </w:tc>
        <w:tc>
          <w:tcPr>
            <w:tcW w:type="dxa" w:w="1304"/>
            <w:vAlign w:val="center"/>
          </w:tcPr>
          <w:p>
            <w:pPr>
              <w:spacing w:after="20" w:line="252" w:lineRule="auto"/>
            </w:pPr>
            <w:r>
              <w:rPr>
                <w:sz w:val="16"/>
              </w:rPr>
              <w:t>Jan 2029</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Payments &amp; data engineers</w:t>
            </w:r>
          </w:p>
        </w:tc>
        <w:tc>
          <w:tcPr>
            <w:tcW w:type="dxa" w:w="1701"/>
            <w:vAlign w:val="center"/>
          </w:tcPr>
          <w:p>
            <w:pPr>
              <w:spacing w:after="20" w:line="252" w:lineRule="auto"/>
              <w:jc w:val="right"/>
            </w:pPr>
            <w:r>
              <w:rPr>
                <w:sz w:val="16"/>
              </w:rPr>
              <w:t>R3,500,000</w:t>
            </w:r>
          </w:p>
        </w:tc>
      </w:tr>
      <w:tr>
        <w:trPr>
          <w:cantSplit/>
        </w:trPr>
        <w:tc>
          <w:tcPr>
            <w:tcW w:type="dxa" w:w="680"/>
            <w:shd w:val="clear" w:color="auto" w:fill="FAFAFB"/>
            <w:vAlign w:val="center"/>
          </w:tcPr>
          <w:p>
            <w:pPr>
              <w:spacing w:after="20" w:line="252" w:lineRule="auto"/>
            </w:pPr>
            <w:r>
              <w:rPr>
                <w:sz w:val="16"/>
              </w:rPr>
              <w:t>FY3</w:t>
            </w:r>
          </w:p>
        </w:tc>
        <w:tc>
          <w:tcPr>
            <w:tcW w:type="dxa" w:w="1304"/>
            <w:shd w:val="clear" w:color="auto" w:fill="FAFAFB"/>
            <w:vAlign w:val="center"/>
          </w:tcPr>
          <w:p>
            <w:pPr>
              <w:spacing w:after="20" w:line="252" w:lineRule="auto"/>
            </w:pPr>
            <w:r>
              <w:rPr>
                <w:sz w:val="16"/>
              </w:rPr>
              <w:t>Jan 2029</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People &amp; HR partner</w:t>
            </w:r>
          </w:p>
        </w:tc>
        <w:tc>
          <w:tcPr>
            <w:tcW w:type="dxa" w:w="1701"/>
            <w:shd w:val="clear" w:color="auto" w:fill="FAFAFB"/>
            <w:vAlign w:val="center"/>
          </w:tcPr>
          <w:p>
            <w:pPr>
              <w:spacing w:after="20" w:line="252" w:lineRule="auto"/>
              <w:jc w:val="right"/>
            </w:pPr>
            <w:r>
              <w:rPr>
                <w:sz w:val="16"/>
              </w:rPr>
              <w:t>R3,500,000</w:t>
            </w:r>
          </w:p>
        </w:tc>
      </w:tr>
      <w:tr>
        <w:trPr>
          <w:cantSplit/>
        </w:trPr>
        <w:tc>
          <w:tcPr>
            <w:tcW w:type="dxa" w:w="680"/>
            <w:vAlign w:val="center"/>
          </w:tcPr>
          <w:p>
            <w:pPr>
              <w:spacing w:after="20" w:line="252" w:lineRule="auto"/>
            </w:pPr>
            <w:r>
              <w:rPr>
                <w:sz w:val="16"/>
              </w:rPr>
              <w:t>FY3</w:t>
            </w:r>
          </w:p>
        </w:tc>
        <w:tc>
          <w:tcPr>
            <w:tcW w:type="dxa" w:w="1304"/>
            <w:vAlign w:val="center"/>
          </w:tcPr>
          <w:p>
            <w:pPr>
              <w:spacing w:after="20" w:line="252" w:lineRule="auto"/>
            </w:pPr>
            <w:r>
              <w:rPr>
                <w:sz w:val="16"/>
              </w:rPr>
              <w:t>Sep 2029</w:t>
            </w:r>
          </w:p>
        </w:tc>
        <w:tc>
          <w:tcPr>
            <w:tcW w:type="dxa" w:w="567"/>
            <w:vAlign w:val="center"/>
          </w:tcPr>
          <w:p>
            <w:pPr>
              <w:spacing w:after="20" w:line="252" w:lineRule="auto"/>
              <w:jc w:val="right"/>
            </w:pPr>
            <w:r>
              <w:rPr>
                <w:sz w:val="16"/>
              </w:rPr>
              <w:t>1</w:t>
            </w:r>
          </w:p>
        </w:tc>
        <w:tc>
          <w:tcPr>
            <w:tcW w:type="dxa" w:w="5386"/>
            <w:vAlign w:val="center"/>
          </w:tcPr>
          <w:p>
            <w:pPr>
              <w:spacing w:after="20" w:line="252" w:lineRule="auto"/>
            </w:pPr>
            <w:r>
              <w:rPr>
                <w:sz w:val="16"/>
              </w:rPr>
              <w:t>VP Engineering</w:t>
            </w:r>
          </w:p>
        </w:tc>
        <w:tc>
          <w:tcPr>
            <w:tcW w:type="dxa" w:w="1701"/>
            <w:vAlign w:val="center"/>
          </w:tcPr>
          <w:p>
            <w:pPr>
              <w:spacing w:after="20" w:line="252" w:lineRule="auto"/>
              <w:jc w:val="right"/>
            </w:pPr>
            <w:r>
              <w:rPr>
                <w:sz w:val="16"/>
              </w:rPr>
              <w:t>R7,000,000</w:t>
            </w:r>
          </w:p>
        </w:tc>
      </w:tr>
      <w:tr>
        <w:trPr>
          <w:cantSplit/>
        </w:trPr>
        <w:tc>
          <w:tcPr>
            <w:tcW w:type="dxa" w:w="680"/>
            <w:shd w:val="clear" w:color="auto" w:fill="FAFAFB"/>
            <w:vAlign w:val="center"/>
          </w:tcPr>
          <w:p>
            <w:pPr>
              <w:spacing w:after="20" w:line="252" w:lineRule="auto"/>
            </w:pPr>
            <w:r>
              <w:rPr>
                <w:sz w:val="16"/>
              </w:rPr>
              <w:t>FY4</w:t>
            </w:r>
          </w:p>
        </w:tc>
        <w:tc>
          <w:tcPr>
            <w:tcW w:type="dxa" w:w="1304"/>
            <w:shd w:val="clear" w:color="auto" w:fill="FAFAFB"/>
            <w:vAlign w:val="center"/>
          </w:tcPr>
          <w:p>
            <w:pPr>
              <w:spacing w:after="20" w:line="252" w:lineRule="auto"/>
            </w:pPr>
            <w:r>
              <w:rPr>
                <w:sz w:val="16"/>
              </w:rPr>
              <w:t>Nov 2029</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CFO</w:t>
            </w:r>
          </w:p>
        </w:tc>
        <w:tc>
          <w:tcPr>
            <w:tcW w:type="dxa" w:w="1701"/>
            <w:shd w:val="clear" w:color="auto" w:fill="FAFAFB"/>
            <w:vAlign w:val="center"/>
          </w:tcPr>
          <w:p>
            <w:pPr>
              <w:spacing w:after="20" w:line="252" w:lineRule="auto"/>
              <w:jc w:val="right"/>
            </w:pPr>
            <w:r>
              <w:rPr>
                <w:sz w:val="16"/>
              </w:rPr>
              <w:t>R8,000,000</w:t>
            </w:r>
          </w:p>
        </w:tc>
      </w:tr>
      <w:tr>
        <w:trPr>
          <w:cantSplit/>
        </w:trPr>
        <w:tc>
          <w:tcPr>
            <w:tcW w:type="dxa" w:w="680"/>
            <w:vAlign w:val="center"/>
          </w:tcPr>
          <w:p>
            <w:pPr>
              <w:spacing w:after="20" w:line="252" w:lineRule="auto"/>
            </w:pPr>
            <w:r>
              <w:rPr>
                <w:sz w:val="16"/>
              </w:rPr>
              <w:t>FY4</w:t>
            </w:r>
          </w:p>
        </w:tc>
        <w:tc>
          <w:tcPr>
            <w:tcW w:type="dxa" w:w="1304"/>
            <w:vAlign w:val="center"/>
          </w:tcPr>
          <w:p>
            <w:pPr>
              <w:spacing w:after="20" w:line="252" w:lineRule="auto"/>
            </w:pPr>
            <w:r>
              <w:rPr>
                <w:sz w:val="16"/>
              </w:rPr>
              <w:t>Jan 2030</w:t>
            </w:r>
          </w:p>
        </w:tc>
        <w:tc>
          <w:tcPr>
            <w:tcW w:type="dxa" w:w="567"/>
            <w:vAlign w:val="center"/>
          </w:tcPr>
          <w:p>
            <w:pPr>
              <w:spacing w:after="20" w:line="252" w:lineRule="auto"/>
              <w:jc w:val="right"/>
            </w:pPr>
            <w:r>
              <w:rPr>
                <w:sz w:val="16"/>
              </w:rPr>
              <w:t>8</w:t>
            </w:r>
          </w:p>
        </w:tc>
        <w:tc>
          <w:tcPr>
            <w:tcW w:type="dxa" w:w="5386"/>
            <w:vAlign w:val="center"/>
          </w:tcPr>
          <w:p>
            <w:pPr>
              <w:spacing w:after="20" w:line="252" w:lineRule="auto"/>
            </w:pPr>
            <w:r>
              <w:rPr>
                <w:sz w:val="16"/>
              </w:rPr>
              <w:t>CS agents IV</w:t>
            </w:r>
          </w:p>
        </w:tc>
        <w:tc>
          <w:tcPr>
            <w:tcW w:type="dxa" w:w="1701"/>
            <w:vAlign w:val="center"/>
          </w:tcPr>
          <w:p>
            <w:pPr>
              <w:spacing w:after="20" w:line="252" w:lineRule="auto"/>
              <w:jc w:val="right"/>
            </w:pPr>
            <w:r>
              <w:rPr>
                <w:sz w:val="16"/>
              </w:rPr>
              <w:t>R9,000,000</w:t>
            </w:r>
          </w:p>
        </w:tc>
      </w:tr>
      <w:tr>
        <w:trPr>
          <w:cantSplit/>
        </w:trPr>
        <w:tc>
          <w:tcPr>
            <w:tcW w:type="dxa" w:w="680"/>
            <w:shd w:val="clear" w:color="auto" w:fill="FAFAFB"/>
            <w:vAlign w:val="center"/>
          </w:tcPr>
          <w:p>
            <w:pPr>
              <w:spacing w:after="20" w:line="252" w:lineRule="auto"/>
            </w:pPr>
            <w:r>
              <w:rPr>
                <w:sz w:val="16"/>
              </w:rPr>
              <w:t>FY4</w:t>
            </w:r>
          </w:p>
        </w:tc>
        <w:tc>
          <w:tcPr>
            <w:tcW w:type="dxa" w:w="1304"/>
            <w:shd w:val="clear" w:color="auto" w:fill="FAFAFB"/>
            <w:vAlign w:val="center"/>
          </w:tcPr>
          <w:p>
            <w:pPr>
              <w:spacing w:after="20" w:line="252" w:lineRule="auto"/>
            </w:pPr>
            <w:r>
              <w:rPr>
                <w:sz w:val="16"/>
              </w:rPr>
              <w:t>Sep 2030</w:t>
            </w:r>
          </w:p>
        </w:tc>
        <w:tc>
          <w:tcPr>
            <w:tcW w:type="dxa" w:w="567"/>
            <w:shd w:val="clear" w:color="auto" w:fill="FAFAFB"/>
            <w:vAlign w:val="center"/>
          </w:tcPr>
          <w:p>
            <w:pPr>
              <w:spacing w:after="20" w:line="252" w:lineRule="auto"/>
              <w:jc w:val="right"/>
            </w:pPr>
            <w:r>
              <w:rPr>
                <w:sz w:val="16"/>
              </w:rPr>
              <w:t>2</w:t>
            </w:r>
          </w:p>
        </w:tc>
        <w:tc>
          <w:tcPr>
            <w:tcW w:type="dxa" w:w="5386"/>
            <w:shd w:val="clear" w:color="auto" w:fill="FAFAFB"/>
            <w:vAlign w:val="center"/>
          </w:tcPr>
          <w:p>
            <w:pPr>
              <w:spacing w:after="20" w:line="252" w:lineRule="auto"/>
            </w:pPr>
            <w:r>
              <w:rPr>
                <w:sz w:val="16"/>
              </w:rPr>
              <w:t>Data / AI engineers</w:t>
            </w:r>
          </w:p>
        </w:tc>
        <w:tc>
          <w:tcPr>
            <w:tcW w:type="dxa" w:w="1701"/>
            <w:shd w:val="clear" w:color="auto" w:fill="FAFAFB"/>
            <w:vAlign w:val="center"/>
          </w:tcPr>
          <w:p>
            <w:pPr>
              <w:spacing w:after="20" w:line="252" w:lineRule="auto"/>
              <w:jc w:val="right"/>
            </w:pPr>
            <w:r>
              <w:rPr>
                <w:sz w:val="16"/>
              </w:rPr>
              <w:t>R13,000,000</w:t>
            </w:r>
          </w:p>
        </w:tc>
      </w:tr>
      <w:tr>
        <w:trPr>
          <w:cantSplit/>
        </w:trPr>
        <w:tc>
          <w:tcPr>
            <w:tcW w:type="dxa" w:w="680"/>
            <w:vAlign w:val="center"/>
          </w:tcPr>
          <w:p>
            <w:pPr>
              <w:spacing w:after="20" w:line="252" w:lineRule="auto"/>
            </w:pPr>
            <w:r>
              <w:rPr>
                <w:sz w:val="16"/>
              </w:rPr>
              <w:t>FY4</w:t>
            </w:r>
          </w:p>
        </w:tc>
        <w:tc>
          <w:tcPr>
            <w:tcW w:type="dxa" w:w="1304"/>
            <w:vAlign w:val="center"/>
          </w:tcPr>
          <w:p>
            <w:pPr>
              <w:spacing w:after="20" w:line="252" w:lineRule="auto"/>
            </w:pPr>
            <w:r>
              <w:rPr>
                <w:sz w:val="16"/>
              </w:rPr>
              <w:t>Mar 2030</w:t>
            </w:r>
          </w:p>
        </w:tc>
        <w:tc>
          <w:tcPr>
            <w:tcW w:type="dxa" w:w="567"/>
            <w:vAlign w:val="center"/>
          </w:tcPr>
          <w:p>
            <w:pPr>
              <w:spacing w:after="20" w:line="252" w:lineRule="auto"/>
              <w:jc w:val="right"/>
            </w:pPr>
            <w:r>
              <w:rPr>
                <w:sz w:val="16"/>
              </w:rPr>
              <w:t>4</w:t>
            </w:r>
          </w:p>
        </w:tc>
        <w:tc>
          <w:tcPr>
            <w:tcW w:type="dxa" w:w="5386"/>
            <w:vAlign w:val="center"/>
          </w:tcPr>
          <w:p>
            <w:pPr>
              <w:spacing w:after="20" w:line="252" w:lineRule="auto"/>
            </w:pPr>
            <w:r>
              <w:rPr>
                <w:sz w:val="16"/>
              </w:rPr>
              <w:t>Engineers (scale-up II)</w:t>
            </w:r>
          </w:p>
        </w:tc>
        <w:tc>
          <w:tcPr>
            <w:tcW w:type="dxa" w:w="1701"/>
            <w:vAlign w:val="center"/>
          </w:tcPr>
          <w:p>
            <w:pPr>
              <w:spacing w:after="20" w:line="252" w:lineRule="auto"/>
              <w:jc w:val="right"/>
            </w:pPr>
            <w:r>
              <w:rPr>
                <w:sz w:val="16"/>
              </w:rPr>
              <w:t>R10,000,000</w:t>
            </w:r>
          </w:p>
        </w:tc>
      </w:tr>
      <w:tr>
        <w:trPr>
          <w:cantSplit/>
        </w:trPr>
        <w:tc>
          <w:tcPr>
            <w:tcW w:type="dxa" w:w="680"/>
            <w:shd w:val="clear" w:color="auto" w:fill="FAFAFB"/>
            <w:vAlign w:val="center"/>
          </w:tcPr>
          <w:p>
            <w:pPr>
              <w:spacing w:after="20" w:line="252" w:lineRule="auto"/>
            </w:pPr>
            <w:r>
              <w:rPr>
                <w:sz w:val="16"/>
              </w:rPr>
              <w:t>FY4</w:t>
            </w:r>
          </w:p>
        </w:tc>
        <w:tc>
          <w:tcPr>
            <w:tcW w:type="dxa" w:w="1304"/>
            <w:shd w:val="clear" w:color="auto" w:fill="FAFAFB"/>
            <w:vAlign w:val="center"/>
          </w:tcPr>
          <w:p>
            <w:pPr>
              <w:spacing w:after="20" w:line="252" w:lineRule="auto"/>
            </w:pPr>
            <w:r>
              <w:rPr>
                <w:sz w:val="16"/>
              </w:rPr>
              <w:t>Aug 2030</w:t>
            </w:r>
          </w:p>
        </w:tc>
        <w:tc>
          <w:tcPr>
            <w:tcW w:type="dxa" w:w="567"/>
            <w:shd w:val="clear" w:color="auto" w:fill="FAFAFB"/>
            <w:vAlign w:val="center"/>
          </w:tcPr>
          <w:p>
            <w:pPr>
              <w:spacing w:after="20" w:line="252" w:lineRule="auto"/>
              <w:jc w:val="right"/>
            </w:pPr>
            <w:r>
              <w:rPr>
                <w:sz w:val="16"/>
              </w:rPr>
              <w:t>3</w:t>
            </w:r>
          </w:p>
        </w:tc>
        <w:tc>
          <w:tcPr>
            <w:tcW w:type="dxa" w:w="5386"/>
            <w:shd w:val="clear" w:color="auto" w:fill="FAFAFB"/>
            <w:vAlign w:val="center"/>
          </w:tcPr>
          <w:p>
            <w:pPr>
              <w:spacing w:after="20" w:line="252" w:lineRule="auto"/>
            </w:pPr>
            <w:r>
              <w:rPr>
                <w:sz w:val="16"/>
              </w:rPr>
              <w:t>Marketing team expansion II</w:t>
            </w:r>
          </w:p>
        </w:tc>
        <w:tc>
          <w:tcPr>
            <w:tcW w:type="dxa" w:w="1701"/>
            <w:shd w:val="clear" w:color="auto" w:fill="FAFAFB"/>
            <w:vAlign w:val="center"/>
          </w:tcPr>
          <w:p>
            <w:pPr>
              <w:spacing w:after="20" w:line="252" w:lineRule="auto"/>
              <w:jc w:val="right"/>
            </w:pPr>
            <w:r>
              <w:rPr>
                <w:sz w:val="16"/>
              </w:rPr>
              <w:t>R12,000,000</w:t>
            </w:r>
          </w:p>
        </w:tc>
      </w:tr>
      <w:tr>
        <w:trPr>
          <w:cantSplit/>
        </w:trPr>
        <w:tc>
          <w:tcPr>
            <w:tcW w:type="dxa" w:w="680"/>
            <w:vAlign w:val="center"/>
          </w:tcPr>
          <w:p>
            <w:pPr>
              <w:spacing w:after="20" w:line="252" w:lineRule="auto"/>
            </w:pPr>
            <w:r>
              <w:rPr>
                <w:sz w:val="16"/>
              </w:rPr>
              <w:t>FY4</w:t>
            </w:r>
          </w:p>
        </w:tc>
        <w:tc>
          <w:tcPr>
            <w:tcW w:type="dxa" w:w="1304"/>
            <w:vAlign w:val="center"/>
          </w:tcPr>
          <w:p>
            <w:pPr>
              <w:spacing w:after="20" w:line="252" w:lineRule="auto"/>
            </w:pPr>
            <w:r>
              <w:rPr>
                <w:sz w:val="16"/>
              </w:rPr>
              <w:t>Jan 2030</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Partnerships managers (scale-up II)</w:t>
            </w:r>
          </w:p>
        </w:tc>
        <w:tc>
          <w:tcPr>
            <w:tcW w:type="dxa" w:w="1701"/>
            <w:vAlign w:val="center"/>
          </w:tcPr>
          <w:p>
            <w:pPr>
              <w:spacing w:after="20" w:line="252" w:lineRule="auto"/>
              <w:jc w:val="right"/>
            </w:pPr>
            <w:r>
              <w:rPr>
                <w:sz w:val="16"/>
              </w:rPr>
              <w:t>R9,000,000</w:t>
            </w:r>
          </w:p>
        </w:tc>
      </w:tr>
      <w:tr>
        <w:trPr>
          <w:cantSplit/>
        </w:trPr>
        <w:tc>
          <w:tcPr>
            <w:tcW w:type="dxa" w:w="680"/>
            <w:shd w:val="clear" w:color="auto" w:fill="FAFAFB"/>
            <w:vAlign w:val="center"/>
          </w:tcPr>
          <w:p>
            <w:pPr>
              <w:spacing w:after="20" w:line="252" w:lineRule="auto"/>
            </w:pPr>
            <w:r>
              <w:rPr>
                <w:sz w:val="16"/>
              </w:rPr>
              <w:t>FY4</w:t>
            </w:r>
          </w:p>
        </w:tc>
        <w:tc>
          <w:tcPr>
            <w:tcW w:type="dxa" w:w="1304"/>
            <w:shd w:val="clear" w:color="auto" w:fill="FAFAFB"/>
            <w:vAlign w:val="center"/>
          </w:tcPr>
          <w:p>
            <w:pPr>
              <w:spacing w:after="20" w:line="252" w:lineRule="auto"/>
            </w:pPr>
            <w:r>
              <w:rPr>
                <w:sz w:val="16"/>
              </w:rPr>
              <w:t>Nov 2029</w:t>
            </w:r>
          </w:p>
        </w:tc>
        <w:tc>
          <w:tcPr>
            <w:tcW w:type="dxa" w:w="567"/>
            <w:shd w:val="clear" w:color="auto" w:fill="FAFAFB"/>
            <w:vAlign w:val="center"/>
          </w:tcPr>
          <w:p>
            <w:pPr>
              <w:spacing w:after="20" w:line="252" w:lineRule="auto"/>
              <w:jc w:val="right"/>
            </w:pPr>
            <w:r>
              <w:rPr>
                <w:sz w:val="16"/>
              </w:rPr>
              <w:t>1</w:t>
            </w:r>
          </w:p>
        </w:tc>
        <w:tc>
          <w:tcPr>
            <w:tcW w:type="dxa" w:w="5386"/>
            <w:shd w:val="clear" w:color="auto" w:fill="FAFAFB"/>
            <w:vAlign w:val="center"/>
          </w:tcPr>
          <w:p>
            <w:pPr>
              <w:spacing w:after="20" w:line="252" w:lineRule="auto"/>
            </w:pPr>
            <w:r>
              <w:rPr>
                <w:sz w:val="16"/>
              </w:rPr>
              <w:t>Product manager #2</w:t>
            </w:r>
          </w:p>
        </w:tc>
        <w:tc>
          <w:tcPr>
            <w:tcW w:type="dxa" w:w="1701"/>
            <w:shd w:val="clear" w:color="auto" w:fill="FAFAFB"/>
            <w:vAlign w:val="center"/>
          </w:tcPr>
          <w:p>
            <w:pPr>
              <w:spacing w:after="20" w:line="252" w:lineRule="auto"/>
              <w:jc w:val="right"/>
            </w:pPr>
            <w:r>
              <w:rPr>
                <w:sz w:val="16"/>
              </w:rPr>
              <w:t>R8,000,000</w:t>
            </w:r>
          </w:p>
        </w:tc>
      </w:tr>
      <w:tr>
        <w:trPr>
          <w:cantSplit/>
        </w:trPr>
        <w:tc>
          <w:tcPr>
            <w:tcW w:type="dxa" w:w="680"/>
            <w:vAlign w:val="center"/>
          </w:tcPr>
          <w:p>
            <w:pPr>
              <w:spacing w:after="20" w:line="252" w:lineRule="auto"/>
            </w:pPr>
            <w:r>
              <w:rPr>
                <w:sz w:val="16"/>
              </w:rPr>
              <w:t>FY4</w:t>
            </w:r>
          </w:p>
        </w:tc>
        <w:tc>
          <w:tcPr>
            <w:tcW w:type="dxa" w:w="1304"/>
            <w:vAlign w:val="center"/>
          </w:tcPr>
          <w:p>
            <w:pPr>
              <w:spacing w:after="20" w:line="252" w:lineRule="auto"/>
            </w:pPr>
            <w:r>
              <w:rPr>
                <w:sz w:val="16"/>
              </w:rPr>
              <w:t>Mar 2030</w:t>
            </w:r>
          </w:p>
        </w:tc>
        <w:tc>
          <w:tcPr>
            <w:tcW w:type="dxa" w:w="567"/>
            <w:vAlign w:val="center"/>
          </w:tcPr>
          <w:p>
            <w:pPr>
              <w:spacing w:after="20" w:line="252" w:lineRule="auto"/>
              <w:jc w:val="right"/>
            </w:pPr>
            <w:r>
              <w:rPr>
                <w:sz w:val="16"/>
              </w:rPr>
              <w:t>3</w:t>
            </w:r>
          </w:p>
        </w:tc>
        <w:tc>
          <w:tcPr>
            <w:tcW w:type="dxa" w:w="5386"/>
            <w:vAlign w:val="center"/>
          </w:tcPr>
          <w:p>
            <w:pPr>
              <w:spacing w:after="20" w:line="252" w:lineRule="auto"/>
            </w:pPr>
            <w:r>
              <w:rPr>
                <w:sz w:val="16"/>
              </w:rPr>
              <w:t>SME account managers</w:t>
            </w:r>
          </w:p>
        </w:tc>
        <w:tc>
          <w:tcPr>
            <w:tcW w:type="dxa" w:w="1701"/>
            <w:vAlign w:val="center"/>
          </w:tcPr>
          <w:p>
            <w:pPr>
              <w:spacing w:after="20" w:line="252" w:lineRule="auto"/>
              <w:jc w:val="right"/>
            </w:pPr>
            <w:r>
              <w:rPr>
                <w:sz w:val="16"/>
              </w:rPr>
              <w:t>R10,000,000</w:t>
            </w:r>
          </w:p>
        </w:tc>
      </w:tr>
      <w:tr>
        <w:trPr>
          <w:cantSplit/>
        </w:trPr>
        <w:tc>
          <w:tcPr>
            <w:tcW w:type="dxa" w:w="680"/>
            <w:shd w:val="clear" w:color="auto" w:fill="FAFAFB"/>
            <w:vAlign w:val="center"/>
          </w:tcPr>
          <w:p>
            <w:pPr>
              <w:spacing w:after="20" w:line="252" w:lineRule="auto"/>
            </w:pPr>
            <w:r>
              <w:rPr>
                <w:sz w:val="16"/>
              </w:rPr>
              <w:t>FY5</w:t>
            </w:r>
          </w:p>
        </w:tc>
        <w:tc>
          <w:tcPr>
            <w:tcW w:type="dxa" w:w="1304"/>
            <w:shd w:val="clear" w:color="auto" w:fill="FAFAFB"/>
            <w:vAlign w:val="center"/>
          </w:tcPr>
          <w:p>
            <w:pPr>
              <w:spacing w:after="20" w:line="252" w:lineRule="auto"/>
            </w:pPr>
            <w:r>
              <w:rPr>
                <w:sz w:val="16"/>
              </w:rPr>
              <w:t>Feb 2031</w:t>
            </w:r>
          </w:p>
        </w:tc>
        <w:tc>
          <w:tcPr>
            <w:tcW w:type="dxa" w:w="567"/>
            <w:shd w:val="clear" w:color="auto" w:fill="FAFAFB"/>
            <w:vAlign w:val="center"/>
          </w:tcPr>
          <w:p>
            <w:pPr>
              <w:spacing w:after="20" w:line="252" w:lineRule="auto"/>
              <w:jc w:val="right"/>
            </w:pPr>
            <w:r>
              <w:rPr>
                <w:sz w:val="16"/>
              </w:rPr>
              <w:t>8</w:t>
            </w:r>
          </w:p>
        </w:tc>
        <w:tc>
          <w:tcPr>
            <w:tcW w:type="dxa" w:w="5386"/>
            <w:shd w:val="clear" w:color="auto" w:fill="FAFAFB"/>
            <w:vAlign w:val="center"/>
          </w:tcPr>
          <w:p>
            <w:pPr>
              <w:spacing w:after="20" w:line="252" w:lineRule="auto"/>
            </w:pPr>
            <w:r>
              <w:rPr>
                <w:sz w:val="16"/>
              </w:rPr>
              <w:t>CS agents V</w:t>
            </w:r>
          </w:p>
        </w:tc>
        <w:tc>
          <w:tcPr>
            <w:tcW w:type="dxa" w:w="1701"/>
            <w:shd w:val="clear" w:color="auto" w:fill="FAFAFB"/>
            <w:vAlign w:val="center"/>
          </w:tcPr>
          <w:p>
            <w:pPr>
              <w:spacing w:after="20" w:line="252" w:lineRule="auto"/>
              <w:jc w:val="right"/>
            </w:pPr>
            <w:r>
              <w:rPr>
                <w:sz w:val="16"/>
              </w:rPr>
              <w:t>R16,000,000</w:t>
            </w:r>
          </w:p>
        </w:tc>
      </w:tr>
      <w:tr>
        <w:trPr>
          <w:cantSplit/>
        </w:trPr>
        <w:tc>
          <w:tcPr>
            <w:tcW w:type="dxa" w:w="680"/>
            <w:vAlign w:val="center"/>
          </w:tcPr>
          <w:p>
            <w:pPr>
              <w:spacing w:after="20" w:line="252" w:lineRule="auto"/>
            </w:pPr>
            <w:r>
              <w:rPr>
                <w:sz w:val="16"/>
              </w:rPr>
              <w:t>FY5</w:t>
            </w:r>
          </w:p>
        </w:tc>
        <w:tc>
          <w:tcPr>
            <w:tcW w:type="dxa" w:w="1304"/>
            <w:vAlign w:val="center"/>
          </w:tcPr>
          <w:p>
            <w:pPr>
              <w:spacing w:after="20" w:line="252" w:lineRule="auto"/>
            </w:pPr>
            <w:r>
              <w:rPr>
                <w:sz w:val="16"/>
              </w:rPr>
              <w:t>May 2031</w:t>
            </w:r>
          </w:p>
        </w:tc>
        <w:tc>
          <w:tcPr>
            <w:tcW w:type="dxa" w:w="567"/>
            <w:vAlign w:val="center"/>
          </w:tcPr>
          <w:p>
            <w:pPr>
              <w:spacing w:after="20" w:line="252" w:lineRule="auto"/>
              <w:jc w:val="right"/>
            </w:pPr>
            <w:r>
              <w:rPr>
                <w:sz w:val="16"/>
              </w:rPr>
              <w:t>10</w:t>
            </w:r>
          </w:p>
        </w:tc>
        <w:tc>
          <w:tcPr>
            <w:tcW w:type="dxa" w:w="5386"/>
            <w:vAlign w:val="center"/>
          </w:tcPr>
          <w:p>
            <w:pPr>
              <w:spacing w:after="20" w:line="252" w:lineRule="auto"/>
            </w:pPr>
            <w:r>
              <w:rPr>
                <w:sz w:val="16"/>
              </w:rPr>
              <w:t>CS agents VI</w:t>
            </w:r>
          </w:p>
        </w:tc>
        <w:tc>
          <w:tcPr>
            <w:tcW w:type="dxa" w:w="1701"/>
            <w:vAlign w:val="center"/>
          </w:tcPr>
          <w:p>
            <w:pPr>
              <w:spacing w:after="20" w:line="252" w:lineRule="auto"/>
              <w:jc w:val="right"/>
            </w:pPr>
            <w:r>
              <w:rPr>
                <w:sz w:val="16"/>
              </w:rPr>
              <w:t>R18,000,000</w:t>
            </w:r>
          </w:p>
        </w:tc>
      </w:tr>
      <w:tr>
        <w:trPr>
          <w:cantSplit/>
        </w:trPr>
        <w:tc>
          <w:tcPr>
            <w:tcW w:type="dxa" w:w="680"/>
            <w:shd w:val="clear" w:color="auto" w:fill="FAFAFB"/>
            <w:vAlign w:val="center"/>
          </w:tcPr>
          <w:p>
            <w:pPr>
              <w:spacing w:after="20" w:line="252" w:lineRule="auto"/>
            </w:pPr>
            <w:r>
              <w:rPr>
                <w:sz w:val="16"/>
              </w:rPr>
              <w:t>FY5</w:t>
            </w:r>
          </w:p>
        </w:tc>
        <w:tc>
          <w:tcPr>
            <w:tcW w:type="dxa" w:w="1304"/>
            <w:shd w:val="clear" w:color="auto" w:fill="FAFAFB"/>
            <w:vAlign w:val="center"/>
          </w:tcPr>
          <w:p>
            <w:pPr>
              <w:spacing w:after="20" w:line="252" w:lineRule="auto"/>
            </w:pPr>
            <w:r>
              <w:rPr>
                <w:sz w:val="16"/>
              </w:rPr>
              <w:t>Jul 2031</w:t>
            </w:r>
          </w:p>
        </w:tc>
        <w:tc>
          <w:tcPr>
            <w:tcW w:type="dxa" w:w="567"/>
            <w:shd w:val="clear" w:color="auto" w:fill="FAFAFB"/>
            <w:vAlign w:val="center"/>
          </w:tcPr>
          <w:p>
            <w:pPr>
              <w:spacing w:after="20" w:line="252" w:lineRule="auto"/>
              <w:jc w:val="right"/>
            </w:pPr>
            <w:r>
              <w:rPr>
                <w:sz w:val="16"/>
              </w:rPr>
              <w:t>3</w:t>
            </w:r>
          </w:p>
        </w:tc>
        <w:tc>
          <w:tcPr>
            <w:tcW w:type="dxa" w:w="5386"/>
            <w:shd w:val="clear" w:color="auto" w:fill="FAFAFB"/>
            <w:vAlign w:val="center"/>
          </w:tcPr>
          <w:p>
            <w:pPr>
              <w:spacing w:after="20" w:line="252" w:lineRule="auto"/>
            </w:pPr>
            <w:r>
              <w:rPr>
                <w:sz w:val="16"/>
              </w:rPr>
              <w:t>Data &amp; AI team II</w:t>
            </w:r>
          </w:p>
        </w:tc>
        <w:tc>
          <w:tcPr>
            <w:tcW w:type="dxa" w:w="1701"/>
            <w:shd w:val="clear" w:color="auto" w:fill="FAFAFB"/>
            <w:vAlign w:val="center"/>
          </w:tcPr>
          <w:p>
            <w:pPr>
              <w:spacing w:after="20" w:line="252" w:lineRule="auto"/>
              <w:jc w:val="right"/>
            </w:pPr>
            <w:r>
              <w:rPr>
                <w:sz w:val="16"/>
              </w:rPr>
              <w:t>R19,000,000</w:t>
            </w:r>
          </w:p>
        </w:tc>
      </w:tr>
      <w:tr>
        <w:trPr>
          <w:cantSplit/>
        </w:trPr>
        <w:tc>
          <w:tcPr>
            <w:tcW w:type="dxa" w:w="680"/>
            <w:vAlign w:val="center"/>
          </w:tcPr>
          <w:p>
            <w:pPr>
              <w:spacing w:after="20" w:line="252" w:lineRule="auto"/>
            </w:pPr>
            <w:r>
              <w:rPr>
                <w:sz w:val="16"/>
              </w:rPr>
              <w:t>FY5</w:t>
            </w:r>
          </w:p>
        </w:tc>
        <w:tc>
          <w:tcPr>
            <w:tcW w:type="dxa" w:w="1304"/>
            <w:vAlign w:val="center"/>
          </w:tcPr>
          <w:p>
            <w:pPr>
              <w:spacing w:after="20" w:line="252" w:lineRule="auto"/>
            </w:pPr>
            <w:r>
              <w:rPr>
                <w:sz w:val="16"/>
              </w:rPr>
              <w:t>Mar 2031</w:t>
            </w:r>
          </w:p>
        </w:tc>
        <w:tc>
          <w:tcPr>
            <w:tcW w:type="dxa" w:w="567"/>
            <w:vAlign w:val="center"/>
          </w:tcPr>
          <w:p>
            <w:pPr>
              <w:spacing w:after="20" w:line="252" w:lineRule="auto"/>
              <w:jc w:val="right"/>
            </w:pPr>
            <w:r>
              <w:rPr>
                <w:sz w:val="16"/>
              </w:rPr>
              <w:t>4</w:t>
            </w:r>
          </w:p>
        </w:tc>
        <w:tc>
          <w:tcPr>
            <w:tcW w:type="dxa" w:w="5386"/>
            <w:vAlign w:val="center"/>
          </w:tcPr>
          <w:p>
            <w:pPr>
              <w:spacing w:after="20" w:line="252" w:lineRule="auto"/>
            </w:pPr>
            <w:r>
              <w:rPr>
                <w:sz w:val="16"/>
              </w:rPr>
              <w:t>Engineers (scale-up III)</w:t>
            </w:r>
          </w:p>
        </w:tc>
        <w:tc>
          <w:tcPr>
            <w:tcW w:type="dxa" w:w="1701"/>
            <w:vAlign w:val="center"/>
          </w:tcPr>
          <w:p>
            <w:pPr>
              <w:spacing w:after="20" w:line="252" w:lineRule="auto"/>
              <w:jc w:val="right"/>
            </w:pPr>
            <w:r>
              <w:rPr>
                <w:sz w:val="16"/>
              </w:rPr>
              <w:t>R17,000,000</w:t>
            </w:r>
          </w:p>
        </w:tc>
      </w:tr>
      <w:tr>
        <w:trPr>
          <w:cantSplit/>
        </w:trPr>
        <w:tc>
          <w:tcPr>
            <w:tcW w:type="dxa" w:w="680"/>
            <w:shd w:val="clear" w:color="auto" w:fill="FAFAFB"/>
            <w:vAlign w:val="center"/>
          </w:tcPr>
          <w:p>
            <w:pPr>
              <w:spacing w:after="20" w:line="252" w:lineRule="auto"/>
            </w:pPr>
            <w:r>
              <w:rPr>
                <w:sz w:val="16"/>
              </w:rPr>
              <w:t>FY5</w:t>
            </w:r>
          </w:p>
        </w:tc>
        <w:tc>
          <w:tcPr>
            <w:tcW w:type="dxa" w:w="1304"/>
            <w:shd w:val="clear" w:color="auto" w:fill="FAFAFB"/>
            <w:vAlign w:val="center"/>
          </w:tcPr>
          <w:p>
            <w:pPr>
              <w:spacing w:after="20" w:line="252" w:lineRule="auto"/>
            </w:pPr>
            <w:r>
              <w:rPr>
                <w:sz w:val="16"/>
              </w:rPr>
              <w:t>Nov 2030</w:t>
            </w:r>
          </w:p>
        </w:tc>
        <w:tc>
          <w:tcPr>
            <w:tcW w:type="dxa" w:w="567"/>
            <w:shd w:val="clear" w:color="auto" w:fill="FAFAFB"/>
            <w:vAlign w:val="center"/>
          </w:tcPr>
          <w:p>
            <w:pPr>
              <w:spacing w:after="20" w:line="252" w:lineRule="auto"/>
              <w:jc w:val="right"/>
            </w:pPr>
            <w:r>
              <w:rPr>
                <w:sz w:val="16"/>
              </w:rPr>
              <w:t>5</w:t>
            </w:r>
          </w:p>
        </w:tc>
        <w:tc>
          <w:tcPr>
            <w:tcW w:type="dxa" w:w="5386"/>
            <w:shd w:val="clear" w:color="auto" w:fill="FAFAFB"/>
            <w:vAlign w:val="center"/>
          </w:tcPr>
          <w:p>
            <w:pPr>
              <w:spacing w:after="20" w:line="252" w:lineRule="auto"/>
            </w:pPr>
            <w:r>
              <w:rPr>
                <w:sz w:val="16"/>
              </w:rPr>
              <w:t>Engineers (scale-up IV: social adapters &amp; integrations at scale)</w:t>
            </w:r>
          </w:p>
        </w:tc>
        <w:tc>
          <w:tcPr>
            <w:tcW w:type="dxa" w:w="1701"/>
            <w:shd w:val="clear" w:color="auto" w:fill="FAFAFB"/>
            <w:vAlign w:val="center"/>
          </w:tcPr>
          <w:p>
            <w:pPr>
              <w:spacing w:after="20" w:line="252" w:lineRule="auto"/>
              <w:jc w:val="right"/>
            </w:pPr>
            <w:r>
              <w:rPr>
                <w:sz w:val="16"/>
              </w:rPr>
              <w:t>R14,000,000</w:t>
            </w:r>
          </w:p>
        </w:tc>
      </w:tr>
      <w:tr>
        <w:trPr>
          <w:cantSplit/>
        </w:trPr>
        <w:tc>
          <w:tcPr>
            <w:tcW w:type="dxa" w:w="680"/>
            <w:vAlign w:val="center"/>
          </w:tcPr>
          <w:p>
            <w:pPr>
              <w:spacing w:after="20" w:line="252" w:lineRule="auto"/>
            </w:pPr>
            <w:r>
              <w:rPr>
                <w:sz w:val="16"/>
              </w:rPr>
              <w:t>FY5</w:t>
            </w:r>
          </w:p>
        </w:tc>
        <w:tc>
          <w:tcPr>
            <w:tcW w:type="dxa" w:w="1304"/>
            <w:vAlign w:val="center"/>
          </w:tcPr>
          <w:p>
            <w:pPr>
              <w:spacing w:after="20" w:line="252" w:lineRule="auto"/>
            </w:pPr>
            <w:r>
              <w:rPr>
                <w:sz w:val="16"/>
              </w:rPr>
              <w:t>Feb 2031</w:t>
            </w:r>
          </w:p>
        </w:tc>
        <w:tc>
          <w:tcPr>
            <w:tcW w:type="dxa" w:w="567"/>
            <w:vAlign w:val="center"/>
          </w:tcPr>
          <w:p>
            <w:pPr>
              <w:spacing w:after="20" w:line="252" w:lineRule="auto"/>
              <w:jc w:val="right"/>
            </w:pPr>
            <w:r>
              <w:rPr>
                <w:sz w:val="16"/>
              </w:rPr>
              <w:t>3</w:t>
            </w:r>
          </w:p>
        </w:tc>
        <w:tc>
          <w:tcPr>
            <w:tcW w:type="dxa" w:w="5386"/>
            <w:vAlign w:val="center"/>
          </w:tcPr>
          <w:p>
            <w:pPr>
              <w:spacing w:after="20" w:line="252" w:lineRule="auto"/>
            </w:pPr>
            <w:r>
              <w:rPr>
                <w:sz w:val="16"/>
              </w:rPr>
              <w:t>Finance, legal &amp; people team expansion</w:t>
            </w:r>
          </w:p>
        </w:tc>
        <w:tc>
          <w:tcPr>
            <w:tcW w:type="dxa" w:w="1701"/>
            <w:vAlign w:val="center"/>
          </w:tcPr>
          <w:p>
            <w:pPr>
              <w:spacing w:after="20" w:line="252" w:lineRule="auto"/>
              <w:jc w:val="right"/>
            </w:pPr>
            <w:r>
              <w:rPr>
                <w:sz w:val="16"/>
              </w:rPr>
              <w:t>R16,000,000</w:t>
            </w:r>
          </w:p>
        </w:tc>
      </w:tr>
      <w:tr>
        <w:trPr>
          <w:cantSplit/>
        </w:trPr>
        <w:tc>
          <w:tcPr>
            <w:tcW w:type="dxa" w:w="680"/>
            <w:shd w:val="clear" w:color="auto" w:fill="FAFAFB"/>
            <w:vAlign w:val="center"/>
          </w:tcPr>
          <w:p>
            <w:pPr>
              <w:spacing w:after="20" w:line="252" w:lineRule="auto"/>
            </w:pPr>
            <w:r>
              <w:rPr>
                <w:sz w:val="16"/>
              </w:rPr>
              <w:t>FY5</w:t>
            </w:r>
          </w:p>
        </w:tc>
        <w:tc>
          <w:tcPr>
            <w:tcW w:type="dxa" w:w="1304"/>
            <w:shd w:val="clear" w:color="auto" w:fill="FAFAFB"/>
            <w:vAlign w:val="center"/>
          </w:tcPr>
          <w:p>
            <w:pPr>
              <w:spacing w:after="20" w:line="252" w:lineRule="auto"/>
            </w:pPr>
            <w:r>
              <w:rPr>
                <w:sz w:val="16"/>
              </w:rPr>
              <w:t>Dec 2030</w:t>
            </w:r>
          </w:p>
        </w:tc>
        <w:tc>
          <w:tcPr>
            <w:tcW w:type="dxa" w:w="567"/>
            <w:shd w:val="clear" w:color="auto" w:fill="FAFAFB"/>
            <w:vAlign w:val="center"/>
          </w:tcPr>
          <w:p>
            <w:pPr>
              <w:spacing w:after="20" w:line="252" w:lineRule="auto"/>
              <w:jc w:val="right"/>
            </w:pPr>
            <w:r>
              <w:rPr>
                <w:sz w:val="16"/>
              </w:rPr>
              <w:t>4</w:t>
            </w:r>
          </w:p>
        </w:tc>
        <w:tc>
          <w:tcPr>
            <w:tcW w:type="dxa" w:w="5386"/>
            <w:shd w:val="clear" w:color="auto" w:fill="FAFAFB"/>
            <w:vAlign w:val="center"/>
          </w:tcPr>
          <w:p>
            <w:pPr>
              <w:spacing w:after="20" w:line="252" w:lineRule="auto"/>
            </w:pPr>
            <w:r>
              <w:rPr>
                <w:sz w:val="16"/>
              </w:rPr>
              <w:t>Marketing team expansion III</w:t>
            </w:r>
          </w:p>
        </w:tc>
        <w:tc>
          <w:tcPr>
            <w:tcW w:type="dxa" w:w="1701"/>
            <w:shd w:val="clear" w:color="auto" w:fill="FAFAFB"/>
            <w:vAlign w:val="center"/>
          </w:tcPr>
          <w:p>
            <w:pPr>
              <w:spacing w:after="20" w:line="252" w:lineRule="auto"/>
              <w:jc w:val="right"/>
            </w:pPr>
            <w:r>
              <w:rPr>
                <w:sz w:val="16"/>
              </w:rPr>
              <w:t>R15,000,000</w:t>
            </w:r>
          </w:p>
        </w:tc>
      </w:tr>
      <w:tr>
        <w:trPr>
          <w:cantSplit/>
        </w:trPr>
        <w:tc>
          <w:tcPr>
            <w:tcW w:type="dxa" w:w="680"/>
            <w:vAlign w:val="center"/>
          </w:tcPr>
          <w:p>
            <w:pPr>
              <w:spacing w:after="20" w:line="252" w:lineRule="auto"/>
            </w:pPr>
            <w:r>
              <w:rPr>
                <w:sz w:val="16"/>
              </w:rPr>
              <w:t>FY5</w:t>
            </w:r>
          </w:p>
        </w:tc>
        <w:tc>
          <w:tcPr>
            <w:tcW w:type="dxa" w:w="1304"/>
            <w:vAlign w:val="center"/>
          </w:tcPr>
          <w:p>
            <w:pPr>
              <w:spacing w:after="20" w:line="252" w:lineRule="auto"/>
            </w:pPr>
            <w:r>
              <w:rPr>
                <w:sz w:val="16"/>
              </w:rPr>
              <w:t>Nov 2030</w:t>
            </w:r>
          </w:p>
        </w:tc>
        <w:tc>
          <w:tcPr>
            <w:tcW w:type="dxa" w:w="567"/>
            <w:vAlign w:val="center"/>
          </w:tcPr>
          <w:p>
            <w:pPr>
              <w:spacing w:after="20" w:line="252" w:lineRule="auto"/>
              <w:jc w:val="right"/>
            </w:pPr>
            <w:r>
              <w:rPr>
                <w:sz w:val="16"/>
              </w:rPr>
              <w:t>2</w:t>
            </w:r>
          </w:p>
        </w:tc>
        <w:tc>
          <w:tcPr>
            <w:tcW w:type="dxa" w:w="5386"/>
            <w:vAlign w:val="center"/>
          </w:tcPr>
          <w:p>
            <w:pPr>
              <w:spacing w:after="20" w:line="252" w:lineRule="auto"/>
            </w:pPr>
            <w:r>
              <w:rPr>
                <w:sz w:val="16"/>
              </w:rPr>
              <w:t>Partnerships managers (scale-up III)</w:t>
            </w:r>
          </w:p>
        </w:tc>
        <w:tc>
          <w:tcPr>
            <w:tcW w:type="dxa" w:w="1701"/>
            <w:vAlign w:val="center"/>
          </w:tcPr>
          <w:p>
            <w:pPr>
              <w:spacing w:after="20" w:line="252" w:lineRule="auto"/>
              <w:jc w:val="right"/>
            </w:pPr>
            <w:r>
              <w:rPr>
                <w:sz w:val="16"/>
              </w:rPr>
              <w:t>R14,000,000</w:t>
            </w:r>
          </w:p>
        </w:tc>
      </w:tr>
      <w:tr>
        <w:trPr>
          <w:cantSplit/>
        </w:trPr>
        <w:tc>
          <w:tcPr>
            <w:tcW w:type="dxa" w:w="680"/>
            <w:shd w:val="clear" w:color="auto" w:fill="FAFAFB"/>
            <w:vAlign w:val="center"/>
          </w:tcPr>
          <w:p>
            <w:pPr>
              <w:spacing w:after="20" w:line="252" w:lineRule="auto"/>
            </w:pPr>
            <w:r>
              <w:rPr>
                <w:sz w:val="16"/>
              </w:rPr>
              <w:t>FY5</w:t>
            </w:r>
          </w:p>
        </w:tc>
        <w:tc>
          <w:tcPr>
            <w:tcW w:type="dxa" w:w="1304"/>
            <w:shd w:val="clear" w:color="auto" w:fill="FAFAFB"/>
            <w:vAlign w:val="center"/>
          </w:tcPr>
          <w:p>
            <w:pPr>
              <w:spacing w:after="20" w:line="252" w:lineRule="auto"/>
            </w:pPr>
            <w:r>
              <w:rPr>
                <w:sz w:val="16"/>
              </w:rPr>
              <w:t>Feb 2031</w:t>
            </w:r>
          </w:p>
        </w:tc>
        <w:tc>
          <w:tcPr>
            <w:tcW w:type="dxa" w:w="567"/>
            <w:shd w:val="clear" w:color="auto" w:fill="FAFAFB"/>
            <w:vAlign w:val="center"/>
          </w:tcPr>
          <w:p>
            <w:pPr>
              <w:spacing w:after="20" w:line="252" w:lineRule="auto"/>
              <w:jc w:val="right"/>
            </w:pPr>
            <w:r>
              <w:rPr>
                <w:sz w:val="16"/>
              </w:rPr>
              <w:t>4</w:t>
            </w:r>
          </w:p>
        </w:tc>
        <w:tc>
          <w:tcPr>
            <w:tcW w:type="dxa" w:w="5386"/>
            <w:shd w:val="clear" w:color="auto" w:fill="FAFAFB"/>
            <w:vAlign w:val="center"/>
          </w:tcPr>
          <w:p>
            <w:pPr>
              <w:spacing w:after="20" w:line="252" w:lineRule="auto"/>
            </w:pPr>
            <w:r>
              <w:rPr>
                <w:sz w:val="16"/>
              </w:rPr>
              <w:t>SME account managers II</w:t>
            </w:r>
          </w:p>
        </w:tc>
        <w:tc>
          <w:tcPr>
            <w:tcW w:type="dxa" w:w="1701"/>
            <w:shd w:val="clear" w:color="auto" w:fill="FAFAFB"/>
            <w:vAlign w:val="center"/>
          </w:tcPr>
          <w:p>
            <w:pPr>
              <w:spacing w:after="20" w:line="252" w:lineRule="auto"/>
              <w:jc w:val="right"/>
            </w:pPr>
            <w:r>
              <w:rPr>
                <w:sz w:val="16"/>
              </w:rPr>
              <w:t>R16,000,000</w:t>
            </w:r>
          </w:p>
        </w:tc>
      </w:tr>
    </w:tbl>
    <w:p>
      <w:pPr>
        <w:spacing w:after="0" w:line="120" w:lineRule="exact"/>
      </w:pPr>
    </w:p>
    <w:p>
      <w:pPr>
        <w:spacing w:after="200"/>
      </w:pPr>
      <w:r>
        <w:rPr>
          <w:color w:val="5B6570"/>
          <w:sz w:val="17"/>
        </w:rPr>
        <w:t>Source: FluxMuse Financial Model v2 (Base case), 11 September 2026.</w:t>
      </w:r>
    </w:p>
    <w:p>
      <w:pPr>
        <w:pStyle w:val="Heading1"/>
        <w:pageBreakBefore/>
      </w:pPr>
      <w:r>
        <w:rPr/>
        <w:t>12. Financial plan</w:t>
      </w:r>
    </w:p>
    <w:p>
      <w:r>
        <w:rPr/>
        <w:t xml:space="preserve">Every figure in this section comes from the </w:t>
      </w:r>
      <w:r>
        <w:rPr>
          <w:b/>
        </w:rPr>
        <w:t>FluxMuse Financial Model v2</w:t>
      </w:r>
      <w:r>
        <w:rPr/>
        <w:t xml:space="preserve"> (model date 11 September 2026), Base case unless stated. The workbook carries the monthly build; this section summarises it. </w:t>
      </w:r>
      <w:r>
        <w:rPr>
          <w:b/>
        </w:rPr>
        <w:t>These are forward-looking projections, not results</w:t>
      </w:r>
      <w:r>
        <w:rPr/>
        <w:t>, and the assumptions most likely to move are listed in Appendix E.</w:t>
      </w:r>
    </w:p>
    <w:p>
      <w:pPr>
        <w:pStyle w:val="Heading2"/>
      </w:pPr>
      <w:r>
        <w:rPr/>
        <w:t>Key assumptions</w:t>
      </w:r>
    </w:p>
    <w:p>
      <w:pPr>
        <w:pStyle w:val="ListBullet"/>
      </w:pPr>
      <w:r>
        <w:rPr>
          <w:b/>
        </w:rPr>
        <w:t>Timing.</w:t>
      </w:r>
      <w:r>
        <w:rPr/>
        <w:t xml:space="preserve"> Month 1 is October 2026; the fiscal year runs October to September. The R25m seed is modelled to land in </w:t>
      </w:r>
      <w:r>
        <w:rPr>
          <w:b/>
        </w:rPr>
        <w:t>February 2027</w:t>
      </w:r>
      <w:r>
        <w:rPr/>
        <w:t>. Until then the business runs lean: two founders on reduced salaries, lean hosting and overheads, pilot costs, and no paid marketing or hiring.</w:t>
      </w:r>
    </w:p>
    <w:p>
      <w:pPr>
        <w:pStyle w:val="ListBullet"/>
      </w:pPr>
      <w:r>
        <w:rPr>
          <w:b/>
        </w:rPr>
        <w:t>Pilot.</w:t>
      </w:r>
      <w:r>
        <w:rPr/>
        <w:t xml:space="preserve"> 12 Gauteng brands pay nothing in October and November 2026; 75% convert on 1 December 2026 at pilot prices for two bills. South Africa launches commercially on 1 December 2026.</w:t>
      </w:r>
    </w:p>
    <w:p>
      <w:pPr>
        <w:pStyle w:val="ListBullet"/>
      </w:pPr>
      <w:r>
        <w:rPr>
          <w:b/>
        </w:rPr>
        <w:t>Pricing.</w:t>
      </w:r>
      <w:r>
        <w:rPr/>
        <w:t xml:space="preserve"> ZAR list prices; fixed local price points in Nigeria, Kenya and Ghana; US dollars in the other 19 rail-covered countries. Annual plans are 10× monthly and are 25% of subscriptions. A 6% list escalator applies each October.</w:t>
      </w:r>
    </w:p>
    <w:p>
      <w:pPr>
        <w:pStyle w:val="ListBullet"/>
      </w:pPr>
      <w:r>
        <w:rPr>
          <w:b/>
        </w:rPr>
        <w:t>Segments.</w:t>
      </w:r>
      <w:r>
        <w:rPr/>
        <w:t xml:space="preserve"> Self-serve trials split 65% solo and 35% SME, converting at 11% and 14%. Agencies come through the partner programme and country leads. Enterprise is inbound only.</w:t>
      </w:r>
    </w:p>
    <w:p>
      <w:pPr>
        <w:pStyle w:val="ListBullet"/>
      </w:pPr>
      <w:r>
        <w:rPr>
          <w:b/>
        </w:rPr>
        <w:t>Cost discipline.</w:t>
      </w:r>
      <w:r>
        <w:rPr/>
        <w:t xml:space="preserve"> Hiring and market launches wait for net MRR gates; paid acquisition is capped at R40,000 plus 35% of last month's net MRR; paid spend switches off where CAC payback would exceed 12 months.</w:t>
      </w:r>
    </w:p>
    <w:p>
      <w:pPr>
        <w:pStyle w:val="ListBullet"/>
      </w:pPr>
      <w:r>
        <w:rPr>
          <w:b/>
        </w:rPr>
        <w:t>Funding.</w:t>
      </w:r>
      <w:r>
        <w:rPr/>
        <w:t xml:space="preserve"> The R25m seed only. The Series A input is kept at zero in every scenario.</w:t>
      </w:r>
    </w:p>
    <w:p>
      <w:pPr>
        <w:pStyle w:val="ListBullet"/>
      </w:pPr>
      <w:r>
        <w:rPr>
          <w:b/>
        </w:rPr>
        <w:t>Tax</w:t>
      </w:r>
      <w:r>
        <w:rPr/>
        <w:t xml:space="preserve"> at 27%, and only once cumulative EBITDA turns positive. Depreciation, amortisation and interest are ignored.</w:t>
      </w:r>
    </w:p>
    <w:p>
      <w:pPr>
        <w:pStyle w:val="Heading2"/>
      </w:pPr>
      <w:r>
        <w:rPr/>
        <w:t>Revenue build</w:t>
      </w:r>
    </w:p>
    <w:p>
      <w:r>
        <w:rPr/>
        <w:t>Revenue is mostly recurring subscriptions, plus AI-credit top-ups, WhatsApp messaging resold at Meta cost plus a margin, and setup fees. There is no commerce fee in the Base case.</w:t>
      </w:r>
    </w:p>
    <w:p>
      <w:pPr>
        <w:keepNext/>
        <w:spacing w:before="120" w:after="0"/>
        <w:jc w:val="center"/>
      </w:pPr>
      <w:r>
        <w:drawing>
          <wp:inline xmlns:a="http://schemas.openxmlformats.org/drawingml/2006/main" xmlns:pic="http://schemas.openxmlformats.org/drawingml/2006/picture">
            <wp:extent cx="4896000" cy="3060000"/>
            <wp:docPr id="16" name="Picture 16" descr="Stacked bar chart of revenue by stream rising from R3.4 million in FY1 to R238.0 million in FY5, dominated by subscriptions, with smaller AI-credit top-up, WhatsApp messaging and setup-fee layers."/>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896000" cy="3060000"/>
                    </a:xfrm>
                    <a:prstGeom prst="rect"/>
                  </pic:spPr>
                </pic:pic>
              </a:graphicData>
            </a:graphic>
          </wp:inline>
        </w:drawing>
      </w:r>
    </w:p>
    <w:p>
      <w:pPr>
        <w:pStyle w:val="Caption"/>
        <w:jc w:val="center"/>
      </w:pPr>
      <w:r>
        <w:rPr>
          <w:b/>
        </w:rPr>
        <w:t>Figure 15.</w:t>
      </w:r>
      <w:r>
        <w:rPr/>
        <w:t xml:space="preserve"> Revenue by stream, FY1–FY5 (Base case), net of launch discounts.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venue by stream (R million, Base case)"/>
      </w:tblPr>
      <w:tblGrid>
        <w:gridCol w:w="2607"/>
        <w:gridCol w:w="1405"/>
        <w:gridCol w:w="1405"/>
        <w:gridCol w:w="1405"/>
        <w:gridCol w:w="1405"/>
        <w:gridCol w:w="1405"/>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R million unless stated</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FY1</w:t>
            </w:r>
          </w:p>
          <w:p>
            <w:pPr>
              <w:keepNext/>
              <w:spacing w:after="20" w:line="252" w:lineRule="auto"/>
              <w:jc w:val="right"/>
            </w:pPr>
            <w:r>
              <w:rPr>
                <w:rFonts w:ascii="Poppins" w:hAnsi="Poppins" w:cs="Poppins" w:eastAsia="Poppins"/>
                <w:b/>
                <w:color w:val="20242B"/>
                <w:sz w:val="19"/>
              </w:rPr>
              <w:t>Oct 2026–Sep 2027</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FY2</w:t>
            </w:r>
          </w:p>
          <w:p>
            <w:pPr>
              <w:keepNext/>
              <w:spacing w:after="20" w:line="252" w:lineRule="auto"/>
              <w:jc w:val="right"/>
            </w:pPr>
            <w:r>
              <w:rPr>
                <w:rFonts w:ascii="Poppins" w:hAnsi="Poppins" w:cs="Poppins" w:eastAsia="Poppins"/>
                <w:b/>
                <w:color w:val="20242B"/>
                <w:sz w:val="19"/>
              </w:rPr>
              <w:t>Oct 2027–Sep 2028</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FY3</w:t>
            </w:r>
          </w:p>
          <w:p>
            <w:pPr>
              <w:keepNext/>
              <w:spacing w:after="20" w:line="252" w:lineRule="auto"/>
              <w:jc w:val="right"/>
            </w:pPr>
            <w:r>
              <w:rPr>
                <w:rFonts w:ascii="Poppins" w:hAnsi="Poppins" w:cs="Poppins" w:eastAsia="Poppins"/>
                <w:b/>
                <w:color w:val="20242B"/>
                <w:sz w:val="19"/>
              </w:rPr>
              <w:t>Oct 2028–Sep 2029</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FY4</w:t>
            </w:r>
          </w:p>
          <w:p>
            <w:pPr>
              <w:keepNext/>
              <w:spacing w:after="20" w:line="252" w:lineRule="auto"/>
              <w:jc w:val="right"/>
            </w:pPr>
            <w:r>
              <w:rPr>
                <w:rFonts w:ascii="Poppins" w:hAnsi="Poppins" w:cs="Poppins" w:eastAsia="Poppins"/>
                <w:b/>
                <w:color w:val="20242B"/>
                <w:sz w:val="19"/>
              </w:rPr>
              <w:t>Oct 2029–Sep 2030</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FY5</w:t>
            </w:r>
          </w:p>
          <w:p>
            <w:pPr>
              <w:keepNext/>
              <w:spacing w:after="20" w:line="252" w:lineRule="auto"/>
              <w:jc w:val="right"/>
            </w:pPr>
            <w:r>
              <w:rPr>
                <w:rFonts w:ascii="Poppins" w:hAnsi="Poppins" w:cs="Poppins" w:eastAsia="Poppins"/>
                <w:b/>
                <w:color w:val="20242B"/>
                <w:sz w:val="19"/>
              </w:rPr>
              <w:t>Oct 2030–Sep 2031</w:t>
            </w:r>
          </w:p>
        </w:tc>
      </w:tr>
      <w:tr>
        <w:trPr>
          <w:cantSplit/>
        </w:trPr>
        <w:tc>
          <w:tcPr>
            <w:tcW w:type="dxa" w:w="2608"/>
            <w:vAlign w:val="center"/>
          </w:tcPr>
          <w:p>
            <w:pPr>
              <w:spacing w:after="20" w:line="252" w:lineRule="auto"/>
            </w:pPr>
            <w:r>
              <w:rPr>
                <w:b/>
                <w:sz w:val="19"/>
              </w:rPr>
              <w:t>Subscriptions (net)</w:t>
            </w:r>
          </w:p>
        </w:tc>
        <w:tc>
          <w:tcPr>
            <w:tcW w:type="dxa" w:w="1406"/>
            <w:vAlign w:val="center"/>
          </w:tcPr>
          <w:p>
            <w:pPr>
              <w:spacing w:after="20" w:line="252" w:lineRule="auto"/>
              <w:jc w:val="right"/>
            </w:pPr>
            <w:r>
              <w:rPr>
                <w:sz w:val="19"/>
              </w:rPr>
              <w:t>R2.9m</w:t>
            </w:r>
          </w:p>
        </w:tc>
        <w:tc>
          <w:tcPr>
            <w:tcW w:type="dxa" w:w="1406"/>
            <w:vAlign w:val="center"/>
          </w:tcPr>
          <w:p>
            <w:pPr>
              <w:spacing w:after="20" w:line="252" w:lineRule="auto"/>
              <w:jc w:val="right"/>
            </w:pPr>
            <w:r>
              <w:rPr>
                <w:sz w:val="19"/>
              </w:rPr>
              <w:t>R21.8m</w:t>
            </w:r>
          </w:p>
        </w:tc>
        <w:tc>
          <w:tcPr>
            <w:tcW w:type="dxa" w:w="1406"/>
            <w:vAlign w:val="center"/>
          </w:tcPr>
          <w:p>
            <w:pPr>
              <w:spacing w:after="20" w:line="252" w:lineRule="auto"/>
              <w:jc w:val="right"/>
            </w:pPr>
            <w:r>
              <w:rPr>
                <w:sz w:val="19"/>
              </w:rPr>
              <w:t>R64.8m</w:t>
            </w:r>
          </w:p>
        </w:tc>
        <w:tc>
          <w:tcPr>
            <w:tcW w:type="dxa" w:w="1406"/>
            <w:vAlign w:val="center"/>
          </w:tcPr>
          <w:p>
            <w:pPr>
              <w:spacing w:after="20" w:line="252" w:lineRule="auto"/>
              <w:jc w:val="right"/>
            </w:pPr>
            <w:r>
              <w:rPr>
                <w:sz w:val="19"/>
              </w:rPr>
              <w:t>R129.5m</w:t>
            </w:r>
          </w:p>
        </w:tc>
        <w:tc>
          <w:tcPr>
            <w:tcW w:type="dxa" w:w="1406"/>
            <w:vAlign w:val="center"/>
          </w:tcPr>
          <w:p>
            <w:pPr>
              <w:spacing w:after="20" w:line="252" w:lineRule="auto"/>
              <w:jc w:val="right"/>
            </w:pPr>
            <w:r>
              <w:rPr>
                <w:sz w:val="19"/>
              </w:rPr>
              <w:t>R213.8m</w:t>
            </w:r>
          </w:p>
        </w:tc>
      </w:tr>
      <w:tr>
        <w:trPr>
          <w:cantSplit/>
        </w:trPr>
        <w:tc>
          <w:tcPr>
            <w:tcW w:type="dxa" w:w="2608"/>
            <w:shd w:val="clear" w:color="auto" w:fill="FAFAFB"/>
            <w:vAlign w:val="center"/>
          </w:tcPr>
          <w:p>
            <w:pPr>
              <w:spacing w:after="20" w:line="252" w:lineRule="auto"/>
            </w:pPr>
            <w:r>
              <w:rPr>
                <w:b/>
                <w:sz w:val="19"/>
              </w:rPr>
              <w:t>AI-credit top-ups</w:t>
            </w:r>
          </w:p>
        </w:tc>
        <w:tc>
          <w:tcPr>
            <w:tcW w:type="dxa" w:w="1406"/>
            <w:shd w:val="clear" w:color="auto" w:fill="FAFAFB"/>
            <w:vAlign w:val="center"/>
          </w:tcPr>
          <w:p>
            <w:pPr>
              <w:spacing w:after="20" w:line="252" w:lineRule="auto"/>
              <w:jc w:val="right"/>
            </w:pPr>
            <w:r>
              <w:rPr>
                <w:sz w:val="19"/>
              </w:rPr>
              <w:t>R0.06m</w:t>
            </w:r>
          </w:p>
        </w:tc>
        <w:tc>
          <w:tcPr>
            <w:tcW w:type="dxa" w:w="1406"/>
            <w:shd w:val="clear" w:color="auto" w:fill="FAFAFB"/>
            <w:vAlign w:val="center"/>
          </w:tcPr>
          <w:p>
            <w:pPr>
              <w:spacing w:after="20" w:line="252" w:lineRule="auto"/>
              <w:jc w:val="right"/>
            </w:pPr>
            <w:r>
              <w:rPr>
                <w:sz w:val="19"/>
              </w:rPr>
              <w:t>R0.47m</w:t>
            </w:r>
          </w:p>
        </w:tc>
        <w:tc>
          <w:tcPr>
            <w:tcW w:type="dxa" w:w="1406"/>
            <w:shd w:val="clear" w:color="auto" w:fill="FAFAFB"/>
            <w:vAlign w:val="center"/>
          </w:tcPr>
          <w:p>
            <w:pPr>
              <w:spacing w:after="20" w:line="252" w:lineRule="auto"/>
              <w:jc w:val="right"/>
            </w:pPr>
            <w:r>
              <w:rPr>
                <w:sz w:val="19"/>
              </w:rPr>
              <w:t>R1.34m</w:t>
            </w:r>
          </w:p>
        </w:tc>
        <w:tc>
          <w:tcPr>
            <w:tcW w:type="dxa" w:w="1406"/>
            <w:shd w:val="clear" w:color="auto" w:fill="FAFAFB"/>
            <w:vAlign w:val="center"/>
          </w:tcPr>
          <w:p>
            <w:pPr>
              <w:spacing w:after="20" w:line="252" w:lineRule="auto"/>
              <w:jc w:val="right"/>
            </w:pPr>
            <w:r>
              <w:rPr>
                <w:sz w:val="19"/>
              </w:rPr>
              <w:t>R2.56m</w:t>
            </w:r>
          </w:p>
        </w:tc>
        <w:tc>
          <w:tcPr>
            <w:tcW w:type="dxa" w:w="1406"/>
            <w:shd w:val="clear" w:color="auto" w:fill="FAFAFB"/>
            <w:vAlign w:val="center"/>
          </w:tcPr>
          <w:p>
            <w:pPr>
              <w:spacing w:after="20" w:line="252" w:lineRule="auto"/>
              <w:jc w:val="right"/>
            </w:pPr>
            <w:r>
              <w:rPr>
                <w:sz w:val="19"/>
              </w:rPr>
              <w:t>R4.06m</w:t>
            </w:r>
          </w:p>
        </w:tc>
      </w:tr>
      <w:tr>
        <w:trPr>
          <w:cantSplit/>
        </w:trPr>
        <w:tc>
          <w:tcPr>
            <w:tcW w:type="dxa" w:w="2608"/>
            <w:vAlign w:val="center"/>
          </w:tcPr>
          <w:p>
            <w:pPr>
              <w:spacing w:after="20" w:line="252" w:lineRule="auto"/>
            </w:pPr>
            <w:r>
              <w:rPr>
                <w:b/>
                <w:sz w:val="19"/>
              </w:rPr>
              <w:t>WhatsApp messaging</w:t>
            </w:r>
          </w:p>
        </w:tc>
        <w:tc>
          <w:tcPr>
            <w:tcW w:type="dxa" w:w="1406"/>
            <w:vAlign w:val="center"/>
          </w:tcPr>
          <w:p>
            <w:pPr>
              <w:spacing w:after="20" w:line="252" w:lineRule="auto"/>
              <w:jc w:val="right"/>
            </w:pPr>
            <w:r>
              <w:rPr>
                <w:sz w:val="19"/>
              </w:rPr>
              <w:t>R0.33m</w:t>
            </w:r>
          </w:p>
        </w:tc>
        <w:tc>
          <w:tcPr>
            <w:tcW w:type="dxa" w:w="1406"/>
            <w:vAlign w:val="center"/>
          </w:tcPr>
          <w:p>
            <w:pPr>
              <w:spacing w:after="20" w:line="252" w:lineRule="auto"/>
              <w:jc w:val="right"/>
            </w:pPr>
            <w:r>
              <w:rPr>
                <w:sz w:val="19"/>
              </w:rPr>
              <w:t>R2.23m</w:t>
            </w:r>
          </w:p>
        </w:tc>
        <w:tc>
          <w:tcPr>
            <w:tcW w:type="dxa" w:w="1406"/>
            <w:vAlign w:val="center"/>
          </w:tcPr>
          <w:p>
            <w:pPr>
              <w:spacing w:after="20" w:line="252" w:lineRule="auto"/>
              <w:jc w:val="right"/>
            </w:pPr>
            <w:r>
              <w:rPr>
                <w:sz w:val="19"/>
              </w:rPr>
              <w:t>R6.34m</w:t>
            </w:r>
          </w:p>
        </w:tc>
        <w:tc>
          <w:tcPr>
            <w:tcW w:type="dxa" w:w="1406"/>
            <w:vAlign w:val="center"/>
          </w:tcPr>
          <w:p>
            <w:pPr>
              <w:spacing w:after="20" w:line="252" w:lineRule="auto"/>
              <w:jc w:val="right"/>
            </w:pPr>
            <w:r>
              <w:rPr>
                <w:sz w:val="19"/>
              </w:rPr>
              <w:t>R12.08m</w:t>
            </w:r>
          </w:p>
        </w:tc>
        <w:tc>
          <w:tcPr>
            <w:tcW w:type="dxa" w:w="1406"/>
            <w:vAlign w:val="center"/>
          </w:tcPr>
          <w:p>
            <w:pPr>
              <w:spacing w:after="20" w:line="252" w:lineRule="auto"/>
              <w:jc w:val="right"/>
            </w:pPr>
            <w:r>
              <w:rPr>
                <w:sz w:val="19"/>
              </w:rPr>
              <w:t>R19.10m</w:t>
            </w:r>
          </w:p>
        </w:tc>
      </w:tr>
      <w:tr>
        <w:trPr>
          <w:cantSplit/>
        </w:trPr>
        <w:tc>
          <w:tcPr>
            <w:tcW w:type="dxa" w:w="2608"/>
            <w:shd w:val="clear" w:color="auto" w:fill="FAFAFB"/>
            <w:vAlign w:val="center"/>
          </w:tcPr>
          <w:p>
            <w:pPr>
              <w:spacing w:after="20" w:line="252" w:lineRule="auto"/>
            </w:pPr>
            <w:r>
              <w:rPr>
                <w:b/>
                <w:sz w:val="19"/>
              </w:rPr>
              <w:t>Setup fees (enterprise and agency)</w:t>
            </w:r>
          </w:p>
        </w:tc>
        <w:tc>
          <w:tcPr>
            <w:tcW w:type="dxa" w:w="1406"/>
            <w:shd w:val="clear" w:color="auto" w:fill="FAFAFB"/>
            <w:vAlign w:val="center"/>
          </w:tcPr>
          <w:p>
            <w:pPr>
              <w:spacing w:after="20" w:line="252" w:lineRule="auto"/>
              <w:jc w:val="right"/>
            </w:pPr>
            <w:r>
              <w:rPr>
                <w:sz w:val="19"/>
              </w:rPr>
              <w:t>R0.11m</w:t>
            </w:r>
          </w:p>
        </w:tc>
        <w:tc>
          <w:tcPr>
            <w:tcW w:type="dxa" w:w="1406"/>
            <w:shd w:val="clear" w:color="auto" w:fill="FAFAFB"/>
            <w:vAlign w:val="center"/>
          </w:tcPr>
          <w:p>
            <w:pPr>
              <w:spacing w:after="20" w:line="252" w:lineRule="auto"/>
              <w:jc w:val="right"/>
            </w:pPr>
            <w:r>
              <w:rPr>
                <w:sz w:val="19"/>
              </w:rPr>
              <w:t>R0.32m</w:t>
            </w:r>
          </w:p>
        </w:tc>
        <w:tc>
          <w:tcPr>
            <w:tcW w:type="dxa" w:w="1406"/>
            <w:shd w:val="clear" w:color="auto" w:fill="FAFAFB"/>
            <w:vAlign w:val="center"/>
          </w:tcPr>
          <w:p>
            <w:pPr>
              <w:spacing w:after="20" w:line="252" w:lineRule="auto"/>
              <w:jc w:val="right"/>
            </w:pPr>
            <w:r>
              <w:rPr>
                <w:sz w:val="19"/>
              </w:rPr>
              <w:t>R0.57m</w:t>
            </w:r>
          </w:p>
        </w:tc>
        <w:tc>
          <w:tcPr>
            <w:tcW w:type="dxa" w:w="1406"/>
            <w:shd w:val="clear" w:color="auto" w:fill="FAFAFB"/>
            <w:vAlign w:val="center"/>
          </w:tcPr>
          <w:p>
            <w:pPr>
              <w:spacing w:after="20" w:line="252" w:lineRule="auto"/>
              <w:jc w:val="right"/>
            </w:pPr>
            <w:r>
              <w:rPr>
                <w:sz w:val="19"/>
              </w:rPr>
              <w:t>R0.78m</w:t>
            </w:r>
          </w:p>
        </w:tc>
        <w:tc>
          <w:tcPr>
            <w:tcW w:type="dxa" w:w="1406"/>
            <w:shd w:val="clear" w:color="auto" w:fill="FAFAFB"/>
            <w:vAlign w:val="center"/>
          </w:tcPr>
          <w:p>
            <w:pPr>
              <w:spacing w:after="20" w:line="252" w:lineRule="auto"/>
              <w:jc w:val="right"/>
            </w:pPr>
            <w:r>
              <w:rPr>
                <w:sz w:val="19"/>
              </w:rPr>
              <w:t>R1.04m</w:t>
            </w:r>
          </w:p>
        </w:tc>
      </w:tr>
      <w:tr>
        <w:trPr>
          <w:cantSplit/>
        </w:trPr>
        <w:tc>
          <w:tcPr>
            <w:tcW w:type="dxa" w:w="2608"/>
            <w:shd w:val="clear" w:color="auto" w:fill="FFF4EB"/>
            <w:vAlign w:val="center"/>
          </w:tcPr>
          <w:p>
            <w:pPr>
              <w:spacing w:after="20" w:line="252" w:lineRule="auto"/>
            </w:pPr>
            <w:r>
              <w:rPr>
                <w:b/>
                <w:sz w:val="19"/>
              </w:rPr>
              <w:t>Total revenue</w:t>
            </w:r>
          </w:p>
        </w:tc>
        <w:tc>
          <w:tcPr>
            <w:tcW w:type="dxa" w:w="1406"/>
            <w:shd w:val="clear" w:color="auto" w:fill="FFF4EB"/>
            <w:vAlign w:val="center"/>
          </w:tcPr>
          <w:p>
            <w:pPr>
              <w:spacing w:after="20" w:line="252" w:lineRule="auto"/>
              <w:jc w:val="right"/>
            </w:pPr>
            <w:r>
              <w:rPr>
                <w:b/>
                <w:sz w:val="19"/>
              </w:rPr>
              <w:t>R3.4m</w:t>
            </w:r>
          </w:p>
        </w:tc>
        <w:tc>
          <w:tcPr>
            <w:tcW w:type="dxa" w:w="1406"/>
            <w:shd w:val="clear" w:color="auto" w:fill="FFF4EB"/>
            <w:vAlign w:val="center"/>
          </w:tcPr>
          <w:p>
            <w:pPr>
              <w:spacing w:after="20" w:line="252" w:lineRule="auto"/>
              <w:jc w:val="right"/>
            </w:pPr>
            <w:r>
              <w:rPr>
                <w:b/>
                <w:sz w:val="19"/>
              </w:rPr>
              <w:t>R24.9m</w:t>
            </w:r>
          </w:p>
        </w:tc>
        <w:tc>
          <w:tcPr>
            <w:tcW w:type="dxa" w:w="1406"/>
            <w:shd w:val="clear" w:color="auto" w:fill="FFF4EB"/>
            <w:vAlign w:val="center"/>
          </w:tcPr>
          <w:p>
            <w:pPr>
              <w:spacing w:after="20" w:line="252" w:lineRule="auto"/>
              <w:jc w:val="right"/>
            </w:pPr>
            <w:r>
              <w:rPr>
                <w:b/>
                <w:sz w:val="19"/>
              </w:rPr>
              <w:t>R73.1m</w:t>
            </w:r>
          </w:p>
        </w:tc>
        <w:tc>
          <w:tcPr>
            <w:tcW w:type="dxa" w:w="1406"/>
            <w:shd w:val="clear" w:color="auto" w:fill="FFF4EB"/>
            <w:vAlign w:val="center"/>
          </w:tcPr>
          <w:p>
            <w:pPr>
              <w:spacing w:after="20" w:line="252" w:lineRule="auto"/>
              <w:jc w:val="right"/>
            </w:pPr>
            <w:r>
              <w:rPr>
                <w:b/>
                <w:sz w:val="19"/>
              </w:rPr>
              <w:t>R144.9m</w:t>
            </w:r>
          </w:p>
        </w:tc>
        <w:tc>
          <w:tcPr>
            <w:tcW w:type="dxa" w:w="1406"/>
            <w:shd w:val="clear" w:color="auto" w:fill="FFF4EB"/>
            <w:vAlign w:val="center"/>
          </w:tcPr>
          <w:p>
            <w:pPr>
              <w:spacing w:after="20" w:line="252" w:lineRule="auto"/>
              <w:jc w:val="right"/>
            </w:pPr>
            <w:r>
              <w:rPr>
                <w:b/>
                <w:sz w:val="19"/>
              </w:rPr>
              <w:t>R238.0m</w:t>
            </w:r>
          </w:p>
        </w:tc>
      </w:tr>
      <w:tr>
        <w:trPr>
          <w:cantSplit/>
        </w:trPr>
        <w:tc>
          <w:tcPr>
            <w:tcW w:type="dxa" w:w="2608"/>
            <w:shd w:val="clear" w:color="auto" w:fill="FAFAFB"/>
            <w:vAlign w:val="center"/>
          </w:tcPr>
          <w:p>
            <w:pPr>
              <w:spacing w:after="20" w:line="252" w:lineRule="auto"/>
            </w:pPr>
            <w:r>
              <w:rPr>
                <w:b/>
                <w:sz w:val="19"/>
              </w:rPr>
              <w:t>Total revenue (US$ m)</w:t>
            </w:r>
          </w:p>
        </w:tc>
        <w:tc>
          <w:tcPr>
            <w:tcW w:type="dxa" w:w="1406"/>
            <w:shd w:val="clear" w:color="auto" w:fill="FAFAFB"/>
            <w:vAlign w:val="center"/>
          </w:tcPr>
          <w:p>
            <w:pPr>
              <w:spacing w:after="20" w:line="252" w:lineRule="auto"/>
              <w:jc w:val="right"/>
            </w:pPr>
            <w:r>
              <w:rPr>
                <w:sz w:val="19"/>
              </w:rPr>
              <w:t>US$0.19m</w:t>
            </w:r>
          </w:p>
        </w:tc>
        <w:tc>
          <w:tcPr>
            <w:tcW w:type="dxa" w:w="1406"/>
            <w:shd w:val="clear" w:color="auto" w:fill="FAFAFB"/>
            <w:vAlign w:val="center"/>
          </w:tcPr>
          <w:p>
            <w:pPr>
              <w:spacing w:after="20" w:line="252" w:lineRule="auto"/>
              <w:jc w:val="right"/>
            </w:pPr>
            <w:r>
              <w:rPr>
                <w:sz w:val="19"/>
              </w:rPr>
              <w:t>US$1.34m</w:t>
            </w:r>
          </w:p>
        </w:tc>
        <w:tc>
          <w:tcPr>
            <w:tcW w:type="dxa" w:w="1406"/>
            <w:shd w:val="clear" w:color="auto" w:fill="FAFAFB"/>
            <w:vAlign w:val="center"/>
          </w:tcPr>
          <w:p>
            <w:pPr>
              <w:spacing w:after="20" w:line="252" w:lineRule="auto"/>
              <w:jc w:val="right"/>
            </w:pPr>
            <w:r>
              <w:rPr>
                <w:sz w:val="19"/>
              </w:rPr>
              <w:t>US$3.95m</w:t>
            </w:r>
          </w:p>
        </w:tc>
        <w:tc>
          <w:tcPr>
            <w:tcW w:type="dxa" w:w="1406"/>
            <w:shd w:val="clear" w:color="auto" w:fill="FAFAFB"/>
            <w:vAlign w:val="center"/>
          </w:tcPr>
          <w:p>
            <w:pPr>
              <w:spacing w:after="20" w:line="252" w:lineRule="auto"/>
              <w:jc w:val="right"/>
            </w:pPr>
            <w:r>
              <w:rPr>
                <w:sz w:val="19"/>
              </w:rPr>
              <w:t>US$7.83m</w:t>
            </w:r>
          </w:p>
        </w:tc>
        <w:tc>
          <w:tcPr>
            <w:tcW w:type="dxa" w:w="1406"/>
            <w:shd w:val="clear" w:color="auto" w:fill="FAFAFB"/>
            <w:vAlign w:val="center"/>
          </w:tcPr>
          <w:p>
            <w:pPr>
              <w:spacing w:after="20" w:line="252" w:lineRule="auto"/>
              <w:jc w:val="right"/>
            </w:pPr>
            <w:r>
              <w:rPr>
                <w:sz w:val="19"/>
              </w:rPr>
              <w:t>US$12.86m</w:t>
            </w:r>
          </w:p>
        </w:tc>
      </w:tr>
      <w:tr>
        <w:trPr>
          <w:cantSplit/>
        </w:trPr>
        <w:tc>
          <w:tcPr>
            <w:tcW w:type="dxa" w:w="2608"/>
            <w:vAlign w:val="center"/>
          </w:tcPr>
          <w:p>
            <w:pPr>
              <w:spacing w:after="20" w:line="252" w:lineRule="auto"/>
            </w:pPr>
            <w:r>
              <w:rPr>
                <w:b/>
                <w:sz w:val="19"/>
              </w:rPr>
              <w:t>Growth on prior year</w:t>
            </w:r>
          </w:p>
        </w:tc>
        <w:tc>
          <w:tcPr>
            <w:tcW w:type="dxa" w:w="1406"/>
            <w:vAlign w:val="center"/>
          </w:tcPr>
          <w:p>
            <w:pPr>
              <w:spacing w:after="20" w:line="252" w:lineRule="auto"/>
              <w:jc w:val="right"/>
            </w:pPr>
            <w:r>
              <w:rPr>
                <w:sz w:val="19"/>
              </w:rPr>
              <w:t>n/a</w:t>
            </w:r>
          </w:p>
        </w:tc>
        <w:tc>
          <w:tcPr>
            <w:tcW w:type="dxa" w:w="1406"/>
            <w:vAlign w:val="center"/>
          </w:tcPr>
          <w:p>
            <w:pPr>
              <w:spacing w:after="20" w:line="252" w:lineRule="auto"/>
              <w:jc w:val="right"/>
            </w:pPr>
            <w:r>
              <w:rPr>
                <w:sz w:val="19"/>
              </w:rPr>
              <w:t>622%</w:t>
            </w:r>
          </w:p>
        </w:tc>
        <w:tc>
          <w:tcPr>
            <w:tcW w:type="dxa" w:w="1406"/>
            <w:vAlign w:val="center"/>
          </w:tcPr>
          <w:p>
            <w:pPr>
              <w:spacing w:after="20" w:line="252" w:lineRule="auto"/>
              <w:jc w:val="right"/>
            </w:pPr>
            <w:r>
              <w:rPr>
                <w:sz w:val="19"/>
              </w:rPr>
              <w:t>194%</w:t>
            </w:r>
          </w:p>
        </w:tc>
        <w:tc>
          <w:tcPr>
            <w:tcW w:type="dxa" w:w="1406"/>
            <w:vAlign w:val="center"/>
          </w:tcPr>
          <w:p>
            <w:pPr>
              <w:spacing w:after="20" w:line="252" w:lineRule="auto"/>
              <w:jc w:val="right"/>
            </w:pPr>
            <w:r>
              <w:rPr>
                <w:sz w:val="19"/>
              </w:rPr>
              <w:t>98%</w:t>
            </w:r>
          </w:p>
        </w:tc>
        <w:tc>
          <w:tcPr>
            <w:tcW w:type="dxa" w:w="1406"/>
            <w:vAlign w:val="center"/>
          </w:tcPr>
          <w:p>
            <w:pPr>
              <w:spacing w:after="20" w:line="252" w:lineRule="auto"/>
              <w:jc w:val="right"/>
            </w:pPr>
            <w:r>
              <w:rPr>
                <w:sz w:val="19"/>
              </w:rPr>
              <w:t>64%</w:t>
            </w:r>
          </w:p>
        </w:tc>
      </w:tr>
    </w:tbl>
    <w:p>
      <w:pPr>
        <w:spacing w:after="0" w:line="120" w:lineRule="exact"/>
      </w:pPr>
    </w:p>
    <w:p>
      <w:pPr>
        <w:spacing w:after="200"/>
      </w:pPr>
      <w:r>
        <w:rPr>
          <w:color w:val="5B6570"/>
          <w:sz w:val="17"/>
        </w:rPr>
        <w:t>Source: FluxMuse Financial Model v2 (Base case), 11 September 2026.</w:t>
      </w:r>
    </w:p>
    <w:p>
      <w:pPr>
        <w:keepNext/>
        <w:spacing w:before="120" w:after="0"/>
        <w:jc w:val="center"/>
      </w:pPr>
      <w:r>
        <w:drawing>
          <wp:inline xmlns:a="http://schemas.openxmlformats.org/drawingml/2006/main" xmlns:pic="http://schemas.openxmlformats.org/drawingml/2006/picture">
            <wp:extent cx="4896000" cy="3060000"/>
            <wp:docPr id="17" name="Picture 17" descr="Two bar charts: subscription ARR rising from R8.1 million in FY1 to R249 million in FY5, and paying workspaces rising from 421 to 8,816."/>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896000" cy="3060000"/>
                    </a:xfrm>
                    <a:prstGeom prst="rect"/>
                  </pic:spPr>
                </pic:pic>
              </a:graphicData>
            </a:graphic>
          </wp:inline>
        </w:drawing>
      </w:r>
    </w:p>
    <w:p>
      <w:pPr>
        <w:pStyle w:val="Caption"/>
        <w:jc w:val="center"/>
      </w:pPr>
      <w:r>
        <w:rPr>
          <w:b/>
        </w:rPr>
        <w:t>Figure 16.</w:t>
      </w:r>
      <w:r>
        <w:rPr/>
        <w:t xml:space="preserve"> Subscription ARR and paying workspaces at each year end (Base case).</w:t>
      </w:r>
    </w:p>
    <w:p>
      <w:pPr>
        <w:keepNext/>
        <w:spacing w:before="120" w:after="0"/>
        <w:jc w:val="center"/>
      </w:pPr>
      <w:r>
        <w:drawing>
          <wp:inline xmlns:a="http://schemas.openxmlformats.org/drawingml/2006/main" xmlns:pic="http://schemas.openxmlformats.org/drawingml/2006/picture">
            <wp:extent cx="4896000" cy="3060000"/>
            <wp:docPr id="18" name="Picture 18" descr="Stacked bars of paying workspaces by segment from 422 in FY1 to 8,816 in FY5, with solo at 4,173 and SMEs at 4,305 by FY5, agencies 321 and enterprise 17."/>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896000" cy="3060000"/>
                    </a:xfrm>
                    <a:prstGeom prst="rect"/>
                  </pic:spPr>
                </pic:pic>
              </a:graphicData>
            </a:graphic>
          </wp:inline>
        </w:drawing>
      </w:r>
    </w:p>
    <w:p>
      <w:pPr>
        <w:pStyle w:val="Caption"/>
        <w:jc w:val="center"/>
      </w:pPr>
      <w:r>
        <w:rPr>
          <w:b/>
        </w:rPr>
        <w:t>Figure 17.</w:t>
      </w:r>
      <w:r>
        <w:rPr/>
        <w:t xml:space="preserve"> Paying workspaces by segment (Base case).</w:t>
      </w:r>
    </w:p>
    <w:p>
      <w:pPr>
        <w:keepNext/>
        <w:spacing w:before="120" w:after="0"/>
        <w:jc w:val="center"/>
      </w:pPr>
      <w:r>
        <w:drawing>
          <wp:inline xmlns:a="http://schemas.openxmlformats.org/drawingml/2006/main" xmlns:pic="http://schemas.openxmlformats.org/drawingml/2006/picture">
            <wp:extent cx="4896000" cy="3060000"/>
            <wp:docPr id="19" name="Picture 19" descr="Area chart of paying workspaces by market to September 2031: South Africa 5,724, Nigeria 1,275, Kenya 837, Ghana 548 and Rest of Africa in US dollars 433, about 35% outside South Africa."/>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896000" cy="3060000"/>
                    </a:xfrm>
                    <a:prstGeom prst="rect"/>
                  </pic:spPr>
                </pic:pic>
              </a:graphicData>
            </a:graphic>
          </wp:inline>
        </w:drawing>
      </w:r>
    </w:p>
    <w:p>
      <w:pPr>
        <w:pStyle w:val="Caption"/>
        <w:jc w:val="center"/>
      </w:pPr>
      <w:r>
        <w:rPr>
          <w:b/>
        </w:rPr>
        <w:t>Figure 18.</w:t>
      </w:r>
      <w:r>
        <w:rPr/>
        <w:t xml:space="preserve"> Paying workspaces by market (Base case). Gated countries are zero throughout.</w:t>
      </w:r>
    </w:p>
    <w:p>
      <w:pPr>
        <w:pStyle w:val="Heading2"/>
      </w:pPr>
      <w:r>
        <w:rPr/>
        <w:t>Profit and loss summary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mp;L summary (R million, Base case)"/>
      </w:tblPr>
      <w:tblGrid>
        <w:gridCol w:w="2607"/>
        <w:gridCol w:w="1405"/>
        <w:gridCol w:w="1405"/>
        <w:gridCol w:w="1405"/>
        <w:gridCol w:w="1405"/>
        <w:gridCol w:w="1405"/>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R million unless stated</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FY1</w:t>
            </w:r>
          </w:p>
          <w:p>
            <w:pPr>
              <w:keepNext/>
              <w:spacing w:after="20" w:line="252" w:lineRule="auto"/>
              <w:jc w:val="right"/>
            </w:pPr>
            <w:r>
              <w:rPr>
                <w:rFonts w:ascii="Poppins" w:hAnsi="Poppins" w:cs="Poppins" w:eastAsia="Poppins"/>
                <w:b/>
                <w:color w:val="20242B"/>
                <w:sz w:val="19"/>
              </w:rPr>
              <w:t>Oct 2026–Sep 2027</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FY2</w:t>
            </w:r>
          </w:p>
          <w:p>
            <w:pPr>
              <w:keepNext/>
              <w:spacing w:after="20" w:line="252" w:lineRule="auto"/>
              <w:jc w:val="right"/>
            </w:pPr>
            <w:r>
              <w:rPr>
                <w:rFonts w:ascii="Poppins" w:hAnsi="Poppins" w:cs="Poppins" w:eastAsia="Poppins"/>
                <w:b/>
                <w:color w:val="20242B"/>
                <w:sz w:val="19"/>
              </w:rPr>
              <w:t>Oct 2027–Sep 2028</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FY3</w:t>
            </w:r>
          </w:p>
          <w:p>
            <w:pPr>
              <w:keepNext/>
              <w:spacing w:after="20" w:line="252" w:lineRule="auto"/>
              <w:jc w:val="right"/>
            </w:pPr>
            <w:r>
              <w:rPr>
                <w:rFonts w:ascii="Poppins" w:hAnsi="Poppins" w:cs="Poppins" w:eastAsia="Poppins"/>
                <w:b/>
                <w:color w:val="20242B"/>
                <w:sz w:val="19"/>
              </w:rPr>
              <w:t>Oct 2028–Sep 2029</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FY4</w:t>
            </w:r>
          </w:p>
          <w:p>
            <w:pPr>
              <w:keepNext/>
              <w:spacing w:after="20" w:line="252" w:lineRule="auto"/>
              <w:jc w:val="right"/>
            </w:pPr>
            <w:r>
              <w:rPr>
                <w:rFonts w:ascii="Poppins" w:hAnsi="Poppins" w:cs="Poppins" w:eastAsia="Poppins"/>
                <w:b/>
                <w:color w:val="20242B"/>
                <w:sz w:val="19"/>
              </w:rPr>
              <w:t>Oct 2029–Sep 2030</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FY5</w:t>
            </w:r>
          </w:p>
          <w:p>
            <w:pPr>
              <w:keepNext/>
              <w:spacing w:after="20" w:line="252" w:lineRule="auto"/>
              <w:jc w:val="right"/>
            </w:pPr>
            <w:r>
              <w:rPr>
                <w:rFonts w:ascii="Poppins" w:hAnsi="Poppins" w:cs="Poppins" w:eastAsia="Poppins"/>
                <w:b/>
                <w:color w:val="20242B"/>
                <w:sz w:val="19"/>
              </w:rPr>
              <w:t>Oct 2030–Sep 2031</w:t>
            </w:r>
          </w:p>
        </w:tc>
      </w:tr>
      <w:tr>
        <w:trPr>
          <w:cantSplit/>
        </w:trPr>
        <w:tc>
          <w:tcPr>
            <w:tcW w:type="dxa" w:w="2608"/>
            <w:vAlign w:val="center"/>
          </w:tcPr>
          <w:p>
            <w:pPr>
              <w:spacing w:after="20" w:line="252" w:lineRule="auto"/>
            </w:pPr>
            <w:r>
              <w:rPr>
                <w:b/>
                <w:sz w:val="19"/>
              </w:rPr>
              <w:t>Revenue</w:t>
            </w:r>
          </w:p>
        </w:tc>
        <w:tc>
          <w:tcPr>
            <w:tcW w:type="dxa" w:w="1406"/>
            <w:vAlign w:val="center"/>
          </w:tcPr>
          <w:p>
            <w:pPr>
              <w:spacing w:after="20" w:line="252" w:lineRule="auto"/>
              <w:jc w:val="right"/>
            </w:pPr>
            <w:r>
              <w:rPr>
                <w:sz w:val="19"/>
              </w:rPr>
              <w:t>R3.4m</w:t>
            </w:r>
          </w:p>
        </w:tc>
        <w:tc>
          <w:tcPr>
            <w:tcW w:type="dxa" w:w="1406"/>
            <w:vAlign w:val="center"/>
          </w:tcPr>
          <w:p>
            <w:pPr>
              <w:spacing w:after="20" w:line="252" w:lineRule="auto"/>
              <w:jc w:val="right"/>
            </w:pPr>
            <w:r>
              <w:rPr>
                <w:sz w:val="19"/>
              </w:rPr>
              <w:t>R24.9m</w:t>
            </w:r>
          </w:p>
        </w:tc>
        <w:tc>
          <w:tcPr>
            <w:tcW w:type="dxa" w:w="1406"/>
            <w:vAlign w:val="center"/>
          </w:tcPr>
          <w:p>
            <w:pPr>
              <w:spacing w:after="20" w:line="252" w:lineRule="auto"/>
              <w:jc w:val="right"/>
            </w:pPr>
            <w:r>
              <w:rPr>
                <w:sz w:val="19"/>
              </w:rPr>
              <w:t>R73.1m</w:t>
            </w:r>
          </w:p>
        </w:tc>
        <w:tc>
          <w:tcPr>
            <w:tcW w:type="dxa" w:w="1406"/>
            <w:vAlign w:val="center"/>
          </w:tcPr>
          <w:p>
            <w:pPr>
              <w:spacing w:after="20" w:line="252" w:lineRule="auto"/>
              <w:jc w:val="right"/>
            </w:pPr>
            <w:r>
              <w:rPr>
                <w:sz w:val="19"/>
              </w:rPr>
              <w:t>R144.9m</w:t>
            </w:r>
          </w:p>
        </w:tc>
        <w:tc>
          <w:tcPr>
            <w:tcW w:type="dxa" w:w="1406"/>
            <w:vAlign w:val="center"/>
          </w:tcPr>
          <w:p>
            <w:pPr>
              <w:spacing w:after="20" w:line="252" w:lineRule="auto"/>
              <w:jc w:val="right"/>
            </w:pPr>
            <w:r>
              <w:rPr>
                <w:sz w:val="19"/>
              </w:rPr>
              <w:t>R238.0m</w:t>
            </w:r>
          </w:p>
        </w:tc>
      </w:tr>
      <w:tr>
        <w:trPr>
          <w:cantSplit/>
        </w:trPr>
        <w:tc>
          <w:tcPr>
            <w:tcW w:type="dxa" w:w="2608"/>
            <w:shd w:val="clear" w:color="auto" w:fill="FAFAFB"/>
            <w:vAlign w:val="center"/>
          </w:tcPr>
          <w:p>
            <w:pPr>
              <w:spacing w:after="20" w:line="252" w:lineRule="auto"/>
            </w:pPr>
            <w:r>
              <w:rPr>
                <w:b/>
                <w:sz w:val="19"/>
              </w:rPr>
              <w:t>Cost of revenue</w:t>
            </w:r>
          </w:p>
        </w:tc>
        <w:tc>
          <w:tcPr>
            <w:tcW w:type="dxa" w:w="1406"/>
            <w:shd w:val="clear" w:color="auto" w:fill="FAFAFB"/>
            <w:vAlign w:val="center"/>
          </w:tcPr>
          <w:p>
            <w:pPr>
              <w:spacing w:after="20" w:line="252" w:lineRule="auto"/>
              <w:jc w:val="right"/>
            </w:pPr>
            <w:r>
              <w:rPr>
                <w:sz w:val="19"/>
              </w:rPr>
              <w:t>R1.8m</w:t>
            </w:r>
          </w:p>
        </w:tc>
        <w:tc>
          <w:tcPr>
            <w:tcW w:type="dxa" w:w="1406"/>
            <w:shd w:val="clear" w:color="auto" w:fill="FAFAFB"/>
            <w:vAlign w:val="center"/>
          </w:tcPr>
          <w:p>
            <w:pPr>
              <w:spacing w:after="20" w:line="252" w:lineRule="auto"/>
              <w:jc w:val="right"/>
            </w:pPr>
            <w:r>
              <w:rPr>
                <w:sz w:val="19"/>
              </w:rPr>
              <w:t>R8.3m</w:t>
            </w:r>
          </w:p>
        </w:tc>
        <w:tc>
          <w:tcPr>
            <w:tcW w:type="dxa" w:w="1406"/>
            <w:shd w:val="clear" w:color="auto" w:fill="FAFAFB"/>
            <w:vAlign w:val="center"/>
          </w:tcPr>
          <w:p>
            <w:pPr>
              <w:spacing w:after="20" w:line="252" w:lineRule="auto"/>
              <w:jc w:val="right"/>
            </w:pPr>
            <w:r>
              <w:rPr>
                <w:sz w:val="19"/>
              </w:rPr>
              <w:t>R20.7m</w:t>
            </w:r>
          </w:p>
        </w:tc>
        <w:tc>
          <w:tcPr>
            <w:tcW w:type="dxa" w:w="1406"/>
            <w:shd w:val="clear" w:color="auto" w:fill="FAFAFB"/>
            <w:vAlign w:val="center"/>
          </w:tcPr>
          <w:p>
            <w:pPr>
              <w:spacing w:after="20" w:line="252" w:lineRule="auto"/>
              <w:jc w:val="right"/>
            </w:pPr>
            <w:r>
              <w:rPr>
                <w:sz w:val="19"/>
              </w:rPr>
              <w:t>R36.8m</w:t>
            </w:r>
          </w:p>
        </w:tc>
        <w:tc>
          <w:tcPr>
            <w:tcW w:type="dxa" w:w="1406"/>
            <w:shd w:val="clear" w:color="auto" w:fill="FAFAFB"/>
            <w:vAlign w:val="center"/>
          </w:tcPr>
          <w:p>
            <w:pPr>
              <w:spacing w:after="20" w:line="252" w:lineRule="auto"/>
              <w:jc w:val="right"/>
            </w:pPr>
            <w:r>
              <w:rPr>
                <w:sz w:val="19"/>
              </w:rPr>
              <w:t>R57.2m</w:t>
            </w:r>
          </w:p>
        </w:tc>
      </w:tr>
      <w:tr>
        <w:trPr>
          <w:cantSplit/>
        </w:trPr>
        <w:tc>
          <w:tcPr>
            <w:tcW w:type="dxa" w:w="2608"/>
            <w:shd w:val="clear" w:color="auto" w:fill="FFF4EB"/>
            <w:vAlign w:val="center"/>
          </w:tcPr>
          <w:p>
            <w:pPr>
              <w:spacing w:after="20" w:line="252" w:lineRule="auto"/>
            </w:pPr>
            <w:r>
              <w:rPr>
                <w:b/>
                <w:sz w:val="19"/>
              </w:rPr>
              <w:t>Gross profit</w:t>
            </w:r>
          </w:p>
        </w:tc>
        <w:tc>
          <w:tcPr>
            <w:tcW w:type="dxa" w:w="1406"/>
            <w:shd w:val="clear" w:color="auto" w:fill="FFF4EB"/>
            <w:vAlign w:val="center"/>
          </w:tcPr>
          <w:p>
            <w:pPr>
              <w:spacing w:after="20" w:line="252" w:lineRule="auto"/>
              <w:jc w:val="right"/>
            </w:pPr>
            <w:r>
              <w:rPr>
                <w:b/>
                <w:sz w:val="19"/>
              </w:rPr>
              <w:t>R1.6m</w:t>
            </w:r>
          </w:p>
        </w:tc>
        <w:tc>
          <w:tcPr>
            <w:tcW w:type="dxa" w:w="1406"/>
            <w:shd w:val="clear" w:color="auto" w:fill="FFF4EB"/>
            <w:vAlign w:val="center"/>
          </w:tcPr>
          <w:p>
            <w:pPr>
              <w:spacing w:after="20" w:line="252" w:lineRule="auto"/>
              <w:jc w:val="right"/>
            </w:pPr>
            <w:r>
              <w:rPr>
                <w:b/>
                <w:sz w:val="19"/>
              </w:rPr>
              <w:t>R16.6m</w:t>
            </w:r>
          </w:p>
        </w:tc>
        <w:tc>
          <w:tcPr>
            <w:tcW w:type="dxa" w:w="1406"/>
            <w:shd w:val="clear" w:color="auto" w:fill="FFF4EB"/>
            <w:vAlign w:val="center"/>
          </w:tcPr>
          <w:p>
            <w:pPr>
              <w:spacing w:after="20" w:line="252" w:lineRule="auto"/>
              <w:jc w:val="right"/>
            </w:pPr>
            <w:r>
              <w:rPr>
                <w:b/>
                <w:sz w:val="19"/>
              </w:rPr>
              <w:t>R52.3m</w:t>
            </w:r>
          </w:p>
        </w:tc>
        <w:tc>
          <w:tcPr>
            <w:tcW w:type="dxa" w:w="1406"/>
            <w:shd w:val="clear" w:color="auto" w:fill="FFF4EB"/>
            <w:vAlign w:val="center"/>
          </w:tcPr>
          <w:p>
            <w:pPr>
              <w:spacing w:after="20" w:line="252" w:lineRule="auto"/>
              <w:jc w:val="right"/>
            </w:pPr>
            <w:r>
              <w:rPr>
                <w:b/>
                <w:sz w:val="19"/>
              </w:rPr>
              <w:t>R108.1m</w:t>
            </w:r>
          </w:p>
        </w:tc>
        <w:tc>
          <w:tcPr>
            <w:tcW w:type="dxa" w:w="1406"/>
            <w:shd w:val="clear" w:color="auto" w:fill="FFF4EB"/>
            <w:vAlign w:val="center"/>
          </w:tcPr>
          <w:p>
            <w:pPr>
              <w:spacing w:after="20" w:line="252" w:lineRule="auto"/>
              <w:jc w:val="right"/>
            </w:pPr>
            <w:r>
              <w:rPr>
                <w:b/>
                <w:sz w:val="19"/>
              </w:rPr>
              <w:t>R180.7m</w:t>
            </w:r>
          </w:p>
        </w:tc>
      </w:tr>
      <w:tr>
        <w:trPr>
          <w:cantSplit/>
        </w:trPr>
        <w:tc>
          <w:tcPr>
            <w:tcW w:type="dxa" w:w="2608"/>
            <w:shd w:val="clear" w:color="auto" w:fill="FAFAFB"/>
            <w:vAlign w:val="center"/>
          </w:tcPr>
          <w:p>
            <w:pPr>
              <w:spacing w:after="20" w:line="252" w:lineRule="auto"/>
            </w:pPr>
            <w:r>
              <w:rPr>
                <w:b/>
                <w:sz w:val="19"/>
              </w:rPr>
              <w:t>Gross margin</w:t>
            </w:r>
          </w:p>
        </w:tc>
        <w:tc>
          <w:tcPr>
            <w:tcW w:type="dxa" w:w="1406"/>
            <w:shd w:val="clear" w:color="auto" w:fill="FAFAFB"/>
            <w:vAlign w:val="center"/>
          </w:tcPr>
          <w:p>
            <w:pPr>
              <w:spacing w:after="20" w:line="252" w:lineRule="auto"/>
              <w:jc w:val="right"/>
            </w:pPr>
            <w:r>
              <w:rPr>
                <w:sz w:val="19"/>
              </w:rPr>
              <w:t>47%</w:t>
            </w:r>
          </w:p>
        </w:tc>
        <w:tc>
          <w:tcPr>
            <w:tcW w:type="dxa" w:w="1406"/>
            <w:shd w:val="clear" w:color="auto" w:fill="FAFAFB"/>
            <w:vAlign w:val="center"/>
          </w:tcPr>
          <w:p>
            <w:pPr>
              <w:spacing w:after="20" w:line="252" w:lineRule="auto"/>
              <w:jc w:val="right"/>
            </w:pPr>
            <w:r>
              <w:rPr>
                <w:sz w:val="19"/>
              </w:rPr>
              <w:t>67%</w:t>
            </w:r>
          </w:p>
        </w:tc>
        <w:tc>
          <w:tcPr>
            <w:tcW w:type="dxa" w:w="1406"/>
            <w:shd w:val="clear" w:color="auto" w:fill="FAFAFB"/>
            <w:vAlign w:val="center"/>
          </w:tcPr>
          <w:p>
            <w:pPr>
              <w:spacing w:after="20" w:line="252" w:lineRule="auto"/>
              <w:jc w:val="right"/>
            </w:pPr>
            <w:r>
              <w:rPr>
                <w:sz w:val="19"/>
              </w:rPr>
              <w:t>72%</w:t>
            </w:r>
          </w:p>
        </w:tc>
        <w:tc>
          <w:tcPr>
            <w:tcW w:type="dxa" w:w="1406"/>
            <w:shd w:val="clear" w:color="auto" w:fill="FAFAFB"/>
            <w:vAlign w:val="center"/>
          </w:tcPr>
          <w:p>
            <w:pPr>
              <w:spacing w:after="20" w:line="252" w:lineRule="auto"/>
              <w:jc w:val="right"/>
            </w:pPr>
            <w:r>
              <w:rPr>
                <w:sz w:val="19"/>
              </w:rPr>
              <w:t>75%</w:t>
            </w:r>
          </w:p>
        </w:tc>
        <w:tc>
          <w:tcPr>
            <w:tcW w:type="dxa" w:w="1406"/>
            <w:shd w:val="clear" w:color="auto" w:fill="FAFAFB"/>
            <w:vAlign w:val="center"/>
          </w:tcPr>
          <w:p>
            <w:pPr>
              <w:spacing w:after="20" w:line="252" w:lineRule="auto"/>
              <w:jc w:val="right"/>
            </w:pPr>
            <w:r>
              <w:rPr>
                <w:sz w:val="19"/>
              </w:rPr>
              <w:t>76%</w:t>
            </w:r>
          </w:p>
        </w:tc>
      </w:tr>
      <w:tr>
        <w:trPr>
          <w:cantSplit/>
        </w:trPr>
        <w:tc>
          <w:tcPr>
            <w:tcW w:type="dxa" w:w="2608"/>
            <w:vAlign w:val="center"/>
          </w:tcPr>
          <w:p>
            <w:pPr>
              <w:spacing w:after="20" w:line="252" w:lineRule="auto"/>
            </w:pPr>
            <w:r>
              <w:rPr>
                <w:b/>
                <w:sz w:val="19"/>
              </w:rPr>
              <w:t>Software gross margin</w:t>
            </w:r>
          </w:p>
        </w:tc>
        <w:tc>
          <w:tcPr>
            <w:tcW w:type="dxa" w:w="1406"/>
            <w:vAlign w:val="center"/>
          </w:tcPr>
          <w:p>
            <w:pPr>
              <w:spacing w:after="20" w:line="252" w:lineRule="auto"/>
              <w:jc w:val="right"/>
            </w:pPr>
            <w:r>
              <w:rPr>
                <w:sz w:val="19"/>
              </w:rPr>
              <w:t>50%</w:t>
            </w:r>
          </w:p>
        </w:tc>
        <w:tc>
          <w:tcPr>
            <w:tcW w:type="dxa" w:w="1406"/>
            <w:vAlign w:val="center"/>
          </w:tcPr>
          <w:p>
            <w:pPr>
              <w:spacing w:after="20" w:line="252" w:lineRule="auto"/>
              <w:jc w:val="right"/>
            </w:pPr>
            <w:r>
              <w:rPr>
                <w:sz w:val="19"/>
              </w:rPr>
              <w:t>72%</w:t>
            </w:r>
          </w:p>
        </w:tc>
        <w:tc>
          <w:tcPr>
            <w:tcW w:type="dxa" w:w="1406"/>
            <w:vAlign w:val="center"/>
          </w:tcPr>
          <w:p>
            <w:pPr>
              <w:spacing w:after="20" w:line="252" w:lineRule="auto"/>
              <w:jc w:val="right"/>
            </w:pPr>
            <w:r>
              <w:rPr>
                <w:sz w:val="19"/>
              </w:rPr>
              <w:t>77%</w:t>
            </w:r>
          </w:p>
        </w:tc>
        <w:tc>
          <w:tcPr>
            <w:tcW w:type="dxa" w:w="1406"/>
            <w:vAlign w:val="center"/>
          </w:tcPr>
          <w:p>
            <w:pPr>
              <w:spacing w:after="20" w:line="252" w:lineRule="auto"/>
              <w:jc w:val="right"/>
            </w:pPr>
            <w:r>
              <w:rPr>
                <w:sz w:val="19"/>
              </w:rPr>
              <w:t>80%</w:t>
            </w:r>
          </w:p>
        </w:tc>
        <w:tc>
          <w:tcPr>
            <w:tcW w:type="dxa" w:w="1406"/>
            <w:vAlign w:val="center"/>
          </w:tcPr>
          <w:p>
            <w:pPr>
              <w:spacing w:after="20" w:line="252" w:lineRule="auto"/>
              <w:jc w:val="right"/>
            </w:pPr>
            <w:r>
              <w:rPr>
                <w:sz w:val="19"/>
              </w:rPr>
              <w:t>81%</w:t>
            </w:r>
          </w:p>
        </w:tc>
      </w:tr>
      <w:tr>
        <w:trPr>
          <w:cantSplit/>
        </w:trPr>
        <w:tc>
          <w:tcPr>
            <w:tcW w:type="dxa" w:w="2608"/>
            <w:shd w:val="clear" w:color="auto" w:fill="FAFAFB"/>
            <w:vAlign w:val="center"/>
          </w:tcPr>
          <w:p>
            <w:pPr>
              <w:spacing w:after="20" w:line="252" w:lineRule="auto"/>
            </w:pPr>
            <w:r>
              <w:rPr>
                <w:b/>
                <w:sz w:val="19"/>
              </w:rPr>
              <w:t>Operating expenses</w:t>
            </w:r>
          </w:p>
        </w:tc>
        <w:tc>
          <w:tcPr>
            <w:tcW w:type="dxa" w:w="1406"/>
            <w:shd w:val="clear" w:color="auto" w:fill="FAFAFB"/>
            <w:vAlign w:val="center"/>
          </w:tcPr>
          <w:p>
            <w:pPr>
              <w:spacing w:after="20" w:line="252" w:lineRule="auto"/>
              <w:jc w:val="right"/>
            </w:pPr>
            <w:r>
              <w:rPr>
                <w:sz w:val="19"/>
              </w:rPr>
              <w:t>R8.7m</w:t>
            </w:r>
          </w:p>
        </w:tc>
        <w:tc>
          <w:tcPr>
            <w:tcW w:type="dxa" w:w="1406"/>
            <w:shd w:val="clear" w:color="auto" w:fill="FAFAFB"/>
            <w:vAlign w:val="center"/>
          </w:tcPr>
          <w:p>
            <w:pPr>
              <w:spacing w:after="20" w:line="252" w:lineRule="auto"/>
              <w:jc w:val="right"/>
            </w:pPr>
            <w:r>
              <w:rPr>
                <w:sz w:val="19"/>
              </w:rPr>
              <w:t>R30.3m</w:t>
            </w:r>
          </w:p>
        </w:tc>
        <w:tc>
          <w:tcPr>
            <w:tcW w:type="dxa" w:w="1406"/>
            <w:shd w:val="clear" w:color="auto" w:fill="FAFAFB"/>
            <w:vAlign w:val="center"/>
          </w:tcPr>
          <w:p>
            <w:pPr>
              <w:spacing w:after="20" w:line="252" w:lineRule="auto"/>
              <w:jc w:val="right"/>
            </w:pPr>
            <w:r>
              <w:rPr>
                <w:sz w:val="19"/>
              </w:rPr>
              <w:t>R51.8m</w:t>
            </w:r>
          </w:p>
        </w:tc>
        <w:tc>
          <w:tcPr>
            <w:tcW w:type="dxa" w:w="1406"/>
            <w:shd w:val="clear" w:color="auto" w:fill="FAFAFB"/>
            <w:vAlign w:val="center"/>
          </w:tcPr>
          <w:p>
            <w:pPr>
              <w:spacing w:after="20" w:line="252" w:lineRule="auto"/>
              <w:jc w:val="right"/>
            </w:pPr>
            <w:r>
              <w:rPr>
                <w:sz w:val="19"/>
              </w:rPr>
              <w:t>R76.6m</w:t>
            </w:r>
          </w:p>
        </w:tc>
        <w:tc>
          <w:tcPr>
            <w:tcW w:type="dxa" w:w="1406"/>
            <w:shd w:val="clear" w:color="auto" w:fill="FAFAFB"/>
            <w:vAlign w:val="center"/>
          </w:tcPr>
          <w:p>
            <w:pPr>
              <w:spacing w:after="20" w:line="252" w:lineRule="auto"/>
              <w:jc w:val="right"/>
            </w:pPr>
            <w:r>
              <w:rPr>
                <w:sz w:val="19"/>
              </w:rPr>
              <w:t>R114.5m</w:t>
            </w:r>
          </w:p>
        </w:tc>
      </w:tr>
      <w:tr>
        <w:trPr>
          <w:cantSplit/>
        </w:trPr>
        <w:tc>
          <w:tcPr>
            <w:tcW w:type="dxa" w:w="2608"/>
            <w:shd w:val="clear" w:color="auto" w:fill="FFF4EB"/>
            <w:vAlign w:val="center"/>
          </w:tcPr>
          <w:p>
            <w:pPr>
              <w:spacing w:after="20" w:line="252" w:lineRule="auto"/>
            </w:pPr>
            <w:r>
              <w:rPr>
                <w:b/>
                <w:sz w:val="19"/>
              </w:rPr>
              <w:t>EBITDA</w:t>
            </w:r>
          </w:p>
        </w:tc>
        <w:tc>
          <w:tcPr>
            <w:tcW w:type="dxa" w:w="1406"/>
            <w:shd w:val="clear" w:color="auto" w:fill="FFF4EB"/>
            <w:vAlign w:val="center"/>
          </w:tcPr>
          <w:p>
            <w:pPr>
              <w:spacing w:after="20" w:line="252" w:lineRule="auto"/>
              <w:jc w:val="right"/>
            </w:pPr>
            <w:r>
              <w:rPr>
                <w:b/>
                <w:sz w:val="19"/>
              </w:rPr>
              <w:t>R-7.1m</w:t>
            </w:r>
          </w:p>
        </w:tc>
        <w:tc>
          <w:tcPr>
            <w:tcW w:type="dxa" w:w="1406"/>
            <w:shd w:val="clear" w:color="auto" w:fill="FFF4EB"/>
            <w:vAlign w:val="center"/>
          </w:tcPr>
          <w:p>
            <w:pPr>
              <w:spacing w:after="20" w:line="252" w:lineRule="auto"/>
              <w:jc w:val="right"/>
            </w:pPr>
            <w:r>
              <w:rPr>
                <w:b/>
                <w:sz w:val="19"/>
              </w:rPr>
              <w:t>R-13.7m</w:t>
            </w:r>
          </w:p>
        </w:tc>
        <w:tc>
          <w:tcPr>
            <w:tcW w:type="dxa" w:w="1406"/>
            <w:shd w:val="clear" w:color="auto" w:fill="FFF4EB"/>
            <w:vAlign w:val="center"/>
          </w:tcPr>
          <w:p>
            <w:pPr>
              <w:spacing w:after="20" w:line="252" w:lineRule="auto"/>
              <w:jc w:val="right"/>
            </w:pPr>
            <w:r>
              <w:rPr>
                <w:b/>
                <w:sz w:val="19"/>
              </w:rPr>
              <w:t>R0.5m</w:t>
            </w:r>
          </w:p>
        </w:tc>
        <w:tc>
          <w:tcPr>
            <w:tcW w:type="dxa" w:w="1406"/>
            <w:shd w:val="clear" w:color="auto" w:fill="FFF4EB"/>
            <w:vAlign w:val="center"/>
          </w:tcPr>
          <w:p>
            <w:pPr>
              <w:spacing w:after="20" w:line="252" w:lineRule="auto"/>
              <w:jc w:val="right"/>
            </w:pPr>
            <w:r>
              <w:rPr>
                <w:b/>
                <w:sz w:val="19"/>
              </w:rPr>
              <w:t>R31.5m</w:t>
            </w:r>
          </w:p>
        </w:tc>
        <w:tc>
          <w:tcPr>
            <w:tcW w:type="dxa" w:w="1406"/>
            <w:shd w:val="clear" w:color="auto" w:fill="FFF4EB"/>
            <w:vAlign w:val="center"/>
          </w:tcPr>
          <w:p>
            <w:pPr>
              <w:spacing w:after="20" w:line="252" w:lineRule="auto"/>
              <w:jc w:val="right"/>
            </w:pPr>
            <w:r>
              <w:rPr>
                <w:b/>
                <w:sz w:val="19"/>
              </w:rPr>
              <w:t>R66.3m</w:t>
            </w:r>
          </w:p>
        </w:tc>
      </w:tr>
      <w:tr>
        <w:trPr>
          <w:cantSplit/>
        </w:trPr>
        <w:tc>
          <w:tcPr>
            <w:tcW w:type="dxa" w:w="2608"/>
            <w:shd w:val="clear" w:color="auto" w:fill="FAFAFB"/>
            <w:vAlign w:val="center"/>
          </w:tcPr>
          <w:p>
            <w:pPr>
              <w:spacing w:after="20" w:line="252" w:lineRule="auto"/>
            </w:pPr>
            <w:r>
              <w:rPr>
                <w:b/>
                <w:sz w:val="19"/>
              </w:rPr>
              <w:t>EBITDA margin</w:t>
            </w:r>
          </w:p>
        </w:tc>
        <w:tc>
          <w:tcPr>
            <w:tcW w:type="dxa" w:w="1406"/>
            <w:shd w:val="clear" w:color="auto" w:fill="FAFAFB"/>
            <w:vAlign w:val="center"/>
          </w:tcPr>
          <w:p>
            <w:pPr>
              <w:spacing w:after="20" w:line="252" w:lineRule="auto"/>
              <w:jc w:val="right"/>
            </w:pPr>
            <w:r>
              <w:rPr>
                <w:sz w:val="19"/>
              </w:rPr>
              <w:t>n/m</w:t>
            </w:r>
          </w:p>
        </w:tc>
        <w:tc>
          <w:tcPr>
            <w:tcW w:type="dxa" w:w="1406"/>
            <w:shd w:val="clear" w:color="auto" w:fill="FAFAFB"/>
            <w:vAlign w:val="center"/>
          </w:tcPr>
          <w:p>
            <w:pPr>
              <w:spacing w:after="20" w:line="252" w:lineRule="auto"/>
              <w:jc w:val="right"/>
            </w:pPr>
            <w:r>
              <w:rPr>
                <w:sz w:val="19"/>
              </w:rPr>
              <w:t>-55%</w:t>
            </w:r>
          </w:p>
        </w:tc>
        <w:tc>
          <w:tcPr>
            <w:tcW w:type="dxa" w:w="1406"/>
            <w:shd w:val="clear" w:color="auto" w:fill="FAFAFB"/>
            <w:vAlign w:val="center"/>
          </w:tcPr>
          <w:p>
            <w:pPr>
              <w:spacing w:after="20" w:line="252" w:lineRule="auto"/>
              <w:jc w:val="right"/>
            </w:pPr>
            <w:r>
              <w:rPr>
                <w:sz w:val="19"/>
              </w:rPr>
              <w:t>1%</w:t>
            </w:r>
          </w:p>
        </w:tc>
        <w:tc>
          <w:tcPr>
            <w:tcW w:type="dxa" w:w="1406"/>
            <w:shd w:val="clear" w:color="auto" w:fill="FAFAFB"/>
            <w:vAlign w:val="center"/>
          </w:tcPr>
          <w:p>
            <w:pPr>
              <w:spacing w:after="20" w:line="252" w:lineRule="auto"/>
              <w:jc w:val="right"/>
            </w:pPr>
            <w:r>
              <w:rPr>
                <w:sz w:val="19"/>
              </w:rPr>
              <w:t>22%</w:t>
            </w:r>
          </w:p>
        </w:tc>
        <w:tc>
          <w:tcPr>
            <w:tcW w:type="dxa" w:w="1406"/>
            <w:shd w:val="clear" w:color="auto" w:fill="FAFAFB"/>
            <w:vAlign w:val="center"/>
          </w:tcPr>
          <w:p>
            <w:pPr>
              <w:spacing w:after="20" w:line="252" w:lineRule="auto"/>
              <w:jc w:val="right"/>
            </w:pPr>
            <w:r>
              <w:rPr>
                <w:sz w:val="19"/>
              </w:rPr>
              <w:t>28%</w:t>
            </w:r>
          </w:p>
        </w:tc>
      </w:tr>
      <w:tr>
        <w:trPr>
          <w:cantSplit/>
        </w:trPr>
        <w:tc>
          <w:tcPr>
            <w:tcW w:type="dxa" w:w="2608"/>
            <w:vAlign w:val="center"/>
          </w:tcPr>
          <w:p>
            <w:pPr>
              <w:spacing w:after="20" w:line="252" w:lineRule="auto"/>
            </w:pPr>
            <w:r>
              <w:rPr>
                <w:b/>
                <w:sz w:val="19"/>
              </w:rPr>
              <w:t>Tax</w:t>
            </w:r>
          </w:p>
        </w:tc>
        <w:tc>
          <w:tcPr>
            <w:tcW w:type="dxa" w:w="1406"/>
            <w:vAlign w:val="center"/>
          </w:tcPr>
          <w:p>
            <w:pPr>
              <w:spacing w:after="20" w:line="252" w:lineRule="auto"/>
              <w:jc w:val="right"/>
            </w:pPr>
            <w:r>
              <w:rPr>
                <w:sz w:val="19"/>
              </w:rPr>
              <w:t>R0.00m</w:t>
            </w:r>
          </w:p>
        </w:tc>
        <w:tc>
          <w:tcPr>
            <w:tcW w:type="dxa" w:w="1406"/>
            <w:vAlign w:val="center"/>
          </w:tcPr>
          <w:p>
            <w:pPr>
              <w:spacing w:after="20" w:line="252" w:lineRule="auto"/>
              <w:jc w:val="right"/>
            </w:pPr>
            <w:r>
              <w:rPr>
                <w:sz w:val="19"/>
              </w:rPr>
              <w:t>R0.00m</w:t>
            </w:r>
          </w:p>
        </w:tc>
        <w:tc>
          <w:tcPr>
            <w:tcW w:type="dxa" w:w="1406"/>
            <w:vAlign w:val="center"/>
          </w:tcPr>
          <w:p>
            <w:pPr>
              <w:spacing w:after="20" w:line="252" w:lineRule="auto"/>
              <w:jc w:val="right"/>
            </w:pPr>
            <w:r>
              <w:rPr>
                <w:sz w:val="19"/>
              </w:rPr>
              <w:t>R0.00m</w:t>
            </w:r>
          </w:p>
        </w:tc>
        <w:tc>
          <w:tcPr>
            <w:tcW w:type="dxa" w:w="1406"/>
            <w:vAlign w:val="center"/>
          </w:tcPr>
          <w:p>
            <w:pPr>
              <w:spacing w:after="20" w:line="252" w:lineRule="auto"/>
              <w:jc w:val="right"/>
            </w:pPr>
            <w:r>
              <w:rPr>
                <w:sz w:val="19"/>
              </w:rPr>
              <w:t>R3.03m</w:t>
            </w:r>
          </w:p>
        </w:tc>
        <w:tc>
          <w:tcPr>
            <w:tcW w:type="dxa" w:w="1406"/>
            <w:vAlign w:val="center"/>
          </w:tcPr>
          <w:p>
            <w:pPr>
              <w:spacing w:after="20" w:line="252" w:lineRule="auto"/>
              <w:jc w:val="right"/>
            </w:pPr>
            <w:r>
              <w:rPr>
                <w:sz w:val="19"/>
              </w:rPr>
              <w:t>R17.90m</w:t>
            </w:r>
          </w:p>
        </w:tc>
      </w:tr>
      <w:tr>
        <w:trPr>
          <w:cantSplit/>
        </w:trPr>
        <w:tc>
          <w:tcPr>
            <w:tcW w:type="dxa" w:w="2608"/>
            <w:shd w:val="clear" w:color="auto" w:fill="FFF4EB"/>
            <w:vAlign w:val="center"/>
          </w:tcPr>
          <w:p>
            <w:pPr>
              <w:spacing w:after="20" w:line="252" w:lineRule="auto"/>
            </w:pPr>
            <w:r>
              <w:rPr>
                <w:b/>
                <w:sz w:val="19"/>
              </w:rPr>
              <w:t>Net income</w:t>
            </w:r>
          </w:p>
        </w:tc>
        <w:tc>
          <w:tcPr>
            <w:tcW w:type="dxa" w:w="1406"/>
            <w:shd w:val="clear" w:color="auto" w:fill="FFF4EB"/>
            <w:vAlign w:val="center"/>
          </w:tcPr>
          <w:p>
            <w:pPr>
              <w:spacing w:after="20" w:line="252" w:lineRule="auto"/>
              <w:jc w:val="right"/>
            </w:pPr>
            <w:r>
              <w:rPr>
                <w:b/>
                <w:sz w:val="19"/>
              </w:rPr>
              <w:t>R-7.1m</w:t>
            </w:r>
          </w:p>
        </w:tc>
        <w:tc>
          <w:tcPr>
            <w:tcW w:type="dxa" w:w="1406"/>
            <w:shd w:val="clear" w:color="auto" w:fill="FFF4EB"/>
            <w:vAlign w:val="center"/>
          </w:tcPr>
          <w:p>
            <w:pPr>
              <w:spacing w:after="20" w:line="252" w:lineRule="auto"/>
              <w:jc w:val="right"/>
            </w:pPr>
            <w:r>
              <w:rPr>
                <w:b/>
                <w:sz w:val="19"/>
              </w:rPr>
              <w:t>R-13.7m</w:t>
            </w:r>
          </w:p>
        </w:tc>
        <w:tc>
          <w:tcPr>
            <w:tcW w:type="dxa" w:w="1406"/>
            <w:shd w:val="clear" w:color="auto" w:fill="FFF4EB"/>
            <w:vAlign w:val="center"/>
          </w:tcPr>
          <w:p>
            <w:pPr>
              <w:spacing w:after="20" w:line="252" w:lineRule="auto"/>
              <w:jc w:val="right"/>
            </w:pPr>
            <w:r>
              <w:rPr>
                <w:b/>
                <w:sz w:val="19"/>
              </w:rPr>
              <w:t>R0.5m</w:t>
            </w:r>
          </w:p>
        </w:tc>
        <w:tc>
          <w:tcPr>
            <w:tcW w:type="dxa" w:w="1406"/>
            <w:shd w:val="clear" w:color="auto" w:fill="FFF4EB"/>
            <w:vAlign w:val="center"/>
          </w:tcPr>
          <w:p>
            <w:pPr>
              <w:spacing w:after="20" w:line="252" w:lineRule="auto"/>
              <w:jc w:val="right"/>
            </w:pPr>
            <w:r>
              <w:rPr>
                <w:b/>
                <w:sz w:val="19"/>
              </w:rPr>
              <w:t>R28.4m</w:t>
            </w:r>
          </w:p>
        </w:tc>
        <w:tc>
          <w:tcPr>
            <w:tcW w:type="dxa" w:w="1406"/>
            <w:shd w:val="clear" w:color="auto" w:fill="FFF4EB"/>
            <w:vAlign w:val="center"/>
          </w:tcPr>
          <w:p>
            <w:pPr>
              <w:spacing w:after="20" w:line="252" w:lineRule="auto"/>
              <w:jc w:val="right"/>
            </w:pPr>
            <w:r>
              <w:rPr>
                <w:b/>
                <w:sz w:val="19"/>
              </w:rPr>
              <w:t>R48.4m</w:t>
            </w:r>
          </w:p>
        </w:tc>
      </w:tr>
    </w:tbl>
    <w:p>
      <w:pPr>
        <w:spacing w:after="0" w:line="120" w:lineRule="exact"/>
      </w:pPr>
    </w:p>
    <w:p>
      <w:pPr>
        <w:spacing w:after="200"/>
      </w:pPr>
      <w:r>
        <w:rPr>
          <w:color w:val="5B6570"/>
          <w:sz w:val="17"/>
        </w:rPr>
        <w:t>Source: FluxMuse Financial Model v2 (Base case), 11 September 2026.</w:t>
      </w:r>
    </w:p>
    <w:p>
      <w:pPr>
        <w:spacing w:after="160"/>
      </w:pPr>
      <w:r>
        <w:rPr>
          <w:i/>
          <w:color w:val="5B6570"/>
          <w:sz w:val="18"/>
        </w:rPr>
        <w:t>Blended gross margin is held down by WhatsApp messaging, which is booked gross as revenue and cost; the software gross margin line shows the underlying platform margin.</w:t>
      </w:r>
    </w:p>
    <w:p>
      <w:pPr>
        <w:pStyle w:val="Heading2"/>
      </w:pPr>
      <w:r>
        <w:rPr/>
        <w:t>Cash flow and funding</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sh flow summary (R million, Base case)"/>
      </w:tblPr>
      <w:tblGrid>
        <w:gridCol w:w="2607"/>
        <w:gridCol w:w="1405"/>
        <w:gridCol w:w="1405"/>
        <w:gridCol w:w="1405"/>
        <w:gridCol w:w="1405"/>
        <w:gridCol w:w="1405"/>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R million unless stated</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FY1</w:t>
            </w:r>
          </w:p>
          <w:p>
            <w:pPr>
              <w:keepNext/>
              <w:spacing w:after="20" w:line="252" w:lineRule="auto"/>
              <w:jc w:val="right"/>
            </w:pPr>
            <w:r>
              <w:rPr>
                <w:rFonts w:ascii="Poppins" w:hAnsi="Poppins" w:cs="Poppins" w:eastAsia="Poppins"/>
                <w:b/>
                <w:color w:val="20242B"/>
                <w:sz w:val="19"/>
              </w:rPr>
              <w:t>Oct 2026–Sep 2027</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FY2</w:t>
            </w:r>
          </w:p>
          <w:p>
            <w:pPr>
              <w:keepNext/>
              <w:spacing w:after="20" w:line="252" w:lineRule="auto"/>
              <w:jc w:val="right"/>
            </w:pPr>
            <w:r>
              <w:rPr>
                <w:rFonts w:ascii="Poppins" w:hAnsi="Poppins" w:cs="Poppins" w:eastAsia="Poppins"/>
                <w:b/>
                <w:color w:val="20242B"/>
                <w:sz w:val="19"/>
              </w:rPr>
              <w:t>Oct 2027–Sep 2028</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FY3</w:t>
            </w:r>
          </w:p>
          <w:p>
            <w:pPr>
              <w:keepNext/>
              <w:spacing w:after="20" w:line="252" w:lineRule="auto"/>
              <w:jc w:val="right"/>
            </w:pPr>
            <w:r>
              <w:rPr>
                <w:rFonts w:ascii="Poppins" w:hAnsi="Poppins" w:cs="Poppins" w:eastAsia="Poppins"/>
                <w:b/>
                <w:color w:val="20242B"/>
                <w:sz w:val="19"/>
              </w:rPr>
              <w:t>Oct 2028–Sep 2029</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FY4</w:t>
            </w:r>
          </w:p>
          <w:p>
            <w:pPr>
              <w:keepNext/>
              <w:spacing w:after="20" w:line="252" w:lineRule="auto"/>
              <w:jc w:val="right"/>
            </w:pPr>
            <w:r>
              <w:rPr>
                <w:rFonts w:ascii="Poppins" w:hAnsi="Poppins" w:cs="Poppins" w:eastAsia="Poppins"/>
                <w:b/>
                <w:color w:val="20242B"/>
                <w:sz w:val="19"/>
              </w:rPr>
              <w:t>Oct 2029–Sep 2030</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FY5</w:t>
            </w:r>
          </w:p>
          <w:p>
            <w:pPr>
              <w:keepNext/>
              <w:spacing w:after="20" w:line="252" w:lineRule="auto"/>
              <w:jc w:val="right"/>
            </w:pPr>
            <w:r>
              <w:rPr>
                <w:rFonts w:ascii="Poppins" w:hAnsi="Poppins" w:cs="Poppins" w:eastAsia="Poppins"/>
                <w:b/>
                <w:color w:val="20242B"/>
                <w:sz w:val="19"/>
              </w:rPr>
              <w:t>Oct 2030–Sep 2031</w:t>
            </w:r>
          </w:p>
        </w:tc>
      </w:tr>
      <w:tr>
        <w:trPr>
          <w:cantSplit/>
        </w:trPr>
        <w:tc>
          <w:tcPr>
            <w:tcW w:type="dxa" w:w="2608"/>
            <w:vAlign w:val="center"/>
          </w:tcPr>
          <w:p>
            <w:pPr>
              <w:spacing w:after="20" w:line="252" w:lineRule="auto"/>
            </w:pPr>
            <w:r>
              <w:rPr>
                <w:b/>
                <w:sz w:val="19"/>
              </w:rPr>
              <w:t>Opening cash</w:t>
            </w:r>
          </w:p>
        </w:tc>
        <w:tc>
          <w:tcPr>
            <w:tcW w:type="dxa" w:w="1406"/>
            <w:vAlign w:val="center"/>
          </w:tcPr>
          <w:p>
            <w:pPr>
              <w:spacing w:after="20" w:line="252" w:lineRule="auto"/>
              <w:jc w:val="right"/>
            </w:pPr>
            <w:r>
              <w:rPr>
                <w:sz w:val="19"/>
              </w:rPr>
              <w:t>R0.5m</w:t>
            </w:r>
          </w:p>
        </w:tc>
        <w:tc>
          <w:tcPr>
            <w:tcW w:type="dxa" w:w="1406"/>
            <w:vAlign w:val="center"/>
          </w:tcPr>
          <w:p>
            <w:pPr>
              <w:spacing w:after="20" w:line="252" w:lineRule="auto"/>
              <w:jc w:val="right"/>
            </w:pPr>
            <w:r>
              <w:rPr>
                <w:sz w:val="19"/>
              </w:rPr>
              <w:t>R19.1m</w:t>
            </w:r>
          </w:p>
        </w:tc>
        <w:tc>
          <w:tcPr>
            <w:tcW w:type="dxa" w:w="1406"/>
            <w:vAlign w:val="center"/>
          </w:tcPr>
          <w:p>
            <w:pPr>
              <w:spacing w:after="20" w:line="252" w:lineRule="auto"/>
              <w:jc w:val="right"/>
            </w:pPr>
            <w:r>
              <w:rPr>
                <w:sz w:val="19"/>
              </w:rPr>
              <w:t>R8.0m</w:t>
            </w:r>
          </w:p>
        </w:tc>
        <w:tc>
          <w:tcPr>
            <w:tcW w:type="dxa" w:w="1406"/>
            <w:vAlign w:val="center"/>
          </w:tcPr>
          <w:p>
            <w:pPr>
              <w:spacing w:after="20" w:line="252" w:lineRule="auto"/>
              <w:jc w:val="right"/>
            </w:pPr>
            <w:r>
              <w:rPr>
                <w:sz w:val="19"/>
              </w:rPr>
              <w:t>R13.2m</w:t>
            </w:r>
          </w:p>
        </w:tc>
        <w:tc>
          <w:tcPr>
            <w:tcW w:type="dxa" w:w="1406"/>
            <w:vAlign w:val="center"/>
          </w:tcPr>
          <w:p>
            <w:pPr>
              <w:spacing w:after="20" w:line="252" w:lineRule="auto"/>
              <w:jc w:val="right"/>
            </w:pPr>
            <w:r>
              <w:rPr>
                <w:sz w:val="19"/>
              </w:rPr>
              <w:t>R48.4m</w:t>
            </w:r>
          </w:p>
        </w:tc>
      </w:tr>
      <w:tr>
        <w:trPr>
          <w:cantSplit/>
        </w:trPr>
        <w:tc>
          <w:tcPr>
            <w:tcW w:type="dxa" w:w="2608"/>
            <w:shd w:val="clear" w:color="auto" w:fill="FAFAFB"/>
            <w:vAlign w:val="center"/>
          </w:tcPr>
          <w:p>
            <w:pPr>
              <w:spacing w:after="20" w:line="252" w:lineRule="auto"/>
            </w:pPr>
            <w:r>
              <w:rPr>
                <w:b/>
                <w:sz w:val="19"/>
              </w:rPr>
              <w:t>EBITDA</w:t>
            </w:r>
          </w:p>
        </w:tc>
        <w:tc>
          <w:tcPr>
            <w:tcW w:type="dxa" w:w="1406"/>
            <w:shd w:val="clear" w:color="auto" w:fill="FAFAFB"/>
            <w:vAlign w:val="center"/>
          </w:tcPr>
          <w:p>
            <w:pPr>
              <w:spacing w:after="20" w:line="252" w:lineRule="auto"/>
              <w:jc w:val="right"/>
            </w:pPr>
            <w:r>
              <w:rPr>
                <w:sz w:val="19"/>
              </w:rPr>
              <w:t>R-7.1m</w:t>
            </w:r>
          </w:p>
        </w:tc>
        <w:tc>
          <w:tcPr>
            <w:tcW w:type="dxa" w:w="1406"/>
            <w:shd w:val="clear" w:color="auto" w:fill="FAFAFB"/>
            <w:vAlign w:val="center"/>
          </w:tcPr>
          <w:p>
            <w:pPr>
              <w:spacing w:after="20" w:line="252" w:lineRule="auto"/>
              <w:jc w:val="right"/>
            </w:pPr>
            <w:r>
              <w:rPr>
                <w:sz w:val="19"/>
              </w:rPr>
              <w:t>R-13.7m</w:t>
            </w:r>
          </w:p>
        </w:tc>
        <w:tc>
          <w:tcPr>
            <w:tcW w:type="dxa" w:w="1406"/>
            <w:shd w:val="clear" w:color="auto" w:fill="FAFAFB"/>
            <w:vAlign w:val="center"/>
          </w:tcPr>
          <w:p>
            <w:pPr>
              <w:spacing w:after="20" w:line="252" w:lineRule="auto"/>
              <w:jc w:val="right"/>
            </w:pPr>
            <w:r>
              <w:rPr>
                <w:sz w:val="19"/>
              </w:rPr>
              <w:t>R0.5m</w:t>
            </w:r>
          </w:p>
        </w:tc>
        <w:tc>
          <w:tcPr>
            <w:tcW w:type="dxa" w:w="1406"/>
            <w:shd w:val="clear" w:color="auto" w:fill="FAFAFB"/>
            <w:vAlign w:val="center"/>
          </w:tcPr>
          <w:p>
            <w:pPr>
              <w:spacing w:after="20" w:line="252" w:lineRule="auto"/>
              <w:jc w:val="right"/>
            </w:pPr>
            <w:r>
              <w:rPr>
                <w:sz w:val="19"/>
              </w:rPr>
              <w:t>R31.5m</w:t>
            </w:r>
          </w:p>
        </w:tc>
        <w:tc>
          <w:tcPr>
            <w:tcW w:type="dxa" w:w="1406"/>
            <w:shd w:val="clear" w:color="auto" w:fill="FAFAFB"/>
            <w:vAlign w:val="center"/>
          </w:tcPr>
          <w:p>
            <w:pPr>
              <w:spacing w:after="20" w:line="252" w:lineRule="auto"/>
              <w:jc w:val="right"/>
            </w:pPr>
            <w:r>
              <w:rPr>
                <w:sz w:val="19"/>
              </w:rPr>
              <w:t>R66.3m</w:t>
            </w:r>
          </w:p>
        </w:tc>
      </w:tr>
      <w:tr>
        <w:trPr>
          <w:cantSplit/>
        </w:trPr>
        <w:tc>
          <w:tcPr>
            <w:tcW w:type="dxa" w:w="2608"/>
            <w:vAlign w:val="center"/>
          </w:tcPr>
          <w:p>
            <w:pPr>
              <w:spacing w:after="20" w:line="252" w:lineRule="auto"/>
            </w:pPr>
            <w:r>
              <w:rPr>
                <w:b/>
                <w:sz w:val="19"/>
              </w:rPr>
              <w:t>Tax paid</w:t>
            </w:r>
          </w:p>
        </w:tc>
        <w:tc>
          <w:tcPr>
            <w:tcW w:type="dxa" w:w="1406"/>
            <w:vAlign w:val="center"/>
          </w:tcPr>
          <w:p>
            <w:pPr>
              <w:spacing w:after="20" w:line="252" w:lineRule="auto"/>
              <w:jc w:val="right"/>
            </w:pPr>
            <w:r>
              <w:rPr>
                <w:sz w:val="19"/>
              </w:rPr>
              <w:t>R0.0m</w:t>
            </w:r>
          </w:p>
        </w:tc>
        <w:tc>
          <w:tcPr>
            <w:tcW w:type="dxa" w:w="1406"/>
            <w:vAlign w:val="center"/>
          </w:tcPr>
          <w:p>
            <w:pPr>
              <w:spacing w:after="20" w:line="252" w:lineRule="auto"/>
              <w:jc w:val="right"/>
            </w:pPr>
            <w:r>
              <w:rPr>
                <w:sz w:val="19"/>
              </w:rPr>
              <w:t>R0.0m</w:t>
            </w:r>
          </w:p>
        </w:tc>
        <w:tc>
          <w:tcPr>
            <w:tcW w:type="dxa" w:w="1406"/>
            <w:vAlign w:val="center"/>
          </w:tcPr>
          <w:p>
            <w:pPr>
              <w:spacing w:after="20" w:line="252" w:lineRule="auto"/>
              <w:jc w:val="right"/>
            </w:pPr>
            <w:r>
              <w:rPr>
                <w:sz w:val="19"/>
              </w:rPr>
              <w:t>R0.0m</w:t>
            </w:r>
          </w:p>
        </w:tc>
        <w:tc>
          <w:tcPr>
            <w:tcW w:type="dxa" w:w="1406"/>
            <w:vAlign w:val="center"/>
          </w:tcPr>
          <w:p>
            <w:pPr>
              <w:spacing w:after="20" w:line="252" w:lineRule="auto"/>
              <w:jc w:val="right"/>
            </w:pPr>
            <w:r>
              <w:rPr>
                <w:sz w:val="19"/>
              </w:rPr>
              <w:t>R-3.0m</w:t>
            </w:r>
          </w:p>
        </w:tc>
        <w:tc>
          <w:tcPr>
            <w:tcW w:type="dxa" w:w="1406"/>
            <w:vAlign w:val="center"/>
          </w:tcPr>
          <w:p>
            <w:pPr>
              <w:spacing w:after="20" w:line="252" w:lineRule="auto"/>
              <w:jc w:val="right"/>
            </w:pPr>
            <w:r>
              <w:rPr>
                <w:sz w:val="19"/>
              </w:rPr>
              <w:t>R-17.9m</w:t>
            </w:r>
          </w:p>
        </w:tc>
      </w:tr>
      <w:tr>
        <w:trPr>
          <w:cantSplit/>
        </w:trPr>
        <w:tc>
          <w:tcPr>
            <w:tcW w:type="dxa" w:w="2608"/>
            <w:shd w:val="clear" w:color="auto" w:fill="FAFAFB"/>
            <w:vAlign w:val="center"/>
          </w:tcPr>
          <w:p>
            <w:pPr>
              <w:spacing w:after="20" w:line="252" w:lineRule="auto"/>
            </w:pPr>
            <w:r>
              <w:rPr>
                <w:b/>
                <w:sz w:val="19"/>
              </w:rPr>
              <w:t>Working capital movement</w:t>
            </w:r>
          </w:p>
        </w:tc>
        <w:tc>
          <w:tcPr>
            <w:tcW w:type="dxa" w:w="1406"/>
            <w:shd w:val="clear" w:color="auto" w:fill="FAFAFB"/>
            <w:vAlign w:val="center"/>
          </w:tcPr>
          <w:p>
            <w:pPr>
              <w:spacing w:after="20" w:line="252" w:lineRule="auto"/>
              <w:jc w:val="right"/>
            </w:pPr>
            <w:r>
              <w:rPr>
                <w:sz w:val="19"/>
              </w:rPr>
              <w:t>R0.67m</w:t>
            </w:r>
          </w:p>
        </w:tc>
        <w:tc>
          <w:tcPr>
            <w:tcW w:type="dxa" w:w="1406"/>
            <w:shd w:val="clear" w:color="auto" w:fill="FAFAFB"/>
            <w:vAlign w:val="center"/>
          </w:tcPr>
          <w:p>
            <w:pPr>
              <w:spacing w:after="20" w:line="252" w:lineRule="auto"/>
              <w:jc w:val="right"/>
            </w:pPr>
            <w:r>
              <w:rPr>
                <w:sz w:val="19"/>
              </w:rPr>
              <w:t>R2.59m</w:t>
            </w:r>
          </w:p>
        </w:tc>
        <w:tc>
          <w:tcPr>
            <w:tcW w:type="dxa" w:w="1406"/>
            <w:shd w:val="clear" w:color="auto" w:fill="FAFAFB"/>
            <w:vAlign w:val="center"/>
          </w:tcPr>
          <w:p>
            <w:pPr>
              <w:spacing w:after="20" w:line="252" w:lineRule="auto"/>
              <w:jc w:val="right"/>
            </w:pPr>
            <w:r>
              <w:rPr>
                <w:sz w:val="19"/>
              </w:rPr>
              <w:t>R4.72m</w:t>
            </w:r>
          </w:p>
        </w:tc>
        <w:tc>
          <w:tcPr>
            <w:tcW w:type="dxa" w:w="1406"/>
            <w:shd w:val="clear" w:color="auto" w:fill="FAFAFB"/>
            <w:vAlign w:val="center"/>
          </w:tcPr>
          <w:p>
            <w:pPr>
              <w:spacing w:after="20" w:line="252" w:lineRule="auto"/>
              <w:jc w:val="right"/>
            </w:pPr>
            <w:r>
              <w:rPr>
                <w:sz w:val="19"/>
              </w:rPr>
              <w:t>R6.72m</w:t>
            </w:r>
          </w:p>
        </w:tc>
        <w:tc>
          <w:tcPr>
            <w:tcW w:type="dxa" w:w="1406"/>
            <w:shd w:val="clear" w:color="auto" w:fill="FAFAFB"/>
            <w:vAlign w:val="center"/>
          </w:tcPr>
          <w:p>
            <w:pPr>
              <w:spacing w:after="20" w:line="252" w:lineRule="auto"/>
              <w:jc w:val="right"/>
            </w:pPr>
            <w:r>
              <w:rPr>
                <w:sz w:val="19"/>
              </w:rPr>
              <w:t>R7.69m</w:t>
            </w:r>
          </w:p>
        </w:tc>
      </w:tr>
      <w:tr>
        <w:trPr>
          <w:cantSplit/>
        </w:trPr>
        <w:tc>
          <w:tcPr>
            <w:tcW w:type="dxa" w:w="2608"/>
            <w:shd w:val="clear" w:color="auto" w:fill="FFF4EB"/>
            <w:vAlign w:val="center"/>
          </w:tcPr>
          <w:p>
            <w:pPr>
              <w:spacing w:after="20" w:line="252" w:lineRule="auto"/>
            </w:pPr>
            <w:r>
              <w:rPr>
                <w:b/>
                <w:sz w:val="19"/>
              </w:rPr>
              <w:t>Operating cash flow</w:t>
            </w:r>
          </w:p>
        </w:tc>
        <w:tc>
          <w:tcPr>
            <w:tcW w:type="dxa" w:w="1406"/>
            <w:shd w:val="clear" w:color="auto" w:fill="FFF4EB"/>
            <w:vAlign w:val="center"/>
          </w:tcPr>
          <w:p>
            <w:pPr>
              <w:spacing w:after="20" w:line="252" w:lineRule="auto"/>
              <w:jc w:val="right"/>
            </w:pPr>
            <w:r>
              <w:rPr>
                <w:b/>
                <w:sz w:val="19"/>
              </w:rPr>
              <w:t>R-6.4m</w:t>
            </w:r>
          </w:p>
        </w:tc>
        <w:tc>
          <w:tcPr>
            <w:tcW w:type="dxa" w:w="1406"/>
            <w:shd w:val="clear" w:color="auto" w:fill="FFF4EB"/>
            <w:vAlign w:val="center"/>
          </w:tcPr>
          <w:p>
            <w:pPr>
              <w:spacing w:after="20" w:line="252" w:lineRule="auto"/>
              <w:jc w:val="right"/>
            </w:pPr>
            <w:r>
              <w:rPr>
                <w:b/>
                <w:sz w:val="19"/>
              </w:rPr>
              <w:t>R-11.1m</w:t>
            </w:r>
          </w:p>
        </w:tc>
        <w:tc>
          <w:tcPr>
            <w:tcW w:type="dxa" w:w="1406"/>
            <w:shd w:val="clear" w:color="auto" w:fill="FFF4EB"/>
            <w:vAlign w:val="center"/>
          </w:tcPr>
          <w:p>
            <w:pPr>
              <w:spacing w:after="20" w:line="252" w:lineRule="auto"/>
              <w:jc w:val="right"/>
            </w:pPr>
            <w:r>
              <w:rPr>
                <w:b/>
                <w:sz w:val="19"/>
              </w:rPr>
              <w:t>R5.3m</w:t>
            </w:r>
          </w:p>
        </w:tc>
        <w:tc>
          <w:tcPr>
            <w:tcW w:type="dxa" w:w="1406"/>
            <w:shd w:val="clear" w:color="auto" w:fill="FFF4EB"/>
            <w:vAlign w:val="center"/>
          </w:tcPr>
          <w:p>
            <w:pPr>
              <w:spacing w:after="20" w:line="252" w:lineRule="auto"/>
              <w:jc w:val="right"/>
            </w:pPr>
            <w:r>
              <w:rPr>
                <w:b/>
                <w:sz w:val="19"/>
              </w:rPr>
              <w:t>R35.2m</w:t>
            </w:r>
          </w:p>
        </w:tc>
        <w:tc>
          <w:tcPr>
            <w:tcW w:type="dxa" w:w="1406"/>
            <w:shd w:val="clear" w:color="auto" w:fill="FFF4EB"/>
            <w:vAlign w:val="center"/>
          </w:tcPr>
          <w:p>
            <w:pPr>
              <w:spacing w:after="20" w:line="252" w:lineRule="auto"/>
              <w:jc w:val="right"/>
            </w:pPr>
            <w:r>
              <w:rPr>
                <w:b/>
                <w:sz w:val="19"/>
              </w:rPr>
              <w:t>R56.1m</w:t>
            </w:r>
          </w:p>
        </w:tc>
      </w:tr>
      <w:tr>
        <w:trPr>
          <w:cantSplit/>
        </w:trPr>
        <w:tc>
          <w:tcPr>
            <w:tcW w:type="dxa" w:w="2608"/>
            <w:shd w:val="clear" w:color="auto" w:fill="FAFAFB"/>
            <w:vAlign w:val="center"/>
          </w:tcPr>
          <w:p>
            <w:pPr>
              <w:spacing w:after="20" w:line="252" w:lineRule="auto"/>
            </w:pPr>
            <w:r>
              <w:rPr>
                <w:b/>
                <w:sz w:val="19"/>
              </w:rPr>
              <w:t>Equity funding (seed)</w:t>
            </w:r>
          </w:p>
        </w:tc>
        <w:tc>
          <w:tcPr>
            <w:tcW w:type="dxa" w:w="1406"/>
            <w:shd w:val="clear" w:color="auto" w:fill="FAFAFB"/>
            <w:vAlign w:val="center"/>
          </w:tcPr>
          <w:p>
            <w:pPr>
              <w:spacing w:after="20" w:line="252" w:lineRule="auto"/>
              <w:jc w:val="right"/>
            </w:pPr>
            <w:r>
              <w:rPr>
                <w:sz w:val="19"/>
              </w:rPr>
              <w:t>R25.0m</w:t>
            </w:r>
          </w:p>
        </w:tc>
        <w:tc>
          <w:tcPr>
            <w:tcW w:type="dxa" w:w="1406"/>
            <w:shd w:val="clear" w:color="auto" w:fill="FAFAFB"/>
            <w:vAlign w:val="center"/>
          </w:tcPr>
          <w:p>
            <w:pPr>
              <w:spacing w:after="20" w:line="252" w:lineRule="auto"/>
              <w:jc w:val="right"/>
            </w:pPr>
            <w:r>
              <w:rPr>
                <w:sz w:val="19"/>
              </w:rPr>
              <w:t>R0.0m</w:t>
            </w:r>
          </w:p>
        </w:tc>
        <w:tc>
          <w:tcPr>
            <w:tcW w:type="dxa" w:w="1406"/>
            <w:shd w:val="clear" w:color="auto" w:fill="FAFAFB"/>
            <w:vAlign w:val="center"/>
          </w:tcPr>
          <w:p>
            <w:pPr>
              <w:spacing w:after="20" w:line="252" w:lineRule="auto"/>
              <w:jc w:val="right"/>
            </w:pPr>
            <w:r>
              <w:rPr>
                <w:sz w:val="19"/>
              </w:rPr>
              <w:t>R0.0m</w:t>
            </w:r>
          </w:p>
        </w:tc>
        <w:tc>
          <w:tcPr>
            <w:tcW w:type="dxa" w:w="1406"/>
            <w:shd w:val="clear" w:color="auto" w:fill="FAFAFB"/>
            <w:vAlign w:val="center"/>
          </w:tcPr>
          <w:p>
            <w:pPr>
              <w:spacing w:after="20" w:line="252" w:lineRule="auto"/>
              <w:jc w:val="right"/>
            </w:pPr>
            <w:r>
              <w:rPr>
                <w:sz w:val="19"/>
              </w:rPr>
              <w:t>R0.0m</w:t>
            </w:r>
          </w:p>
        </w:tc>
        <w:tc>
          <w:tcPr>
            <w:tcW w:type="dxa" w:w="1406"/>
            <w:shd w:val="clear" w:color="auto" w:fill="FAFAFB"/>
            <w:vAlign w:val="center"/>
          </w:tcPr>
          <w:p>
            <w:pPr>
              <w:spacing w:after="20" w:line="252" w:lineRule="auto"/>
              <w:jc w:val="right"/>
            </w:pPr>
            <w:r>
              <w:rPr>
                <w:sz w:val="19"/>
              </w:rPr>
              <w:t>R0.0m</w:t>
            </w:r>
          </w:p>
        </w:tc>
      </w:tr>
      <w:tr>
        <w:trPr>
          <w:cantSplit/>
        </w:trPr>
        <w:tc>
          <w:tcPr>
            <w:tcW w:type="dxa" w:w="2608"/>
            <w:shd w:val="clear" w:color="auto" w:fill="FFF4EB"/>
            <w:vAlign w:val="center"/>
          </w:tcPr>
          <w:p>
            <w:pPr>
              <w:spacing w:after="20" w:line="252" w:lineRule="auto"/>
            </w:pPr>
            <w:r>
              <w:rPr>
                <w:b/>
                <w:sz w:val="19"/>
              </w:rPr>
              <w:t>Closing cash</w:t>
            </w:r>
          </w:p>
        </w:tc>
        <w:tc>
          <w:tcPr>
            <w:tcW w:type="dxa" w:w="1406"/>
            <w:shd w:val="clear" w:color="auto" w:fill="FFF4EB"/>
            <w:vAlign w:val="center"/>
          </w:tcPr>
          <w:p>
            <w:pPr>
              <w:spacing w:after="20" w:line="252" w:lineRule="auto"/>
              <w:jc w:val="right"/>
            </w:pPr>
            <w:r>
              <w:rPr>
                <w:b/>
                <w:sz w:val="19"/>
              </w:rPr>
              <w:t>R19.1m</w:t>
            </w:r>
          </w:p>
        </w:tc>
        <w:tc>
          <w:tcPr>
            <w:tcW w:type="dxa" w:w="1406"/>
            <w:shd w:val="clear" w:color="auto" w:fill="FFF4EB"/>
            <w:vAlign w:val="center"/>
          </w:tcPr>
          <w:p>
            <w:pPr>
              <w:spacing w:after="20" w:line="252" w:lineRule="auto"/>
              <w:jc w:val="right"/>
            </w:pPr>
            <w:r>
              <w:rPr>
                <w:b/>
                <w:sz w:val="19"/>
              </w:rPr>
              <w:t>R8.0m</w:t>
            </w:r>
          </w:p>
        </w:tc>
        <w:tc>
          <w:tcPr>
            <w:tcW w:type="dxa" w:w="1406"/>
            <w:shd w:val="clear" w:color="auto" w:fill="FFF4EB"/>
            <w:vAlign w:val="center"/>
          </w:tcPr>
          <w:p>
            <w:pPr>
              <w:spacing w:after="20" w:line="252" w:lineRule="auto"/>
              <w:jc w:val="right"/>
            </w:pPr>
            <w:r>
              <w:rPr>
                <w:b/>
                <w:sz w:val="19"/>
              </w:rPr>
              <w:t>R13.2m</w:t>
            </w:r>
          </w:p>
        </w:tc>
        <w:tc>
          <w:tcPr>
            <w:tcW w:type="dxa" w:w="1406"/>
            <w:shd w:val="clear" w:color="auto" w:fill="FFF4EB"/>
            <w:vAlign w:val="center"/>
          </w:tcPr>
          <w:p>
            <w:pPr>
              <w:spacing w:after="20" w:line="252" w:lineRule="auto"/>
              <w:jc w:val="right"/>
            </w:pPr>
            <w:r>
              <w:rPr>
                <w:b/>
                <w:sz w:val="19"/>
              </w:rPr>
              <w:t>R48.4m</w:t>
            </w:r>
          </w:p>
        </w:tc>
        <w:tc>
          <w:tcPr>
            <w:tcW w:type="dxa" w:w="1406"/>
            <w:shd w:val="clear" w:color="auto" w:fill="FFF4EB"/>
            <w:vAlign w:val="center"/>
          </w:tcPr>
          <w:p>
            <w:pPr>
              <w:spacing w:after="20" w:line="252" w:lineRule="auto"/>
              <w:jc w:val="right"/>
            </w:pPr>
            <w:r>
              <w:rPr>
                <w:b/>
                <w:sz w:val="19"/>
              </w:rPr>
              <w:t>R104.4m</w:t>
            </w:r>
          </w:p>
        </w:tc>
      </w:tr>
      <w:tr>
        <w:trPr>
          <w:cantSplit/>
        </w:trPr>
        <w:tc>
          <w:tcPr>
            <w:tcW w:type="dxa" w:w="2608"/>
            <w:shd w:val="clear" w:color="auto" w:fill="FAFAFB"/>
            <w:vAlign w:val="center"/>
          </w:tcPr>
          <w:p>
            <w:pPr>
              <w:spacing w:after="20" w:line="252" w:lineRule="auto"/>
            </w:pPr>
            <w:r>
              <w:rPr>
                <w:b/>
                <w:sz w:val="19"/>
              </w:rPr>
              <w:t>Lowest month-end cash in year</w:t>
            </w:r>
          </w:p>
        </w:tc>
        <w:tc>
          <w:tcPr>
            <w:tcW w:type="dxa" w:w="1406"/>
            <w:shd w:val="clear" w:color="auto" w:fill="FAFAFB"/>
            <w:vAlign w:val="center"/>
          </w:tcPr>
          <w:p>
            <w:pPr>
              <w:spacing w:after="20" w:line="252" w:lineRule="auto"/>
              <w:jc w:val="right"/>
            </w:pPr>
            <w:r>
              <w:rPr>
                <w:sz w:val="19"/>
              </w:rPr>
              <w:t>R-0.06m</w:t>
            </w:r>
          </w:p>
        </w:tc>
        <w:tc>
          <w:tcPr>
            <w:tcW w:type="dxa" w:w="1406"/>
            <w:shd w:val="clear" w:color="auto" w:fill="FAFAFB"/>
            <w:vAlign w:val="center"/>
          </w:tcPr>
          <w:p>
            <w:pPr>
              <w:spacing w:after="20" w:line="252" w:lineRule="auto"/>
              <w:jc w:val="right"/>
            </w:pPr>
            <w:r>
              <w:rPr>
                <w:sz w:val="19"/>
              </w:rPr>
              <w:t>R7.96m</w:t>
            </w:r>
          </w:p>
        </w:tc>
        <w:tc>
          <w:tcPr>
            <w:tcW w:type="dxa" w:w="1406"/>
            <w:shd w:val="clear" w:color="auto" w:fill="FAFAFB"/>
            <w:vAlign w:val="center"/>
          </w:tcPr>
          <w:p>
            <w:pPr>
              <w:spacing w:after="20" w:line="252" w:lineRule="auto"/>
              <w:jc w:val="right"/>
            </w:pPr>
            <w:r>
              <w:rPr>
                <w:sz w:val="19"/>
              </w:rPr>
              <w:t>R8.01m</w:t>
            </w:r>
          </w:p>
        </w:tc>
        <w:tc>
          <w:tcPr>
            <w:tcW w:type="dxa" w:w="1406"/>
            <w:shd w:val="clear" w:color="auto" w:fill="FAFAFB"/>
            <w:vAlign w:val="center"/>
          </w:tcPr>
          <w:p>
            <w:pPr>
              <w:spacing w:after="20" w:line="252" w:lineRule="auto"/>
              <w:jc w:val="right"/>
            </w:pPr>
            <w:r>
              <w:rPr>
                <w:sz w:val="19"/>
              </w:rPr>
              <w:t>R15.71m</w:t>
            </w:r>
          </w:p>
        </w:tc>
        <w:tc>
          <w:tcPr>
            <w:tcW w:type="dxa" w:w="1406"/>
            <w:shd w:val="clear" w:color="auto" w:fill="FAFAFB"/>
            <w:vAlign w:val="center"/>
          </w:tcPr>
          <w:p>
            <w:pPr>
              <w:spacing w:after="20" w:line="252" w:lineRule="auto"/>
              <w:jc w:val="right"/>
            </w:pPr>
            <w:r>
              <w:rPr>
                <w:sz w:val="19"/>
              </w:rPr>
              <w:t>R53.60m</w:t>
            </w:r>
          </w:p>
        </w:tc>
      </w:tr>
    </w:tbl>
    <w:p>
      <w:pPr>
        <w:spacing w:after="0" w:line="120" w:lineRule="exact"/>
      </w:pPr>
    </w:p>
    <w:p>
      <w:pPr>
        <w:spacing w:after="200"/>
      </w:pPr>
      <w:r>
        <w:rPr>
          <w:color w:val="5B6570"/>
          <w:sz w:val="17"/>
        </w:rPr>
        <w:t>Source: FluxMuse Financial Model v2 (Base case), 11 September 2026.</w:t>
      </w:r>
    </w:p>
    <w:p>
      <w:pPr>
        <w:keepNext/>
        <w:spacing w:before="120" w:after="0"/>
        <w:jc w:val="center"/>
      </w:pPr>
      <w:r>
        <w:drawing>
          <wp:inline xmlns:a="http://schemas.openxmlformats.org/drawingml/2006/main" xmlns:pic="http://schemas.openxmlformats.org/drawingml/2006/picture">
            <wp:extent cx="4896000" cy="3060000"/>
            <wp:docPr id="20" name="Picture 20" descr="Line chart of monthly closing cash from October 2026 to September 2030: a small pre-seed dip, the R25 million seed landing in February 2027, a decline through the Nigeria, Kenya and Ghana launches to a post-seed low of R7.96 million in September 2028, R4.96 million above the R3.0 million buffer, then recovery past EBITDA break-even in March 2029."/>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896000" cy="3060000"/>
                    </a:xfrm>
                    <a:prstGeom prst="rect"/>
                  </pic:spPr>
                </pic:pic>
              </a:graphicData>
            </a:graphic>
          </wp:inline>
        </w:drawing>
      </w:r>
    </w:p>
    <w:p>
      <w:pPr>
        <w:pStyle w:val="Caption"/>
        <w:jc w:val="center"/>
      </w:pPr>
      <w:r>
        <w:rPr>
          <w:b/>
        </w:rPr>
        <w:t>Figure 19.</w:t>
      </w:r>
      <w:r>
        <w:rPr/>
        <w:t xml:space="preserve"> Monthly closing cash against the R3.0m minimum-cash buffer (Base case). No Series A.</w:t>
      </w:r>
    </w:p>
    <w:p>
      <w:pPr>
        <w:pStyle w:val="ListBullet"/>
      </w:pPr>
      <w:r>
        <w:rPr>
          <w:b/>
        </w:rPr>
        <w:t>Pre-seed bridge: R57,528.</w:t>
      </w:r>
      <w:r>
        <w:rPr/>
        <w:t xml:space="preserve"> On opening cash of R500,000 (</w:t>
      </w:r>
      <w:r>
        <w:rPr>
          <w:b/>
          <w:color w:val="20242B"/>
          <w:shd w:val="clear" w:color="auto" w:fill="FFF1A8"/>
        </w:rPr>
        <w:t>[[CONFIRM OPENING CASH]]</w:t>
      </w:r>
      <w:r>
        <w:rPr/>
        <w:t>), cash dips to −R58k in Jan 2027, one month before the seed lands.</w:t>
      </w:r>
    </w:p>
    <w:p>
      <w:pPr>
        <w:pStyle w:val="ListBullet"/>
      </w:pPr>
      <w:r>
        <w:rPr>
          <w:b/>
        </w:rPr>
        <w:t>Minimum cash after the seed: R7.96m in Sep 2028</w:t>
      </w:r>
      <w:r>
        <w:rPr/>
        <w:t>, which is R4.96m above the R3.0m buffer. The plan never goes below the buffer.</w:t>
      </w:r>
    </w:p>
    <w:p>
      <w:pPr>
        <w:pStyle w:val="ListBullet"/>
      </w:pPr>
      <w:r>
        <w:rPr>
          <w:b/>
        </w:rPr>
        <w:t>Runway at the seed close: about 29 months</w:t>
      </w:r>
      <w:r>
        <w:rPr/>
        <w:t xml:space="preserve"> at the average net burn of the following year (R845,341 a month). Cash is not exhausted within the 60-month horizon.</w:t>
      </w:r>
    </w:p>
    <w:p>
      <w:pPr>
        <w:pStyle w:val="Heading2"/>
      </w:pPr>
      <w:r>
        <w:rPr/>
        <w:t>Break-even</w:t>
      </w:r>
    </w:p>
    <w:p>
      <w:pPr>
        <w:keepNext/>
        <w:spacing w:before="120" w:after="0"/>
        <w:jc w:val="center"/>
      </w:pPr>
      <w:r>
        <w:drawing>
          <wp:inline xmlns:a="http://schemas.openxmlformats.org/drawingml/2006/main" xmlns:pic="http://schemas.openxmlformats.org/drawingml/2006/picture">
            <wp:extent cx="4896000" cy="3060000"/>
            <wp:docPr id="21" name="Picture 21" descr="Two panels: monthly EBITDA turning positive at break-even in March 2029 and rising through FY5, and closing cash dipping to a post-seed low of R7.96 million in September 2028 before rising to about R104 million by the end of FY5, always above the R3.0 million buffer."/>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896000" cy="3060000"/>
                    </a:xfrm>
                    <a:prstGeom prst="rect"/>
                  </pic:spPr>
                </pic:pic>
              </a:graphicData>
            </a:graphic>
          </wp:inline>
        </w:drawing>
      </w:r>
    </w:p>
    <w:p>
      <w:pPr>
        <w:pStyle w:val="Caption"/>
        <w:jc w:val="center"/>
      </w:pPr>
      <w:r>
        <w:rPr>
          <w:b/>
        </w:rPr>
        <w:t>Figure 20.</w:t>
      </w:r>
      <w:r>
        <w:rPr/>
        <w:t xml:space="preserve"> Monthly EBITDA and closing cash (Base case).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reak-even milestones"/>
      </w:tblPr>
      <w:tblGrid>
        <w:gridCol w:w="5102"/>
        <w:gridCol w:w="4535"/>
      </w:tblGrid>
      <w:tr>
        <w:trPr>
          <w:cantSplit/>
          <w:tblHeader/>
        </w:trPr>
        <w:tc>
          <w:tcPr>
            <w:tcW w:type="dxa" w:w="5102"/>
            <w:shd w:val="clear" w:color="auto" w:fill="FF6A00"/>
            <w:vAlign w:val="center"/>
          </w:tcPr>
          <w:p>
            <w:pPr>
              <w:keepNext/>
              <w:spacing w:after="20" w:line="252" w:lineRule="auto"/>
            </w:pPr>
            <w:r>
              <w:rPr>
                <w:rFonts w:ascii="Poppins" w:hAnsi="Poppins" w:cs="Poppins" w:eastAsia="Poppins"/>
                <w:b/>
                <w:color w:val="20242B"/>
                <w:sz w:val="19"/>
              </w:rPr>
              <w:t>Milestone</w:t>
            </w:r>
          </w:p>
        </w:tc>
        <w:tc>
          <w:tcPr>
            <w:tcW w:type="dxa" w:w="4535"/>
            <w:shd w:val="clear" w:color="auto" w:fill="FF6A00"/>
            <w:vAlign w:val="center"/>
          </w:tcPr>
          <w:p>
            <w:pPr>
              <w:keepNext/>
              <w:spacing w:after="20" w:line="252" w:lineRule="auto"/>
            </w:pPr>
            <w:r>
              <w:rPr>
                <w:rFonts w:ascii="Poppins" w:hAnsi="Poppins" w:cs="Poppins" w:eastAsia="Poppins"/>
                <w:b/>
                <w:color w:val="20242B"/>
                <w:sz w:val="19"/>
              </w:rPr>
              <w:t>Base case</w:t>
            </w:r>
          </w:p>
        </w:tc>
      </w:tr>
      <w:tr>
        <w:trPr>
          <w:cantSplit/>
        </w:trPr>
        <w:tc>
          <w:tcPr>
            <w:tcW w:type="dxa" w:w="5102"/>
            <w:vAlign w:val="center"/>
          </w:tcPr>
          <w:p>
            <w:pPr>
              <w:spacing w:after="20" w:line="252" w:lineRule="auto"/>
            </w:pPr>
            <w:r>
              <w:rPr>
                <w:b/>
                <w:sz w:val="19"/>
              </w:rPr>
              <w:t>First month of positive EBITDA</w:t>
            </w:r>
          </w:p>
        </w:tc>
        <w:tc>
          <w:tcPr>
            <w:tcW w:type="dxa" w:w="4535"/>
            <w:vAlign w:val="center"/>
          </w:tcPr>
          <w:p>
            <w:pPr>
              <w:spacing w:after="20" w:line="252" w:lineRule="auto"/>
            </w:pPr>
            <w:r>
              <w:rPr>
                <w:sz w:val="19"/>
              </w:rPr>
              <w:t>Mar 2029</w:t>
            </w:r>
          </w:p>
        </w:tc>
      </w:tr>
      <w:tr>
        <w:trPr>
          <w:cantSplit/>
        </w:trPr>
        <w:tc>
          <w:tcPr>
            <w:tcW w:type="dxa" w:w="5102"/>
            <w:shd w:val="clear" w:color="auto" w:fill="FAFAFB"/>
            <w:vAlign w:val="center"/>
          </w:tcPr>
          <w:p>
            <w:pPr>
              <w:spacing w:after="20" w:line="252" w:lineRule="auto"/>
            </w:pPr>
            <w:r>
              <w:rPr>
                <w:b/>
                <w:sz w:val="19"/>
              </w:rPr>
              <w:t>EBITDA positive every month from</w:t>
            </w:r>
          </w:p>
        </w:tc>
        <w:tc>
          <w:tcPr>
            <w:tcW w:type="dxa" w:w="4535"/>
            <w:shd w:val="clear" w:color="auto" w:fill="FAFAFB"/>
            <w:vAlign w:val="center"/>
          </w:tcPr>
          <w:p>
            <w:pPr>
              <w:spacing w:after="20" w:line="252" w:lineRule="auto"/>
            </w:pPr>
            <w:r>
              <w:rPr>
                <w:sz w:val="19"/>
              </w:rPr>
              <w:t>Jun 2029</w:t>
            </w:r>
          </w:p>
        </w:tc>
      </w:tr>
      <w:tr>
        <w:trPr>
          <w:cantSplit/>
        </w:trPr>
        <w:tc>
          <w:tcPr>
            <w:tcW w:type="dxa" w:w="5102"/>
            <w:vAlign w:val="center"/>
          </w:tcPr>
          <w:p>
            <w:pPr>
              <w:spacing w:after="20" w:line="252" w:lineRule="auto"/>
            </w:pPr>
            <w:r>
              <w:rPr>
                <w:b/>
                <w:sz w:val="19"/>
              </w:rPr>
              <w:t>First month of positive operating cash flow</w:t>
            </w:r>
          </w:p>
        </w:tc>
        <w:tc>
          <w:tcPr>
            <w:tcW w:type="dxa" w:w="4535"/>
            <w:vAlign w:val="center"/>
          </w:tcPr>
          <w:p>
            <w:pPr>
              <w:spacing w:after="20" w:line="252" w:lineRule="auto"/>
            </w:pPr>
            <w:r>
              <w:rPr>
                <w:sz w:val="19"/>
              </w:rPr>
              <w:t>Oct 2028</w:t>
            </w:r>
          </w:p>
        </w:tc>
      </w:tr>
      <w:tr>
        <w:trPr>
          <w:cantSplit/>
        </w:trPr>
        <w:tc>
          <w:tcPr>
            <w:tcW w:type="dxa" w:w="5102"/>
            <w:shd w:val="clear" w:color="auto" w:fill="FAFAFB"/>
            <w:vAlign w:val="center"/>
          </w:tcPr>
          <w:p>
            <w:pPr>
              <w:spacing w:after="20" w:line="252" w:lineRule="auto"/>
            </w:pPr>
            <w:r>
              <w:rPr>
                <w:b/>
                <w:sz w:val="19"/>
              </w:rPr>
              <w:t>Operating cash flow positive every month from</w:t>
            </w:r>
          </w:p>
        </w:tc>
        <w:tc>
          <w:tcPr>
            <w:tcW w:type="dxa" w:w="4535"/>
            <w:shd w:val="clear" w:color="auto" w:fill="FAFAFB"/>
            <w:vAlign w:val="center"/>
          </w:tcPr>
          <w:p>
            <w:pPr>
              <w:spacing w:after="20" w:line="252" w:lineRule="auto"/>
            </w:pPr>
            <w:r>
              <w:rPr>
                <w:sz w:val="19"/>
              </w:rPr>
              <w:t>May 2029</w:t>
            </w:r>
          </w:p>
        </w:tc>
      </w:tr>
      <w:tr>
        <w:trPr>
          <w:cantSplit/>
        </w:trPr>
        <w:tc>
          <w:tcPr>
            <w:tcW w:type="dxa" w:w="5102"/>
            <w:vAlign w:val="center"/>
          </w:tcPr>
          <w:p>
            <w:pPr>
              <w:spacing w:after="20" w:line="252" w:lineRule="auto"/>
            </w:pPr>
            <w:r>
              <w:rPr>
                <w:b/>
                <w:sz w:val="19"/>
              </w:rPr>
              <w:t>Profitable on the R25m seed alone</w:t>
            </w:r>
          </w:p>
        </w:tc>
        <w:tc>
          <w:tcPr>
            <w:tcW w:type="dxa" w:w="4535"/>
            <w:vAlign w:val="center"/>
          </w:tcPr>
          <w:p>
            <w:pPr>
              <w:spacing w:after="20" w:line="252" w:lineRule="auto"/>
            </w:pPr>
            <w:r>
              <w:rPr>
                <w:sz w:val="19"/>
              </w:rPr>
              <w:t>Yes, in all three scenarios</w:t>
            </w:r>
          </w:p>
        </w:tc>
      </w:tr>
    </w:tbl>
    <w:p>
      <w:pPr>
        <w:spacing w:after="0" w:line="120" w:lineRule="exact"/>
      </w:pPr>
    </w:p>
    <w:p>
      <w:pPr>
        <w:spacing w:after="160"/>
      </w:pPr>
      <w:r>
        <w:rPr>
          <w:i/>
          <w:color w:val="5B6570"/>
          <w:sz w:val="18"/>
        </w:rPr>
        <w:t>EBITDA dips again in April and May 2029: net MRR clears the R5m gate and ten people join in one month, including three scale-up engineers, three marketers, the Head of Sales &amp; Partnerships, a finance analyst and Kenya's team expansion. It is positive every month from June 2029.</w:t>
      </w:r>
    </w:p>
    <w:p>
      <w:pPr>
        <w:pStyle w:val="Heading2"/>
      </w:pPr>
      <w:r>
        <w:rPr/>
        <w:t>Unit economics</w:t>
      </w:r>
    </w:p>
    <w:p>
      <w:pPr>
        <w:keepNext/>
        <w:spacing w:before="120" w:after="0"/>
        <w:jc w:val="center"/>
      </w:pPr>
      <w:r>
        <w:drawing>
          <wp:inline xmlns:a="http://schemas.openxmlformats.org/drawingml/2006/main" xmlns:pic="http://schemas.openxmlformats.org/drawingml/2006/picture">
            <wp:extent cx="4896000" cy="3060000"/>
            <wp:docPr id="22" name="Picture 22" descr="Four panels comparing LTV and CAC per customer in FY3: solo R9.9k against R3.3k at 3.0 times, SMEs R73k against R5.7k at 12.8 times, agencies R222k against R37k at 6.0 times, enterprise R1,655k against R25k; blended LTV R32k, CAC R5.6k, 5.6 times, payback 3.8 months."/>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896000" cy="3060000"/>
                    </a:xfrm>
                    <a:prstGeom prst="rect"/>
                  </pic:spPr>
                </pic:pic>
              </a:graphicData>
            </a:graphic>
          </wp:inline>
        </w:drawing>
      </w:r>
    </w:p>
    <w:p>
      <w:pPr>
        <w:pStyle w:val="Caption"/>
        <w:jc w:val="center"/>
      </w:pPr>
      <w:r>
        <w:rPr>
          <w:b/>
        </w:rPr>
        <w:t>Figure 21.</w:t>
      </w:r>
      <w:r>
        <w:rPr/>
        <w:t xml:space="preserve"> Lifetime value against acquisition cost by segment, FY3 (Base case).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Unit economics by segment, FY3"/>
      </w:tblPr>
      <w:tblGrid>
        <w:gridCol w:w="1700"/>
        <w:gridCol w:w="1530"/>
        <w:gridCol w:w="1303"/>
        <w:gridCol w:w="1587"/>
        <w:gridCol w:w="1303"/>
        <w:gridCol w:w="963"/>
        <w:gridCol w:w="1247"/>
      </w:tblGrid>
      <w:tr>
        <w:trPr>
          <w:cantSplit/>
          <w:tblHeader/>
        </w:trPr>
        <w:tc>
          <w:tcPr>
            <w:tcW w:type="dxa" w:w="1701"/>
            <w:shd w:val="clear" w:color="auto" w:fill="FF6A00"/>
            <w:vAlign w:val="center"/>
          </w:tcPr>
          <w:p>
            <w:pPr>
              <w:keepNext/>
              <w:spacing w:after="20" w:line="252" w:lineRule="auto"/>
            </w:pPr>
            <w:r>
              <w:rPr>
                <w:rFonts w:ascii="Poppins" w:hAnsi="Poppins" w:cs="Poppins" w:eastAsia="Poppins"/>
                <w:b/>
                <w:color w:val="20242B"/>
                <w:sz w:val="18"/>
              </w:rPr>
              <w:t>Segment, FY3</w:t>
            </w:r>
          </w:p>
        </w:tc>
        <w:tc>
          <w:tcPr>
            <w:tcW w:type="dxa" w:w="1531"/>
            <w:shd w:val="clear" w:color="auto" w:fill="FF6A00"/>
            <w:vAlign w:val="center"/>
          </w:tcPr>
          <w:p>
            <w:pPr>
              <w:keepNext/>
              <w:spacing w:after="20" w:line="252" w:lineRule="auto"/>
              <w:jc w:val="right"/>
            </w:pPr>
            <w:r>
              <w:rPr>
                <w:rFonts w:ascii="Poppins" w:hAnsi="Poppins" w:cs="Poppins" w:eastAsia="Poppins"/>
                <w:b/>
                <w:color w:val="20242B"/>
                <w:sz w:val="18"/>
              </w:rPr>
              <w:t>ARPA (R/month)</w:t>
            </w:r>
          </w:p>
        </w:tc>
        <w:tc>
          <w:tcPr>
            <w:tcW w:type="dxa" w:w="1304"/>
            <w:shd w:val="clear" w:color="auto" w:fill="FF6A00"/>
            <w:vAlign w:val="center"/>
          </w:tcPr>
          <w:p>
            <w:pPr>
              <w:keepNext/>
              <w:spacing w:after="20" w:line="252" w:lineRule="auto"/>
              <w:jc w:val="right"/>
            </w:pPr>
            <w:r>
              <w:rPr>
                <w:rFonts w:ascii="Poppins" w:hAnsi="Poppins" w:cs="Poppins" w:eastAsia="Poppins"/>
                <w:b/>
                <w:color w:val="20242B"/>
                <w:sz w:val="18"/>
              </w:rPr>
              <w:t>Monthly churn</w:t>
            </w:r>
          </w:p>
        </w:tc>
        <w:tc>
          <w:tcPr>
            <w:tcW w:type="dxa" w:w="1587"/>
            <w:shd w:val="clear" w:color="auto" w:fill="FF6A00"/>
            <w:vAlign w:val="center"/>
          </w:tcPr>
          <w:p>
            <w:pPr>
              <w:keepNext/>
              <w:spacing w:after="20" w:line="252" w:lineRule="auto"/>
              <w:jc w:val="right"/>
            </w:pPr>
            <w:r>
              <w:rPr>
                <w:rFonts w:ascii="Poppins" w:hAnsi="Poppins" w:cs="Poppins" w:eastAsia="Poppins"/>
                <w:b/>
                <w:color w:val="20242B"/>
                <w:sz w:val="18"/>
              </w:rPr>
              <w:t>LTV</w:t>
            </w:r>
          </w:p>
        </w:tc>
        <w:tc>
          <w:tcPr>
            <w:tcW w:type="dxa" w:w="1304"/>
            <w:shd w:val="clear" w:color="auto" w:fill="FF6A00"/>
            <w:vAlign w:val="center"/>
          </w:tcPr>
          <w:p>
            <w:pPr>
              <w:keepNext/>
              <w:spacing w:after="20" w:line="252" w:lineRule="auto"/>
              <w:jc w:val="right"/>
            </w:pPr>
            <w:r>
              <w:rPr>
                <w:rFonts w:ascii="Poppins" w:hAnsi="Poppins" w:cs="Poppins" w:eastAsia="Poppins"/>
                <w:b/>
                <w:color w:val="20242B"/>
                <w:sz w:val="18"/>
              </w:rPr>
              <w:t>CAC</w:t>
            </w:r>
          </w:p>
        </w:tc>
        <w:tc>
          <w:tcPr>
            <w:tcW w:type="dxa" w:w="964"/>
            <w:shd w:val="clear" w:color="auto" w:fill="FF6A00"/>
            <w:vAlign w:val="center"/>
          </w:tcPr>
          <w:p>
            <w:pPr>
              <w:keepNext/>
              <w:spacing w:after="20" w:line="252" w:lineRule="auto"/>
              <w:jc w:val="right"/>
            </w:pPr>
            <w:r>
              <w:rPr>
                <w:rFonts w:ascii="Poppins" w:hAnsi="Poppins" w:cs="Poppins" w:eastAsia="Poppins"/>
                <w:b/>
                <w:color w:val="20242B"/>
                <w:sz w:val="18"/>
              </w:rPr>
              <w:t>LTV:CAC</w:t>
            </w:r>
          </w:p>
        </w:tc>
        <w:tc>
          <w:tcPr>
            <w:tcW w:type="dxa" w:w="1247"/>
            <w:shd w:val="clear" w:color="auto" w:fill="FF6A00"/>
            <w:vAlign w:val="center"/>
          </w:tcPr>
          <w:p>
            <w:pPr>
              <w:keepNext/>
              <w:spacing w:after="20" w:line="252" w:lineRule="auto"/>
              <w:jc w:val="right"/>
            </w:pPr>
            <w:r>
              <w:rPr>
                <w:rFonts w:ascii="Poppins" w:hAnsi="Poppins" w:cs="Poppins" w:eastAsia="Poppins"/>
                <w:b/>
                <w:color w:val="20242B"/>
                <w:sz w:val="18"/>
              </w:rPr>
              <w:t>Payback</w:t>
            </w:r>
          </w:p>
        </w:tc>
      </w:tr>
      <w:tr>
        <w:trPr>
          <w:cantSplit/>
        </w:trPr>
        <w:tc>
          <w:tcPr>
            <w:tcW w:type="dxa" w:w="1701"/>
            <w:vAlign w:val="center"/>
          </w:tcPr>
          <w:p>
            <w:pPr>
              <w:spacing w:after="20" w:line="252" w:lineRule="auto"/>
            </w:pPr>
            <w:r>
              <w:rPr>
                <w:b/>
                <w:sz w:val="18"/>
              </w:rPr>
              <w:t>Solo</w:t>
            </w:r>
          </w:p>
        </w:tc>
        <w:tc>
          <w:tcPr>
            <w:tcW w:type="dxa" w:w="1531"/>
            <w:vAlign w:val="center"/>
          </w:tcPr>
          <w:p>
            <w:pPr>
              <w:spacing w:after="20" w:line="252" w:lineRule="auto"/>
              <w:jc w:val="right"/>
            </w:pPr>
            <w:r>
              <w:rPr>
                <w:sz w:val="18"/>
              </w:rPr>
              <w:t>R809</w:t>
            </w:r>
          </w:p>
        </w:tc>
        <w:tc>
          <w:tcPr>
            <w:tcW w:type="dxa" w:w="1304"/>
            <w:vAlign w:val="center"/>
          </w:tcPr>
          <w:p>
            <w:pPr>
              <w:spacing w:after="20" w:line="252" w:lineRule="auto"/>
              <w:jc w:val="right"/>
            </w:pPr>
            <w:r>
              <w:rPr>
                <w:sz w:val="18"/>
              </w:rPr>
              <w:t>6.3%</w:t>
            </w:r>
          </w:p>
        </w:tc>
        <w:tc>
          <w:tcPr>
            <w:tcW w:type="dxa" w:w="1587"/>
            <w:vAlign w:val="center"/>
          </w:tcPr>
          <w:p>
            <w:pPr>
              <w:spacing w:after="20" w:line="252" w:lineRule="auto"/>
              <w:jc w:val="right"/>
            </w:pPr>
            <w:r>
              <w:rPr>
                <w:sz w:val="18"/>
              </w:rPr>
              <w:t>R9,900</w:t>
            </w:r>
          </w:p>
        </w:tc>
        <w:tc>
          <w:tcPr>
            <w:tcW w:type="dxa" w:w="1304"/>
            <w:vAlign w:val="center"/>
          </w:tcPr>
          <w:p>
            <w:pPr>
              <w:spacing w:after="20" w:line="252" w:lineRule="auto"/>
              <w:jc w:val="right"/>
            </w:pPr>
            <w:r>
              <w:rPr>
                <w:sz w:val="18"/>
              </w:rPr>
              <w:t>R3,307</w:t>
            </w:r>
          </w:p>
        </w:tc>
        <w:tc>
          <w:tcPr>
            <w:tcW w:type="dxa" w:w="964"/>
            <w:vAlign w:val="center"/>
          </w:tcPr>
          <w:p>
            <w:pPr>
              <w:spacing w:after="20" w:line="252" w:lineRule="auto"/>
              <w:jc w:val="right"/>
            </w:pPr>
            <w:r>
              <w:rPr>
                <w:sz w:val="18"/>
              </w:rPr>
              <w:t>3.0x</w:t>
            </w:r>
          </w:p>
        </w:tc>
        <w:tc>
          <w:tcPr>
            <w:tcW w:type="dxa" w:w="1247"/>
            <w:vAlign w:val="center"/>
          </w:tcPr>
          <w:p>
            <w:pPr>
              <w:spacing w:after="20" w:line="252" w:lineRule="auto"/>
              <w:jc w:val="right"/>
            </w:pPr>
            <w:r>
              <w:rPr>
                <w:sz w:val="18"/>
              </w:rPr>
              <w:t>5.3 months</w:t>
            </w:r>
          </w:p>
        </w:tc>
      </w:tr>
      <w:tr>
        <w:trPr>
          <w:cantSplit/>
        </w:trPr>
        <w:tc>
          <w:tcPr>
            <w:tcW w:type="dxa" w:w="1701"/>
            <w:shd w:val="clear" w:color="auto" w:fill="FAFAFB"/>
            <w:vAlign w:val="center"/>
          </w:tcPr>
          <w:p>
            <w:pPr>
              <w:spacing w:after="20" w:line="252" w:lineRule="auto"/>
            </w:pPr>
            <w:r>
              <w:rPr>
                <w:b/>
                <w:sz w:val="18"/>
              </w:rPr>
              <w:t>SMEs</w:t>
            </w:r>
          </w:p>
        </w:tc>
        <w:tc>
          <w:tcPr>
            <w:tcW w:type="dxa" w:w="1531"/>
            <w:shd w:val="clear" w:color="auto" w:fill="FAFAFB"/>
            <w:vAlign w:val="center"/>
          </w:tcPr>
          <w:p>
            <w:pPr>
              <w:spacing w:after="20" w:line="252" w:lineRule="auto"/>
              <w:jc w:val="right"/>
            </w:pPr>
            <w:r>
              <w:rPr>
                <w:sz w:val="18"/>
              </w:rPr>
              <w:t>R2,769</w:t>
            </w:r>
          </w:p>
        </w:tc>
        <w:tc>
          <w:tcPr>
            <w:tcW w:type="dxa" w:w="1304"/>
            <w:shd w:val="clear" w:color="auto" w:fill="FAFAFB"/>
            <w:vAlign w:val="center"/>
          </w:tcPr>
          <w:p>
            <w:pPr>
              <w:spacing w:after="20" w:line="252" w:lineRule="auto"/>
              <w:jc w:val="right"/>
            </w:pPr>
            <w:r>
              <w:rPr>
                <w:sz w:val="18"/>
              </w:rPr>
              <w:t>2.9%</w:t>
            </w:r>
          </w:p>
        </w:tc>
        <w:tc>
          <w:tcPr>
            <w:tcW w:type="dxa" w:w="1587"/>
            <w:shd w:val="clear" w:color="auto" w:fill="FAFAFB"/>
            <w:vAlign w:val="center"/>
          </w:tcPr>
          <w:p>
            <w:pPr>
              <w:spacing w:after="20" w:line="252" w:lineRule="auto"/>
              <w:jc w:val="right"/>
            </w:pPr>
            <w:r>
              <w:rPr>
                <w:sz w:val="18"/>
              </w:rPr>
              <w:t>R72,544</w:t>
            </w:r>
          </w:p>
        </w:tc>
        <w:tc>
          <w:tcPr>
            <w:tcW w:type="dxa" w:w="1304"/>
            <w:shd w:val="clear" w:color="auto" w:fill="FAFAFB"/>
            <w:vAlign w:val="center"/>
          </w:tcPr>
          <w:p>
            <w:pPr>
              <w:spacing w:after="20" w:line="252" w:lineRule="auto"/>
              <w:jc w:val="right"/>
            </w:pPr>
            <w:r>
              <w:rPr>
                <w:sz w:val="18"/>
              </w:rPr>
              <w:t>R5,667</w:t>
            </w:r>
          </w:p>
        </w:tc>
        <w:tc>
          <w:tcPr>
            <w:tcW w:type="dxa" w:w="964"/>
            <w:shd w:val="clear" w:color="auto" w:fill="FAFAFB"/>
            <w:vAlign w:val="center"/>
          </w:tcPr>
          <w:p>
            <w:pPr>
              <w:spacing w:after="20" w:line="252" w:lineRule="auto"/>
              <w:jc w:val="right"/>
            </w:pPr>
            <w:r>
              <w:rPr>
                <w:sz w:val="18"/>
              </w:rPr>
              <w:t>12.8x</w:t>
            </w:r>
          </w:p>
        </w:tc>
        <w:tc>
          <w:tcPr>
            <w:tcW w:type="dxa" w:w="1247"/>
            <w:shd w:val="clear" w:color="auto" w:fill="FAFAFB"/>
            <w:vAlign w:val="center"/>
          </w:tcPr>
          <w:p>
            <w:pPr>
              <w:spacing w:after="20" w:line="252" w:lineRule="auto"/>
              <w:jc w:val="right"/>
            </w:pPr>
            <w:r>
              <w:rPr>
                <w:sz w:val="18"/>
              </w:rPr>
              <w:t>2.7 months</w:t>
            </w:r>
          </w:p>
        </w:tc>
      </w:tr>
      <w:tr>
        <w:trPr>
          <w:cantSplit/>
        </w:trPr>
        <w:tc>
          <w:tcPr>
            <w:tcW w:type="dxa" w:w="1701"/>
            <w:vAlign w:val="center"/>
          </w:tcPr>
          <w:p>
            <w:pPr>
              <w:spacing w:after="20" w:line="252" w:lineRule="auto"/>
            </w:pPr>
            <w:r>
              <w:rPr>
                <w:b/>
                <w:sz w:val="18"/>
              </w:rPr>
              <w:t>Agencies</w:t>
            </w:r>
          </w:p>
        </w:tc>
        <w:tc>
          <w:tcPr>
            <w:tcW w:type="dxa" w:w="1531"/>
            <w:vAlign w:val="center"/>
          </w:tcPr>
          <w:p>
            <w:pPr>
              <w:spacing w:after="20" w:line="252" w:lineRule="auto"/>
              <w:jc w:val="right"/>
            </w:pPr>
            <w:r>
              <w:rPr>
                <w:sz w:val="18"/>
              </w:rPr>
              <w:t>R5,919</w:t>
            </w:r>
          </w:p>
        </w:tc>
        <w:tc>
          <w:tcPr>
            <w:tcW w:type="dxa" w:w="1304"/>
            <w:vAlign w:val="center"/>
          </w:tcPr>
          <w:p>
            <w:pPr>
              <w:spacing w:after="20" w:line="252" w:lineRule="auto"/>
              <w:jc w:val="right"/>
            </w:pPr>
            <w:r>
              <w:rPr>
                <w:sz w:val="18"/>
              </w:rPr>
              <w:t>2.0%</w:t>
            </w:r>
          </w:p>
        </w:tc>
        <w:tc>
          <w:tcPr>
            <w:tcW w:type="dxa" w:w="1587"/>
            <w:vAlign w:val="center"/>
          </w:tcPr>
          <w:p>
            <w:pPr>
              <w:spacing w:after="20" w:line="252" w:lineRule="auto"/>
              <w:jc w:val="right"/>
            </w:pPr>
            <w:r>
              <w:rPr>
                <w:sz w:val="18"/>
              </w:rPr>
              <w:t>R222,419</w:t>
            </w:r>
          </w:p>
        </w:tc>
        <w:tc>
          <w:tcPr>
            <w:tcW w:type="dxa" w:w="1304"/>
            <w:vAlign w:val="center"/>
          </w:tcPr>
          <w:p>
            <w:pPr>
              <w:spacing w:after="20" w:line="252" w:lineRule="auto"/>
              <w:jc w:val="right"/>
            </w:pPr>
            <w:r>
              <w:rPr>
                <w:sz w:val="18"/>
              </w:rPr>
              <w:t>R36,973</w:t>
            </w:r>
          </w:p>
        </w:tc>
        <w:tc>
          <w:tcPr>
            <w:tcW w:type="dxa" w:w="964"/>
            <w:vAlign w:val="center"/>
          </w:tcPr>
          <w:p>
            <w:pPr>
              <w:spacing w:after="20" w:line="252" w:lineRule="auto"/>
              <w:jc w:val="right"/>
            </w:pPr>
            <w:r>
              <w:rPr>
                <w:sz w:val="18"/>
              </w:rPr>
              <w:t>6.0x</w:t>
            </w:r>
          </w:p>
        </w:tc>
        <w:tc>
          <w:tcPr>
            <w:tcW w:type="dxa" w:w="1247"/>
            <w:vAlign w:val="center"/>
          </w:tcPr>
          <w:p>
            <w:pPr>
              <w:spacing w:after="20" w:line="252" w:lineRule="auto"/>
              <w:jc w:val="right"/>
            </w:pPr>
            <w:r>
              <w:rPr>
                <w:sz w:val="18"/>
              </w:rPr>
              <w:t>8.1 months</w:t>
            </w:r>
          </w:p>
        </w:tc>
      </w:tr>
      <w:tr>
        <w:trPr>
          <w:cantSplit/>
        </w:trPr>
        <w:tc>
          <w:tcPr>
            <w:tcW w:type="dxa" w:w="1701"/>
            <w:shd w:val="clear" w:color="auto" w:fill="FAFAFB"/>
            <w:vAlign w:val="center"/>
          </w:tcPr>
          <w:p>
            <w:pPr>
              <w:spacing w:after="20" w:line="252" w:lineRule="auto"/>
            </w:pPr>
            <w:r>
              <w:rPr>
                <w:b/>
                <w:sz w:val="18"/>
              </w:rPr>
              <w:t>Enterprise</w:t>
            </w:r>
          </w:p>
        </w:tc>
        <w:tc>
          <w:tcPr>
            <w:tcW w:type="dxa" w:w="1531"/>
            <w:shd w:val="clear" w:color="auto" w:fill="FAFAFB"/>
            <w:vAlign w:val="center"/>
          </w:tcPr>
          <w:p>
            <w:pPr>
              <w:spacing w:after="20" w:line="252" w:lineRule="auto"/>
              <w:jc w:val="right"/>
            </w:pPr>
            <w:r>
              <w:rPr>
                <w:sz w:val="18"/>
              </w:rPr>
              <w:t>R21,535</w:t>
            </w:r>
          </w:p>
        </w:tc>
        <w:tc>
          <w:tcPr>
            <w:tcW w:type="dxa" w:w="1304"/>
            <w:shd w:val="clear" w:color="auto" w:fill="FAFAFB"/>
            <w:vAlign w:val="center"/>
          </w:tcPr>
          <w:p>
            <w:pPr>
              <w:spacing w:after="20" w:line="252" w:lineRule="auto"/>
              <w:jc w:val="right"/>
            </w:pPr>
            <w:r>
              <w:rPr>
                <w:sz w:val="18"/>
              </w:rPr>
              <w:t>1.0%</w:t>
            </w:r>
          </w:p>
        </w:tc>
        <w:tc>
          <w:tcPr>
            <w:tcW w:type="dxa" w:w="1587"/>
            <w:shd w:val="clear" w:color="auto" w:fill="FAFAFB"/>
            <w:vAlign w:val="center"/>
          </w:tcPr>
          <w:p>
            <w:pPr>
              <w:spacing w:after="20" w:line="252" w:lineRule="auto"/>
              <w:jc w:val="right"/>
            </w:pPr>
            <w:r>
              <w:rPr>
                <w:sz w:val="18"/>
              </w:rPr>
              <w:t>R1,654,562</w:t>
            </w:r>
          </w:p>
        </w:tc>
        <w:tc>
          <w:tcPr>
            <w:tcW w:type="dxa" w:w="1304"/>
            <w:shd w:val="clear" w:color="auto" w:fill="FAFAFB"/>
            <w:vAlign w:val="center"/>
          </w:tcPr>
          <w:p>
            <w:pPr>
              <w:spacing w:after="20" w:line="252" w:lineRule="auto"/>
              <w:jc w:val="right"/>
            </w:pPr>
            <w:r>
              <w:rPr>
                <w:sz w:val="18"/>
              </w:rPr>
              <w:t>R25,000</w:t>
            </w:r>
          </w:p>
        </w:tc>
        <w:tc>
          <w:tcPr>
            <w:tcW w:type="dxa" w:w="964"/>
            <w:shd w:val="clear" w:color="auto" w:fill="FAFAFB"/>
            <w:vAlign w:val="center"/>
          </w:tcPr>
          <w:p>
            <w:pPr>
              <w:spacing w:after="20" w:line="252" w:lineRule="auto"/>
              <w:jc w:val="right"/>
            </w:pPr>
            <w:r>
              <w:rPr>
                <w:sz w:val="18"/>
              </w:rPr>
              <w:t>66.2x</w:t>
            </w:r>
          </w:p>
        </w:tc>
        <w:tc>
          <w:tcPr>
            <w:tcW w:type="dxa" w:w="1247"/>
            <w:shd w:val="clear" w:color="auto" w:fill="FAFAFB"/>
            <w:vAlign w:val="center"/>
          </w:tcPr>
          <w:p>
            <w:pPr>
              <w:spacing w:after="20" w:line="252" w:lineRule="auto"/>
              <w:jc w:val="right"/>
            </w:pPr>
            <w:r>
              <w:rPr>
                <w:sz w:val="18"/>
              </w:rPr>
              <w:t>1.5 months</w:t>
            </w:r>
          </w:p>
        </w:tc>
      </w:tr>
      <w:tr>
        <w:trPr>
          <w:cantSplit/>
        </w:trPr>
        <w:tc>
          <w:tcPr>
            <w:tcW w:type="dxa" w:w="1701"/>
            <w:shd w:val="clear" w:color="auto" w:fill="FFF4EB"/>
            <w:vAlign w:val="center"/>
          </w:tcPr>
          <w:p>
            <w:pPr>
              <w:spacing w:after="20" w:line="252" w:lineRule="auto"/>
            </w:pPr>
            <w:r>
              <w:rPr>
                <w:b/>
                <w:sz w:val="18"/>
              </w:rPr>
              <w:t>Blended</w:t>
            </w:r>
          </w:p>
        </w:tc>
        <w:tc>
          <w:tcPr>
            <w:tcW w:type="dxa" w:w="1531"/>
            <w:shd w:val="clear" w:color="auto" w:fill="FFF4EB"/>
            <w:vAlign w:val="center"/>
          </w:tcPr>
          <w:p>
            <w:pPr>
              <w:spacing w:after="20" w:line="252" w:lineRule="auto"/>
              <w:jc w:val="right"/>
            </w:pPr>
            <w:r>
              <w:rPr>
                <w:b/>
                <w:sz w:val="18"/>
              </w:rPr>
              <w:t>R1,900</w:t>
            </w:r>
          </w:p>
        </w:tc>
        <w:tc>
          <w:tcPr>
            <w:tcW w:type="dxa" w:w="1304"/>
            <w:shd w:val="clear" w:color="auto" w:fill="FFF4EB"/>
            <w:vAlign w:val="center"/>
          </w:tcPr>
          <w:p>
            <w:pPr>
              <w:spacing w:after="20" w:line="252" w:lineRule="auto"/>
              <w:jc w:val="right"/>
            </w:pPr>
            <w:r>
              <w:rPr>
                <w:b/>
                <w:sz w:val="18"/>
              </w:rPr>
              <w:t>—</w:t>
            </w:r>
          </w:p>
        </w:tc>
        <w:tc>
          <w:tcPr>
            <w:tcW w:type="dxa" w:w="1587"/>
            <w:shd w:val="clear" w:color="auto" w:fill="FFF4EB"/>
            <w:vAlign w:val="center"/>
          </w:tcPr>
          <w:p>
            <w:pPr>
              <w:spacing w:after="20" w:line="252" w:lineRule="auto"/>
              <w:jc w:val="right"/>
            </w:pPr>
            <w:r>
              <w:rPr>
                <w:b/>
                <w:sz w:val="18"/>
              </w:rPr>
              <w:t>R31,572</w:t>
            </w:r>
          </w:p>
        </w:tc>
        <w:tc>
          <w:tcPr>
            <w:tcW w:type="dxa" w:w="1304"/>
            <w:shd w:val="clear" w:color="auto" w:fill="FFF4EB"/>
            <w:vAlign w:val="center"/>
          </w:tcPr>
          <w:p>
            <w:pPr>
              <w:spacing w:after="20" w:line="252" w:lineRule="auto"/>
              <w:jc w:val="right"/>
            </w:pPr>
            <w:r>
              <w:rPr>
                <w:b/>
                <w:sz w:val="18"/>
              </w:rPr>
              <w:t>R5,604</w:t>
            </w:r>
          </w:p>
        </w:tc>
        <w:tc>
          <w:tcPr>
            <w:tcW w:type="dxa" w:w="964"/>
            <w:shd w:val="clear" w:color="auto" w:fill="FFF4EB"/>
            <w:vAlign w:val="center"/>
          </w:tcPr>
          <w:p>
            <w:pPr>
              <w:spacing w:after="20" w:line="252" w:lineRule="auto"/>
              <w:jc w:val="right"/>
            </w:pPr>
            <w:r>
              <w:rPr>
                <w:b/>
                <w:sz w:val="18"/>
              </w:rPr>
              <w:t>5.6x</w:t>
            </w:r>
          </w:p>
        </w:tc>
        <w:tc>
          <w:tcPr>
            <w:tcW w:type="dxa" w:w="1247"/>
            <w:shd w:val="clear" w:color="auto" w:fill="FFF4EB"/>
            <w:vAlign w:val="center"/>
          </w:tcPr>
          <w:p>
            <w:pPr>
              <w:spacing w:after="20" w:line="252" w:lineRule="auto"/>
              <w:jc w:val="right"/>
            </w:pPr>
            <w:r>
              <w:rPr>
                <w:b/>
                <w:sz w:val="18"/>
              </w:rPr>
              <w:t>3.8 months</w:t>
            </w:r>
          </w:p>
        </w:tc>
      </w:tr>
    </w:tbl>
    <w:p>
      <w:pPr>
        <w:spacing w:after="0" w:line="120" w:lineRule="exact"/>
      </w:pPr>
    </w:p>
    <w:p>
      <w:pPr>
        <w:spacing w:after="200"/>
      </w:pPr>
      <w:r>
        <w:rPr>
          <w:color w:val="5B6570"/>
          <w:sz w:val="17"/>
        </w:rPr>
        <w:t>Source: FluxMuse Financial Model v2 (Base case), 11 September 2026.</w:t>
      </w:r>
    </w:p>
    <w:p>
      <w:pPr>
        <w:pStyle w:val="ListBullet"/>
      </w:pPr>
      <w:r>
        <w:rPr/>
        <w:t>LTV is ARPA × software gross margin ÷ monthly logo churn. Solo and SME CAC includes paid spend plus a share of brand, launch and marketing payroll; agency CAC is the partner programme plus the partnerships team.</w:t>
      </w:r>
    </w:p>
    <w:p>
      <w:pPr>
        <w:pStyle w:val="ListBullet"/>
      </w:pPr>
      <w:r>
        <w:rPr>
          <w:b/>
        </w:rPr>
        <w:t>Solo is the thin one at 3.0×</w:t>
      </w:r>
      <w:r>
        <w:rPr/>
        <w:t>, because Starter churn is assumed at 6.5% a month. It is the first number the pilot must test.</w:t>
      </w:r>
    </w:p>
    <w:p>
      <w:pPr>
        <w:pStyle w:val="ListBullet"/>
      </w:pPr>
      <w:r>
        <w:rPr>
          <w:b/>
        </w:rPr>
        <w:t>SMEs carry the economics</w:t>
      </w:r>
      <w:r>
        <w:rPr/>
        <w:t xml:space="preserve"> at 12.8× with a 2.7-month payback, which is why SME conversion and retention are the priority metrics in section 15.</w:t>
      </w:r>
    </w:p>
    <w:p>
      <w:pPr>
        <w:pStyle w:val="Heading2"/>
      </w:pPr>
      <w:r>
        <w:rPr/>
        <w:t>Scenarios</w:t>
      </w:r>
    </w:p>
    <w:p>
      <w:pPr>
        <w:keepNext/>
        <w:spacing w:before="120" w:after="0"/>
        <w:jc w:val="center"/>
      </w:pPr>
      <w:r>
        <w:drawing>
          <wp:inline xmlns:a="http://schemas.openxmlformats.org/drawingml/2006/main" xmlns:pic="http://schemas.openxmlformats.org/drawingml/2006/picture">
            <wp:extent cx="4896000" cy="3060000"/>
            <wp:docPr id="23" name="Picture 23" descr="Bar chart: Conservative R116 million revenue and R25 million EBITDA at 21%, with 3,974 workspaces and break-even March 2030; Base R238 million and R66 million at 28%, 8,816 workspaces, break-even June 2029; Upside R451 million and R223 million at 50%, 17,793 workspaces, break-even June 2028. All three profitable on the seed alone."/>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896000" cy="3060000"/>
                    </a:xfrm>
                    <a:prstGeom prst="rect"/>
                  </pic:spPr>
                </pic:pic>
              </a:graphicData>
            </a:graphic>
          </wp:inline>
        </w:drawing>
      </w:r>
    </w:p>
    <w:p>
      <w:pPr>
        <w:pStyle w:val="Caption"/>
        <w:jc w:val="center"/>
      </w:pPr>
      <w:r>
        <w:rPr>
          <w:b/>
        </w:rPr>
        <w:t>Figure 22.</w:t>
      </w:r>
      <w:r>
        <w:rPr/>
        <w:t xml:space="preserve"> FY5 revenue and EBITDA in all three scenarios, on the R25m seed alone.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Scenario comparison"/>
      </w:tblPr>
      <w:tblGrid>
        <w:gridCol w:w="2834"/>
        <w:gridCol w:w="2267"/>
        <w:gridCol w:w="2267"/>
        <w:gridCol w:w="2267"/>
      </w:tblGrid>
      <w:tr>
        <w:trPr>
          <w:cantSplit/>
          <w:tblHeader/>
        </w:trPr>
        <w:tc>
          <w:tcPr>
            <w:tcW w:type="dxa" w:w="2835"/>
            <w:shd w:val="clear" w:color="auto" w:fill="FF6A00"/>
            <w:vAlign w:val="center"/>
          </w:tcPr>
          <w:p>
            <w:pPr>
              <w:keepNext/>
              <w:spacing w:after="20" w:line="252" w:lineRule="auto"/>
            </w:pPr>
          </w:p>
        </w:tc>
        <w:tc>
          <w:tcPr>
            <w:tcW w:type="dxa" w:w="2268"/>
            <w:shd w:val="clear" w:color="auto" w:fill="FF6A00"/>
            <w:vAlign w:val="center"/>
          </w:tcPr>
          <w:p>
            <w:pPr>
              <w:keepNext/>
              <w:spacing w:after="20" w:line="252" w:lineRule="auto"/>
              <w:jc w:val="right"/>
            </w:pPr>
            <w:r>
              <w:rPr>
                <w:rFonts w:ascii="Poppins" w:hAnsi="Poppins" w:cs="Poppins" w:eastAsia="Poppins"/>
                <w:b/>
                <w:color w:val="20242B"/>
                <w:sz w:val="18"/>
              </w:rPr>
              <w:t>Conservative</w:t>
            </w:r>
          </w:p>
        </w:tc>
        <w:tc>
          <w:tcPr>
            <w:tcW w:type="dxa" w:w="2268"/>
            <w:shd w:val="clear" w:color="auto" w:fill="FF6A00"/>
            <w:vAlign w:val="center"/>
          </w:tcPr>
          <w:p>
            <w:pPr>
              <w:keepNext/>
              <w:spacing w:after="20" w:line="252" w:lineRule="auto"/>
              <w:jc w:val="right"/>
            </w:pPr>
            <w:r>
              <w:rPr>
                <w:rFonts w:ascii="Poppins" w:hAnsi="Poppins" w:cs="Poppins" w:eastAsia="Poppins"/>
                <w:b/>
                <w:color w:val="20242B"/>
                <w:sz w:val="18"/>
              </w:rPr>
              <w:t>Base</w:t>
            </w:r>
          </w:p>
        </w:tc>
        <w:tc>
          <w:tcPr>
            <w:tcW w:type="dxa" w:w="2268"/>
            <w:shd w:val="clear" w:color="auto" w:fill="FF6A00"/>
            <w:vAlign w:val="center"/>
          </w:tcPr>
          <w:p>
            <w:pPr>
              <w:keepNext/>
              <w:spacing w:after="20" w:line="252" w:lineRule="auto"/>
              <w:jc w:val="right"/>
            </w:pPr>
            <w:r>
              <w:rPr>
                <w:rFonts w:ascii="Poppins" w:hAnsi="Poppins" w:cs="Poppins" w:eastAsia="Poppins"/>
                <w:b/>
                <w:color w:val="20242B"/>
                <w:sz w:val="18"/>
              </w:rPr>
              <w:t>Upside</w:t>
            </w:r>
          </w:p>
        </w:tc>
      </w:tr>
      <w:tr>
        <w:trPr>
          <w:cantSplit/>
        </w:trPr>
        <w:tc>
          <w:tcPr>
            <w:tcW w:type="dxa" w:w="2835"/>
            <w:vAlign w:val="center"/>
          </w:tcPr>
          <w:p>
            <w:pPr>
              <w:spacing w:after="20" w:line="252" w:lineRule="auto"/>
            </w:pPr>
            <w:r>
              <w:rPr>
                <w:b/>
                <w:sz w:val="18"/>
              </w:rPr>
              <w:t>Revenue FY1 / FY3 / FY5 (R m)</w:t>
            </w:r>
          </w:p>
        </w:tc>
        <w:tc>
          <w:tcPr>
            <w:tcW w:type="dxa" w:w="2268"/>
            <w:vAlign w:val="center"/>
          </w:tcPr>
          <w:p>
            <w:pPr>
              <w:spacing w:after="20" w:line="252" w:lineRule="auto"/>
              <w:jc w:val="right"/>
            </w:pPr>
            <w:r>
              <w:rPr>
                <w:sz w:val="18"/>
              </w:rPr>
              <w:t>2.7 / 39.0 / 116.0</w:t>
            </w:r>
          </w:p>
        </w:tc>
        <w:tc>
          <w:tcPr>
            <w:tcW w:type="dxa" w:w="2268"/>
            <w:vAlign w:val="center"/>
          </w:tcPr>
          <w:p>
            <w:pPr>
              <w:spacing w:after="20" w:line="252" w:lineRule="auto"/>
              <w:jc w:val="right"/>
            </w:pPr>
            <w:r>
              <w:rPr>
                <w:sz w:val="18"/>
              </w:rPr>
              <w:t>3.4 / 73.1 / 238.0</w:t>
            </w:r>
          </w:p>
        </w:tc>
        <w:tc>
          <w:tcPr>
            <w:tcW w:type="dxa" w:w="2268"/>
            <w:vAlign w:val="center"/>
          </w:tcPr>
          <w:p>
            <w:pPr>
              <w:spacing w:after="20" w:line="252" w:lineRule="auto"/>
              <w:jc w:val="right"/>
            </w:pPr>
            <w:r>
              <w:rPr>
                <w:sz w:val="18"/>
              </w:rPr>
              <w:t>4.6 / 121.8 / 450.9</w:t>
            </w:r>
          </w:p>
        </w:tc>
      </w:tr>
      <w:tr>
        <w:trPr>
          <w:cantSplit/>
        </w:trPr>
        <w:tc>
          <w:tcPr>
            <w:tcW w:type="dxa" w:w="2835"/>
            <w:shd w:val="clear" w:color="auto" w:fill="FAFAFB"/>
            <w:vAlign w:val="center"/>
          </w:tcPr>
          <w:p>
            <w:pPr>
              <w:spacing w:after="20" w:line="252" w:lineRule="auto"/>
            </w:pPr>
            <w:r>
              <w:rPr>
                <w:b/>
                <w:sz w:val="18"/>
              </w:rPr>
              <w:t>EBITDA FY3 / FY5 (R m)</w:t>
            </w:r>
          </w:p>
        </w:tc>
        <w:tc>
          <w:tcPr>
            <w:tcW w:type="dxa" w:w="2268"/>
            <w:shd w:val="clear" w:color="auto" w:fill="FAFAFB"/>
            <w:vAlign w:val="center"/>
          </w:tcPr>
          <w:p>
            <w:pPr>
              <w:spacing w:after="20" w:line="252" w:lineRule="auto"/>
              <w:jc w:val="right"/>
            </w:pPr>
            <w:r>
              <w:rPr>
                <w:sz w:val="18"/>
              </w:rPr>
              <w:t>-8.4 / 24.7</w:t>
            </w:r>
          </w:p>
        </w:tc>
        <w:tc>
          <w:tcPr>
            <w:tcW w:type="dxa" w:w="2268"/>
            <w:shd w:val="clear" w:color="auto" w:fill="FAFAFB"/>
            <w:vAlign w:val="center"/>
          </w:tcPr>
          <w:p>
            <w:pPr>
              <w:spacing w:after="20" w:line="252" w:lineRule="auto"/>
              <w:jc w:val="right"/>
            </w:pPr>
            <w:r>
              <w:rPr>
                <w:sz w:val="18"/>
              </w:rPr>
              <w:t>0.5 / 66.3</w:t>
            </w:r>
          </w:p>
        </w:tc>
        <w:tc>
          <w:tcPr>
            <w:tcW w:type="dxa" w:w="2268"/>
            <w:shd w:val="clear" w:color="auto" w:fill="FAFAFB"/>
            <w:vAlign w:val="center"/>
          </w:tcPr>
          <w:p>
            <w:pPr>
              <w:spacing w:after="20" w:line="252" w:lineRule="auto"/>
              <w:jc w:val="right"/>
            </w:pPr>
            <w:r>
              <w:rPr>
                <w:sz w:val="18"/>
              </w:rPr>
              <w:t>34.6 / 223.4</w:t>
            </w:r>
          </w:p>
        </w:tc>
      </w:tr>
      <w:tr>
        <w:trPr>
          <w:cantSplit/>
        </w:trPr>
        <w:tc>
          <w:tcPr>
            <w:tcW w:type="dxa" w:w="2835"/>
            <w:vAlign w:val="center"/>
          </w:tcPr>
          <w:p>
            <w:pPr>
              <w:spacing w:after="20" w:line="252" w:lineRule="auto"/>
            </w:pPr>
            <w:r>
              <w:rPr>
                <w:b/>
                <w:sz w:val="18"/>
              </w:rPr>
              <w:t>FY5 EBITDA margin</w:t>
            </w:r>
          </w:p>
        </w:tc>
        <w:tc>
          <w:tcPr>
            <w:tcW w:type="dxa" w:w="2268"/>
            <w:vAlign w:val="center"/>
          </w:tcPr>
          <w:p>
            <w:pPr>
              <w:spacing w:after="20" w:line="252" w:lineRule="auto"/>
              <w:jc w:val="right"/>
            </w:pPr>
            <w:r>
              <w:rPr>
                <w:sz w:val="18"/>
              </w:rPr>
              <w:t>21%</w:t>
            </w:r>
          </w:p>
        </w:tc>
        <w:tc>
          <w:tcPr>
            <w:tcW w:type="dxa" w:w="2268"/>
            <w:vAlign w:val="center"/>
          </w:tcPr>
          <w:p>
            <w:pPr>
              <w:spacing w:after="20" w:line="252" w:lineRule="auto"/>
              <w:jc w:val="right"/>
            </w:pPr>
            <w:r>
              <w:rPr>
                <w:sz w:val="18"/>
              </w:rPr>
              <w:t>28%</w:t>
            </w:r>
          </w:p>
        </w:tc>
        <w:tc>
          <w:tcPr>
            <w:tcW w:type="dxa" w:w="2268"/>
            <w:vAlign w:val="center"/>
          </w:tcPr>
          <w:p>
            <w:pPr>
              <w:spacing w:after="20" w:line="252" w:lineRule="auto"/>
              <w:jc w:val="right"/>
            </w:pPr>
            <w:r>
              <w:rPr>
                <w:sz w:val="18"/>
              </w:rPr>
              <w:t>50%</w:t>
            </w:r>
          </w:p>
        </w:tc>
      </w:tr>
      <w:tr>
        <w:trPr>
          <w:cantSplit/>
        </w:trPr>
        <w:tc>
          <w:tcPr>
            <w:tcW w:type="dxa" w:w="2835"/>
            <w:shd w:val="clear" w:color="auto" w:fill="FAFAFB"/>
            <w:vAlign w:val="center"/>
          </w:tcPr>
          <w:p>
            <w:pPr>
              <w:spacing w:after="20" w:line="252" w:lineRule="auto"/>
            </w:pPr>
            <w:r>
              <w:rPr>
                <w:b/>
                <w:sz w:val="18"/>
              </w:rPr>
              <w:t>Paying workspaces FY5</w:t>
            </w:r>
          </w:p>
        </w:tc>
        <w:tc>
          <w:tcPr>
            <w:tcW w:type="dxa" w:w="2268"/>
            <w:shd w:val="clear" w:color="auto" w:fill="FAFAFB"/>
            <w:vAlign w:val="center"/>
          </w:tcPr>
          <w:p>
            <w:pPr>
              <w:spacing w:after="20" w:line="252" w:lineRule="auto"/>
              <w:jc w:val="right"/>
            </w:pPr>
            <w:r>
              <w:rPr>
                <w:sz w:val="18"/>
              </w:rPr>
              <w:t>3,974</w:t>
            </w:r>
          </w:p>
        </w:tc>
        <w:tc>
          <w:tcPr>
            <w:tcW w:type="dxa" w:w="2268"/>
            <w:shd w:val="clear" w:color="auto" w:fill="FAFAFB"/>
            <w:vAlign w:val="center"/>
          </w:tcPr>
          <w:p>
            <w:pPr>
              <w:spacing w:after="20" w:line="252" w:lineRule="auto"/>
              <w:jc w:val="right"/>
            </w:pPr>
            <w:r>
              <w:rPr>
                <w:sz w:val="18"/>
              </w:rPr>
              <w:t>8,816</w:t>
            </w:r>
          </w:p>
        </w:tc>
        <w:tc>
          <w:tcPr>
            <w:tcW w:type="dxa" w:w="2268"/>
            <w:shd w:val="clear" w:color="auto" w:fill="FAFAFB"/>
            <w:vAlign w:val="center"/>
          </w:tcPr>
          <w:p>
            <w:pPr>
              <w:spacing w:after="20" w:line="252" w:lineRule="auto"/>
              <w:jc w:val="right"/>
            </w:pPr>
            <w:r>
              <w:rPr>
                <w:sz w:val="18"/>
              </w:rPr>
              <w:t>17,793</w:t>
            </w:r>
          </w:p>
        </w:tc>
      </w:tr>
      <w:tr>
        <w:trPr>
          <w:cantSplit/>
        </w:trPr>
        <w:tc>
          <w:tcPr>
            <w:tcW w:type="dxa" w:w="2835"/>
            <w:vAlign w:val="center"/>
          </w:tcPr>
          <w:p>
            <w:pPr>
              <w:spacing w:after="20" w:line="252" w:lineRule="auto"/>
            </w:pPr>
            <w:r>
              <w:rPr>
                <w:b/>
                <w:sz w:val="18"/>
              </w:rPr>
              <w:t>Headcount FY5</w:t>
            </w:r>
          </w:p>
        </w:tc>
        <w:tc>
          <w:tcPr>
            <w:tcW w:type="dxa" w:w="2268"/>
            <w:vAlign w:val="center"/>
          </w:tcPr>
          <w:p>
            <w:pPr>
              <w:spacing w:after="20" w:line="252" w:lineRule="auto"/>
              <w:jc w:val="right"/>
            </w:pPr>
            <w:r>
              <w:rPr>
                <w:sz w:val="18"/>
              </w:rPr>
              <w:t>67</w:t>
            </w:r>
          </w:p>
        </w:tc>
        <w:tc>
          <w:tcPr>
            <w:tcW w:type="dxa" w:w="2268"/>
            <w:vAlign w:val="center"/>
          </w:tcPr>
          <w:p>
            <w:pPr>
              <w:spacing w:after="20" w:line="252" w:lineRule="auto"/>
              <w:jc w:val="right"/>
            </w:pPr>
            <w:r>
              <w:rPr>
                <w:sz w:val="18"/>
              </w:rPr>
              <w:t>135</w:t>
            </w:r>
          </w:p>
        </w:tc>
        <w:tc>
          <w:tcPr>
            <w:tcW w:type="dxa" w:w="2268"/>
            <w:vAlign w:val="center"/>
          </w:tcPr>
          <w:p>
            <w:pPr>
              <w:spacing w:after="20" w:line="252" w:lineRule="auto"/>
              <w:jc w:val="right"/>
            </w:pPr>
            <w:r>
              <w:rPr>
                <w:sz w:val="18"/>
              </w:rPr>
              <w:t>135</w:t>
            </w:r>
          </w:p>
        </w:tc>
      </w:tr>
      <w:tr>
        <w:trPr>
          <w:cantSplit/>
        </w:trPr>
        <w:tc>
          <w:tcPr>
            <w:tcW w:type="dxa" w:w="2835"/>
            <w:shd w:val="clear" w:color="auto" w:fill="FAFAFB"/>
            <w:vAlign w:val="center"/>
          </w:tcPr>
          <w:p>
            <w:pPr>
              <w:spacing w:after="20" w:line="252" w:lineRule="auto"/>
            </w:pPr>
            <w:r>
              <w:rPr>
                <w:b/>
                <w:sz w:val="18"/>
              </w:rPr>
              <w:t>EBITDA positive every month from</w:t>
            </w:r>
          </w:p>
        </w:tc>
        <w:tc>
          <w:tcPr>
            <w:tcW w:type="dxa" w:w="2268"/>
            <w:shd w:val="clear" w:color="auto" w:fill="FAFAFB"/>
            <w:vAlign w:val="center"/>
          </w:tcPr>
          <w:p>
            <w:pPr>
              <w:spacing w:after="20" w:line="252" w:lineRule="auto"/>
              <w:jc w:val="right"/>
            </w:pPr>
            <w:r>
              <w:rPr>
                <w:sz w:val="18"/>
              </w:rPr>
              <w:t>Mar 2030</w:t>
            </w:r>
          </w:p>
        </w:tc>
        <w:tc>
          <w:tcPr>
            <w:tcW w:type="dxa" w:w="2268"/>
            <w:shd w:val="clear" w:color="auto" w:fill="FAFAFB"/>
            <w:vAlign w:val="center"/>
          </w:tcPr>
          <w:p>
            <w:pPr>
              <w:spacing w:after="20" w:line="252" w:lineRule="auto"/>
              <w:jc w:val="right"/>
            </w:pPr>
            <w:r>
              <w:rPr>
                <w:sz w:val="18"/>
              </w:rPr>
              <w:t>Jun 2029</w:t>
            </w:r>
          </w:p>
        </w:tc>
        <w:tc>
          <w:tcPr>
            <w:tcW w:type="dxa" w:w="2268"/>
            <w:shd w:val="clear" w:color="auto" w:fill="FAFAFB"/>
            <w:vAlign w:val="center"/>
          </w:tcPr>
          <w:p>
            <w:pPr>
              <w:spacing w:after="20" w:line="252" w:lineRule="auto"/>
              <w:jc w:val="right"/>
            </w:pPr>
            <w:r>
              <w:rPr>
                <w:sz w:val="18"/>
              </w:rPr>
              <w:t>Jun 2028</w:t>
            </w:r>
          </w:p>
        </w:tc>
      </w:tr>
      <w:tr>
        <w:trPr>
          <w:cantSplit/>
        </w:trPr>
        <w:tc>
          <w:tcPr>
            <w:tcW w:type="dxa" w:w="2835"/>
            <w:vAlign w:val="center"/>
          </w:tcPr>
          <w:p>
            <w:pPr>
              <w:spacing w:after="20" w:line="252" w:lineRule="auto"/>
            </w:pPr>
            <w:r>
              <w:rPr>
                <w:b/>
                <w:sz w:val="18"/>
              </w:rPr>
              <w:t>Minimum cash after the seed</w:t>
            </w:r>
          </w:p>
        </w:tc>
        <w:tc>
          <w:tcPr>
            <w:tcW w:type="dxa" w:w="2268"/>
            <w:vAlign w:val="center"/>
          </w:tcPr>
          <w:p>
            <w:pPr>
              <w:spacing w:after="20" w:line="252" w:lineRule="auto"/>
              <w:jc w:val="right"/>
            </w:pPr>
            <w:r>
              <w:rPr>
                <w:sz w:val="18"/>
              </w:rPr>
              <w:t>R4.27m</w:t>
            </w:r>
          </w:p>
        </w:tc>
        <w:tc>
          <w:tcPr>
            <w:tcW w:type="dxa" w:w="2268"/>
            <w:vAlign w:val="center"/>
          </w:tcPr>
          <w:p>
            <w:pPr>
              <w:spacing w:after="20" w:line="252" w:lineRule="auto"/>
              <w:jc w:val="right"/>
            </w:pPr>
            <w:r>
              <w:rPr>
                <w:sz w:val="18"/>
              </w:rPr>
              <w:t>R7.96m</w:t>
            </w:r>
          </w:p>
        </w:tc>
        <w:tc>
          <w:tcPr>
            <w:tcW w:type="dxa" w:w="2268"/>
            <w:vAlign w:val="center"/>
          </w:tcPr>
          <w:p>
            <w:pPr>
              <w:spacing w:after="20" w:line="252" w:lineRule="auto"/>
              <w:jc w:val="right"/>
            </w:pPr>
            <w:r>
              <w:rPr>
                <w:sz w:val="18"/>
              </w:rPr>
              <w:t>R15.08m</w:t>
            </w:r>
          </w:p>
        </w:tc>
      </w:tr>
      <w:tr>
        <w:trPr>
          <w:cantSplit/>
        </w:trPr>
        <w:tc>
          <w:tcPr>
            <w:tcW w:type="dxa" w:w="2835"/>
            <w:shd w:val="clear" w:color="auto" w:fill="FAFAFB"/>
            <w:vAlign w:val="center"/>
          </w:tcPr>
          <w:p>
            <w:pPr>
              <w:spacing w:after="20" w:line="252" w:lineRule="auto"/>
            </w:pPr>
            <w:r>
              <w:rPr>
                <w:b/>
                <w:sz w:val="18"/>
              </w:rPr>
              <w:t>Nigeria / Kenya / Ghana launch</w:t>
            </w:r>
          </w:p>
        </w:tc>
        <w:tc>
          <w:tcPr>
            <w:tcW w:type="dxa" w:w="2268"/>
            <w:shd w:val="clear" w:color="auto" w:fill="FAFAFB"/>
            <w:vAlign w:val="center"/>
          </w:tcPr>
          <w:p>
            <w:pPr>
              <w:spacing w:after="20" w:line="252" w:lineRule="auto"/>
              <w:jc w:val="right"/>
            </w:pPr>
            <w:r>
              <w:rPr>
                <w:sz w:val="18"/>
              </w:rPr>
              <w:t>Sep 2028 / Jan 2029 / Mar 2029</w:t>
            </w:r>
          </w:p>
        </w:tc>
        <w:tc>
          <w:tcPr>
            <w:tcW w:type="dxa" w:w="2268"/>
            <w:shd w:val="clear" w:color="auto" w:fill="FAFAFB"/>
            <w:vAlign w:val="center"/>
          </w:tcPr>
          <w:p>
            <w:pPr>
              <w:spacing w:after="20" w:line="252" w:lineRule="auto"/>
              <w:jc w:val="right"/>
            </w:pPr>
            <w:r>
              <w:rPr>
                <w:sz w:val="18"/>
              </w:rPr>
              <w:t>Feb 2028 / Apr 2028 / Jun 2028</w:t>
            </w:r>
          </w:p>
        </w:tc>
        <w:tc>
          <w:tcPr>
            <w:tcW w:type="dxa" w:w="2268"/>
            <w:shd w:val="clear" w:color="auto" w:fill="FAFAFB"/>
            <w:vAlign w:val="center"/>
          </w:tcPr>
          <w:p>
            <w:pPr>
              <w:spacing w:after="20" w:line="252" w:lineRule="auto"/>
              <w:jc w:val="right"/>
            </w:pPr>
            <w:r>
              <w:rPr>
                <w:sz w:val="18"/>
              </w:rPr>
              <w:t>Nov 2027 / Jan 2028 / Mar 2028</w:t>
            </w:r>
          </w:p>
        </w:tc>
      </w:tr>
      <w:tr>
        <w:trPr>
          <w:cantSplit/>
        </w:trPr>
        <w:tc>
          <w:tcPr>
            <w:tcW w:type="dxa" w:w="2835"/>
            <w:shd w:val="clear" w:color="auto" w:fill="FFF4EB"/>
            <w:vAlign w:val="center"/>
          </w:tcPr>
          <w:p>
            <w:pPr>
              <w:spacing w:after="20" w:line="252" w:lineRule="auto"/>
            </w:pPr>
            <w:r>
              <w:rPr>
                <w:b/>
                <w:sz w:val="18"/>
              </w:rPr>
              <w:t>Profitable on R25m alone</w:t>
            </w:r>
          </w:p>
        </w:tc>
        <w:tc>
          <w:tcPr>
            <w:tcW w:type="dxa" w:w="2268"/>
            <w:shd w:val="clear" w:color="auto" w:fill="FFF4EB"/>
            <w:vAlign w:val="center"/>
          </w:tcPr>
          <w:p>
            <w:pPr>
              <w:spacing w:after="20" w:line="252" w:lineRule="auto"/>
              <w:jc w:val="right"/>
            </w:pPr>
            <w:r>
              <w:rPr>
                <w:b/>
                <w:sz w:val="18"/>
              </w:rPr>
              <w:t>Yes</w:t>
            </w:r>
          </w:p>
        </w:tc>
        <w:tc>
          <w:tcPr>
            <w:tcW w:type="dxa" w:w="2268"/>
            <w:shd w:val="clear" w:color="auto" w:fill="FFF4EB"/>
            <w:vAlign w:val="center"/>
          </w:tcPr>
          <w:p>
            <w:pPr>
              <w:spacing w:after="20" w:line="252" w:lineRule="auto"/>
              <w:jc w:val="right"/>
            </w:pPr>
            <w:r>
              <w:rPr>
                <w:b/>
                <w:sz w:val="18"/>
              </w:rPr>
              <w:t>Yes</w:t>
            </w:r>
          </w:p>
        </w:tc>
        <w:tc>
          <w:tcPr>
            <w:tcW w:type="dxa" w:w="2268"/>
            <w:shd w:val="clear" w:color="auto" w:fill="FFF4EB"/>
            <w:vAlign w:val="center"/>
          </w:tcPr>
          <w:p>
            <w:pPr>
              <w:spacing w:after="20" w:line="252" w:lineRule="auto"/>
              <w:jc w:val="right"/>
            </w:pPr>
            <w:r>
              <w:rPr>
                <w:b/>
                <w:sz w:val="18"/>
              </w:rPr>
              <w:t>Yes</w:t>
            </w:r>
          </w:p>
        </w:tc>
      </w:tr>
    </w:tbl>
    <w:p>
      <w:pPr>
        <w:spacing w:after="0" w:line="120" w:lineRule="exact"/>
      </w:pPr>
    </w:p>
    <w:p>
      <w:pPr>
        <w:spacing w:after="200"/>
      </w:pPr>
      <w:r>
        <w:rPr>
          <w:color w:val="5B6570"/>
          <w:sz w:val="17"/>
        </w:rPr>
        <w:t>Source: FluxMuse Financial Model v2 (Base case), 11 September 2026.</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onservative case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The Conservative case needs cost discipline, and the model says so plainly</w:t>
            </w:r>
          </w:p>
          <w:p>
            <w:pPr>
              <w:spacing w:after="80"/>
            </w:pPr>
            <w:r>
              <w:rPr>
                <w:sz w:val="19"/>
              </w:rPr>
              <w:t xml:space="preserve">On Base hiring gates, the Conservative case </w:t>
            </w:r>
            <w:r>
              <w:rPr>
                <w:b/>
                <w:sz w:val="19"/>
              </w:rPr>
              <w:t>fails</w:t>
            </w:r>
            <w:r>
              <w:rPr>
                <w:sz w:val="19"/>
              </w:rPr>
              <w:t>: cash falls to −R2.76m in Jan 2030, a R5.76m shortfall against the buffer.</w:t>
            </w:r>
          </w:p>
          <w:p>
            <w:pPr>
              <w:pStyle w:val="ListBullet"/>
            </w:pPr>
            <w:r>
              <w:rPr>
                <w:sz w:val="19"/>
              </w:rPr>
              <w:t>The smallest fixes are to raise the hiring and launch gate multiplier to 1.35×, or to cut every non-founder salary by 13%.</w:t>
            </w:r>
          </w:p>
          <w:p>
            <w:pPr>
              <w:pStyle w:val="ListBullet"/>
            </w:pPr>
            <w:r>
              <w:rPr>
                <w:sz w:val="19"/>
              </w:rPr>
              <w:t xml:space="preserve">The plan adopts </w:t>
            </w:r>
            <w:r>
              <w:rPr>
                <w:b/>
                <w:sz w:val="19"/>
              </w:rPr>
              <w:t>1.40×</w:t>
            </w:r>
            <w:r>
              <w:rPr>
                <w:sz w:val="19"/>
              </w:rPr>
              <w:t>, which leaves more headroom. The cost is real: wave-1 launches move to September 2028 to March 2029 and FY5 headcount falls to 67.</w:t>
            </w:r>
          </w:p>
          <w:p>
            <w:pPr>
              <w:pStyle w:val="ListBullet"/>
            </w:pPr>
            <w:r>
              <w:rPr>
                <w:sz w:val="19"/>
              </w:rPr>
              <w:t>In other words, a slower market is survived by hiring and launching later, not by raising more.</w:t>
            </w:r>
          </w:p>
        </w:tc>
      </w:tr>
    </w:tbl>
    <w:p>
      <w:pPr>
        <w:spacing w:after="0" w:line="160" w:lineRule="exact"/>
      </w:pPr>
    </w:p>
    <w:p>
      <w:pPr>
        <w:pStyle w:val="Heading2"/>
      </w:pPr>
      <w:r>
        <w:rPr/>
        <w:t>Sensitivities</w:t>
      </w:r>
    </w:p>
    <w:p>
      <w:r>
        <w:rPr>
          <w:b/>
        </w:rPr>
        <w:t>Volume is the biggest risk to the cash buffer.</w:t>
      </w:r>
      <w:r>
        <w:rPr/>
        <w:t xml:space="preserve"> The grid below shows minimum post-seed cash on Base hiring gates as new-customer volume and churn move.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Minimum post-seed cash (R m), Base gates"/>
      </w:tblPr>
      <w:tblGrid>
        <w:gridCol w:w="2381"/>
        <w:gridCol w:w="1451"/>
        <w:gridCol w:w="1451"/>
        <w:gridCol w:w="1451"/>
        <w:gridCol w:w="1451"/>
        <w:gridCol w:w="1451"/>
      </w:tblGrid>
      <w:tr>
        <w:trPr>
          <w:cantSplit/>
          <w:tblHeader/>
        </w:trPr>
        <w:tc>
          <w:tcPr>
            <w:tcW w:type="dxa" w:w="2381"/>
            <w:shd w:val="clear" w:color="auto" w:fill="FF6A00"/>
            <w:vAlign w:val="center"/>
          </w:tcPr>
          <w:p>
            <w:pPr>
              <w:keepNext/>
              <w:spacing w:after="20" w:line="252" w:lineRule="auto"/>
            </w:pPr>
            <w:r>
              <w:rPr>
                <w:rFonts w:ascii="Poppins" w:hAnsi="Poppins" w:cs="Poppins" w:eastAsia="Poppins"/>
                <w:b/>
                <w:color w:val="20242B"/>
                <w:sz w:val="18"/>
              </w:rPr>
              <w:t>Churn ×  /  Volume →</w:t>
            </w:r>
          </w:p>
        </w:tc>
        <w:tc>
          <w:tcPr>
            <w:tcW w:type="dxa" w:w="1451"/>
            <w:shd w:val="clear" w:color="auto" w:fill="FF6A00"/>
            <w:vAlign w:val="center"/>
          </w:tcPr>
          <w:p>
            <w:pPr>
              <w:keepNext/>
              <w:spacing w:after="20" w:line="252" w:lineRule="auto"/>
              <w:jc w:val="right"/>
            </w:pPr>
            <w:r>
              <w:rPr>
                <w:rFonts w:ascii="Poppins" w:hAnsi="Poppins" w:cs="Poppins" w:eastAsia="Poppins"/>
                <w:b/>
                <w:color w:val="20242B"/>
                <w:sz w:val="18"/>
              </w:rPr>
              <w:t>70%</w:t>
            </w:r>
          </w:p>
        </w:tc>
        <w:tc>
          <w:tcPr>
            <w:tcW w:type="dxa" w:w="1451"/>
            <w:shd w:val="clear" w:color="auto" w:fill="FF6A00"/>
            <w:vAlign w:val="center"/>
          </w:tcPr>
          <w:p>
            <w:pPr>
              <w:keepNext/>
              <w:spacing w:after="20" w:line="252" w:lineRule="auto"/>
              <w:jc w:val="right"/>
            </w:pPr>
            <w:r>
              <w:rPr>
                <w:rFonts w:ascii="Poppins" w:hAnsi="Poppins" w:cs="Poppins" w:eastAsia="Poppins"/>
                <w:b/>
                <w:color w:val="20242B"/>
                <w:sz w:val="18"/>
              </w:rPr>
              <w:t>85%</w:t>
            </w:r>
          </w:p>
        </w:tc>
        <w:tc>
          <w:tcPr>
            <w:tcW w:type="dxa" w:w="1451"/>
            <w:shd w:val="clear" w:color="auto" w:fill="FF6A00"/>
            <w:vAlign w:val="center"/>
          </w:tcPr>
          <w:p>
            <w:pPr>
              <w:keepNext/>
              <w:spacing w:after="20" w:line="252" w:lineRule="auto"/>
              <w:jc w:val="right"/>
            </w:pPr>
            <w:r>
              <w:rPr>
                <w:rFonts w:ascii="Poppins" w:hAnsi="Poppins" w:cs="Poppins" w:eastAsia="Poppins"/>
                <w:b/>
                <w:color w:val="20242B"/>
                <w:sz w:val="18"/>
              </w:rPr>
              <w:t>100%</w:t>
            </w:r>
          </w:p>
        </w:tc>
        <w:tc>
          <w:tcPr>
            <w:tcW w:type="dxa" w:w="1451"/>
            <w:shd w:val="clear" w:color="auto" w:fill="FF6A00"/>
            <w:vAlign w:val="center"/>
          </w:tcPr>
          <w:p>
            <w:pPr>
              <w:keepNext/>
              <w:spacing w:after="20" w:line="252" w:lineRule="auto"/>
              <w:jc w:val="right"/>
            </w:pPr>
            <w:r>
              <w:rPr>
                <w:rFonts w:ascii="Poppins" w:hAnsi="Poppins" w:cs="Poppins" w:eastAsia="Poppins"/>
                <w:b/>
                <w:color w:val="20242B"/>
                <w:sz w:val="18"/>
              </w:rPr>
              <w:t>115%</w:t>
            </w:r>
          </w:p>
        </w:tc>
        <w:tc>
          <w:tcPr>
            <w:tcW w:type="dxa" w:w="1451"/>
            <w:shd w:val="clear" w:color="auto" w:fill="FF6A00"/>
            <w:vAlign w:val="center"/>
          </w:tcPr>
          <w:p>
            <w:pPr>
              <w:keepNext/>
              <w:spacing w:after="20" w:line="252" w:lineRule="auto"/>
              <w:jc w:val="right"/>
            </w:pPr>
            <w:r>
              <w:rPr>
                <w:rFonts w:ascii="Poppins" w:hAnsi="Poppins" w:cs="Poppins" w:eastAsia="Poppins"/>
                <w:b/>
                <w:color w:val="20242B"/>
                <w:sz w:val="18"/>
              </w:rPr>
              <w:t>130%</w:t>
            </w:r>
          </w:p>
        </w:tc>
      </w:tr>
      <w:tr>
        <w:trPr>
          <w:cantSplit/>
        </w:trPr>
        <w:tc>
          <w:tcPr>
            <w:tcW w:type="dxa" w:w="2381"/>
            <w:vAlign w:val="center"/>
          </w:tcPr>
          <w:p>
            <w:pPr>
              <w:spacing w:after="20" w:line="252" w:lineRule="auto"/>
            </w:pPr>
            <w:r>
              <w:rPr>
                <w:b/>
                <w:sz w:val="18"/>
              </w:rPr>
              <w:t>0.70×</w:t>
            </w:r>
          </w:p>
        </w:tc>
        <w:tc>
          <w:tcPr>
            <w:tcW w:type="dxa" w:w="1451"/>
            <w:vAlign w:val="center"/>
          </w:tcPr>
          <w:p>
            <w:pPr>
              <w:spacing w:after="20" w:line="252" w:lineRule="auto"/>
              <w:jc w:val="right"/>
            </w:pPr>
            <w:r>
              <w:rPr>
                <w:sz w:val="18"/>
              </w:rPr>
              <w:t>R3.02m</w:t>
            </w:r>
          </w:p>
        </w:tc>
        <w:tc>
          <w:tcPr>
            <w:tcW w:type="dxa" w:w="1451"/>
            <w:vAlign w:val="center"/>
          </w:tcPr>
          <w:p>
            <w:pPr>
              <w:spacing w:after="20" w:line="252" w:lineRule="auto"/>
              <w:jc w:val="right"/>
            </w:pPr>
            <w:r>
              <w:rPr>
                <w:sz w:val="18"/>
              </w:rPr>
              <w:t>R6.34m</w:t>
            </w:r>
          </w:p>
        </w:tc>
        <w:tc>
          <w:tcPr>
            <w:tcW w:type="dxa" w:w="1451"/>
            <w:vAlign w:val="center"/>
          </w:tcPr>
          <w:p>
            <w:pPr>
              <w:spacing w:after="20" w:line="252" w:lineRule="auto"/>
              <w:jc w:val="right"/>
            </w:pPr>
            <w:r>
              <w:rPr>
                <w:sz w:val="18"/>
              </w:rPr>
              <w:t>R9.16m</w:t>
            </w:r>
          </w:p>
        </w:tc>
        <w:tc>
          <w:tcPr>
            <w:tcW w:type="dxa" w:w="1451"/>
            <w:vAlign w:val="center"/>
          </w:tcPr>
          <w:p>
            <w:pPr>
              <w:spacing w:after="20" w:line="252" w:lineRule="auto"/>
              <w:jc w:val="right"/>
            </w:pPr>
            <w:r>
              <w:rPr>
                <w:sz w:val="18"/>
              </w:rPr>
              <w:t>R11.25m</w:t>
            </w:r>
          </w:p>
        </w:tc>
        <w:tc>
          <w:tcPr>
            <w:tcW w:type="dxa" w:w="1451"/>
            <w:vAlign w:val="center"/>
          </w:tcPr>
          <w:p>
            <w:pPr>
              <w:spacing w:after="20" w:line="252" w:lineRule="auto"/>
              <w:jc w:val="right"/>
            </w:pPr>
            <w:r>
              <w:rPr>
                <w:sz w:val="18"/>
              </w:rPr>
              <w:t>R12.98m</w:t>
            </w:r>
          </w:p>
        </w:tc>
      </w:tr>
      <w:tr>
        <w:trPr>
          <w:cantSplit/>
        </w:trPr>
        <w:tc>
          <w:tcPr>
            <w:tcW w:type="dxa" w:w="2381"/>
            <w:shd w:val="clear" w:color="auto" w:fill="FAFAFB"/>
            <w:vAlign w:val="center"/>
          </w:tcPr>
          <w:p>
            <w:pPr>
              <w:spacing w:after="20" w:line="252" w:lineRule="auto"/>
            </w:pPr>
            <w:r>
              <w:rPr>
                <w:b/>
                <w:sz w:val="18"/>
              </w:rPr>
              <w:t>0.85×</w:t>
            </w:r>
          </w:p>
        </w:tc>
        <w:tc>
          <w:tcPr>
            <w:tcW w:type="dxa" w:w="1451"/>
            <w:shd w:val="clear" w:color="auto" w:fill="FAFAFB"/>
            <w:vAlign w:val="center"/>
          </w:tcPr>
          <w:p>
            <w:pPr>
              <w:spacing w:after="20" w:line="252" w:lineRule="auto"/>
              <w:jc w:val="right"/>
            </w:pPr>
            <w:r>
              <w:rPr>
                <w:sz w:val="18"/>
              </w:rPr>
              <w:t>R2.44m</w:t>
            </w:r>
          </w:p>
        </w:tc>
        <w:tc>
          <w:tcPr>
            <w:tcW w:type="dxa" w:w="1451"/>
            <w:shd w:val="clear" w:color="auto" w:fill="FAFAFB"/>
            <w:vAlign w:val="center"/>
          </w:tcPr>
          <w:p>
            <w:pPr>
              <w:spacing w:after="20" w:line="252" w:lineRule="auto"/>
              <w:jc w:val="right"/>
            </w:pPr>
            <w:r>
              <w:rPr>
                <w:sz w:val="18"/>
              </w:rPr>
              <w:t>R5.44m</w:t>
            </w:r>
          </w:p>
        </w:tc>
        <w:tc>
          <w:tcPr>
            <w:tcW w:type="dxa" w:w="1451"/>
            <w:shd w:val="clear" w:color="auto" w:fill="FAFAFB"/>
            <w:vAlign w:val="center"/>
          </w:tcPr>
          <w:p>
            <w:pPr>
              <w:spacing w:after="20" w:line="252" w:lineRule="auto"/>
              <w:jc w:val="right"/>
            </w:pPr>
            <w:r>
              <w:rPr>
                <w:sz w:val="18"/>
              </w:rPr>
              <w:t>R8.58m</w:t>
            </w:r>
          </w:p>
        </w:tc>
        <w:tc>
          <w:tcPr>
            <w:tcW w:type="dxa" w:w="1451"/>
            <w:shd w:val="clear" w:color="auto" w:fill="FAFAFB"/>
            <w:vAlign w:val="center"/>
          </w:tcPr>
          <w:p>
            <w:pPr>
              <w:spacing w:after="20" w:line="252" w:lineRule="auto"/>
              <w:jc w:val="right"/>
            </w:pPr>
            <w:r>
              <w:rPr>
                <w:sz w:val="18"/>
              </w:rPr>
              <w:t>R10.72m</w:t>
            </w:r>
          </w:p>
        </w:tc>
        <w:tc>
          <w:tcPr>
            <w:tcW w:type="dxa" w:w="1451"/>
            <w:shd w:val="clear" w:color="auto" w:fill="FAFAFB"/>
            <w:vAlign w:val="center"/>
          </w:tcPr>
          <w:p>
            <w:pPr>
              <w:spacing w:after="20" w:line="252" w:lineRule="auto"/>
              <w:jc w:val="right"/>
            </w:pPr>
            <w:r>
              <w:rPr>
                <w:sz w:val="18"/>
              </w:rPr>
              <w:t>R12.40m</w:t>
            </w:r>
          </w:p>
        </w:tc>
      </w:tr>
      <w:tr>
        <w:trPr>
          <w:cantSplit/>
        </w:trPr>
        <w:tc>
          <w:tcPr>
            <w:tcW w:type="dxa" w:w="2381"/>
            <w:shd w:val="clear" w:color="auto" w:fill="FFF4EB"/>
            <w:vAlign w:val="center"/>
          </w:tcPr>
          <w:p>
            <w:pPr>
              <w:spacing w:after="20" w:line="252" w:lineRule="auto"/>
            </w:pPr>
            <w:r>
              <w:rPr>
                <w:b/>
                <w:sz w:val="18"/>
              </w:rPr>
              <w:t>1.00×</w:t>
            </w:r>
          </w:p>
        </w:tc>
        <w:tc>
          <w:tcPr>
            <w:tcW w:type="dxa" w:w="1451"/>
            <w:shd w:val="clear" w:color="auto" w:fill="FFF4EB"/>
            <w:vAlign w:val="center"/>
          </w:tcPr>
          <w:p>
            <w:pPr>
              <w:spacing w:after="20" w:line="252" w:lineRule="auto"/>
              <w:jc w:val="right"/>
            </w:pPr>
            <w:r>
              <w:rPr>
                <w:sz w:val="18"/>
              </w:rPr>
              <w:t>R0.98m</w:t>
            </w:r>
          </w:p>
        </w:tc>
        <w:tc>
          <w:tcPr>
            <w:tcW w:type="dxa" w:w="1451"/>
            <w:shd w:val="clear" w:color="auto" w:fill="FFF4EB"/>
            <w:vAlign w:val="center"/>
          </w:tcPr>
          <w:p>
            <w:pPr>
              <w:spacing w:after="20" w:line="252" w:lineRule="auto"/>
              <w:jc w:val="right"/>
            </w:pPr>
            <w:r>
              <w:rPr>
                <w:sz w:val="18"/>
              </w:rPr>
              <w:t>R4.15m</w:t>
            </w:r>
          </w:p>
        </w:tc>
        <w:tc>
          <w:tcPr>
            <w:tcW w:type="dxa" w:w="1451"/>
            <w:shd w:val="clear" w:color="auto" w:fill="FFF4EB"/>
            <w:vAlign w:val="center"/>
          </w:tcPr>
          <w:p>
            <w:pPr>
              <w:spacing w:after="20" w:line="252" w:lineRule="auto"/>
              <w:jc w:val="right"/>
            </w:pPr>
            <w:r>
              <w:rPr>
                <w:sz w:val="18"/>
              </w:rPr>
              <w:t>R7.96m</w:t>
            </w:r>
          </w:p>
        </w:tc>
        <w:tc>
          <w:tcPr>
            <w:tcW w:type="dxa" w:w="1451"/>
            <w:shd w:val="clear" w:color="auto" w:fill="FFF4EB"/>
            <w:vAlign w:val="center"/>
          </w:tcPr>
          <w:p>
            <w:pPr>
              <w:spacing w:after="20" w:line="252" w:lineRule="auto"/>
              <w:jc w:val="right"/>
            </w:pPr>
            <w:r>
              <w:rPr>
                <w:sz w:val="18"/>
              </w:rPr>
              <w:t>R10.12m</w:t>
            </w:r>
          </w:p>
        </w:tc>
        <w:tc>
          <w:tcPr>
            <w:tcW w:type="dxa" w:w="1451"/>
            <w:shd w:val="clear" w:color="auto" w:fill="FFF4EB"/>
            <w:vAlign w:val="center"/>
          </w:tcPr>
          <w:p>
            <w:pPr>
              <w:spacing w:after="20" w:line="252" w:lineRule="auto"/>
              <w:jc w:val="right"/>
            </w:pPr>
            <w:r>
              <w:rPr>
                <w:sz w:val="18"/>
              </w:rPr>
              <w:t>R11.82m</w:t>
            </w:r>
          </w:p>
        </w:tc>
      </w:tr>
      <w:tr>
        <w:trPr>
          <w:cantSplit/>
        </w:trPr>
        <w:tc>
          <w:tcPr>
            <w:tcW w:type="dxa" w:w="2381"/>
            <w:shd w:val="clear" w:color="auto" w:fill="FAFAFB"/>
            <w:vAlign w:val="center"/>
          </w:tcPr>
          <w:p>
            <w:pPr>
              <w:spacing w:after="20" w:line="252" w:lineRule="auto"/>
            </w:pPr>
            <w:r>
              <w:rPr>
                <w:b/>
                <w:sz w:val="18"/>
              </w:rPr>
              <w:t>1.15×</w:t>
            </w:r>
          </w:p>
        </w:tc>
        <w:tc>
          <w:tcPr>
            <w:tcW w:type="dxa" w:w="1451"/>
            <w:shd w:val="clear" w:color="auto" w:fill="FAFAFB"/>
            <w:vAlign w:val="center"/>
          </w:tcPr>
          <w:p>
            <w:pPr>
              <w:spacing w:after="20" w:line="252" w:lineRule="auto"/>
              <w:jc w:val="right"/>
            </w:pPr>
            <w:r>
              <w:rPr>
                <w:sz w:val="18"/>
              </w:rPr>
              <w:t>R-0.07m</w:t>
            </w:r>
          </w:p>
        </w:tc>
        <w:tc>
          <w:tcPr>
            <w:tcW w:type="dxa" w:w="1451"/>
            <w:shd w:val="clear" w:color="auto" w:fill="FAFAFB"/>
            <w:vAlign w:val="center"/>
          </w:tcPr>
          <w:p>
            <w:pPr>
              <w:spacing w:after="20" w:line="252" w:lineRule="auto"/>
              <w:jc w:val="right"/>
            </w:pPr>
            <w:r>
              <w:rPr>
                <w:sz w:val="18"/>
              </w:rPr>
              <w:t>R3.78m</w:t>
            </w:r>
          </w:p>
        </w:tc>
        <w:tc>
          <w:tcPr>
            <w:tcW w:type="dxa" w:w="1451"/>
            <w:shd w:val="clear" w:color="auto" w:fill="FAFAFB"/>
            <w:vAlign w:val="center"/>
          </w:tcPr>
          <w:p>
            <w:pPr>
              <w:spacing w:after="20" w:line="252" w:lineRule="auto"/>
              <w:jc w:val="right"/>
            </w:pPr>
            <w:r>
              <w:rPr>
                <w:sz w:val="18"/>
              </w:rPr>
              <w:t>R6.89m</w:t>
            </w:r>
          </w:p>
        </w:tc>
        <w:tc>
          <w:tcPr>
            <w:tcW w:type="dxa" w:w="1451"/>
            <w:shd w:val="clear" w:color="auto" w:fill="FAFAFB"/>
            <w:vAlign w:val="center"/>
          </w:tcPr>
          <w:p>
            <w:pPr>
              <w:spacing w:after="20" w:line="252" w:lineRule="auto"/>
              <w:jc w:val="right"/>
            </w:pPr>
            <w:r>
              <w:rPr>
                <w:sz w:val="18"/>
              </w:rPr>
              <w:t>R9.47m</w:t>
            </w:r>
          </w:p>
        </w:tc>
        <w:tc>
          <w:tcPr>
            <w:tcW w:type="dxa" w:w="1451"/>
            <w:shd w:val="clear" w:color="auto" w:fill="FAFAFB"/>
            <w:vAlign w:val="center"/>
          </w:tcPr>
          <w:p>
            <w:pPr>
              <w:spacing w:after="20" w:line="252" w:lineRule="auto"/>
              <w:jc w:val="right"/>
            </w:pPr>
            <w:r>
              <w:rPr>
                <w:sz w:val="18"/>
              </w:rPr>
              <w:t>R11.27m</w:t>
            </w:r>
          </w:p>
        </w:tc>
      </w:tr>
      <w:tr>
        <w:trPr>
          <w:cantSplit/>
        </w:trPr>
        <w:tc>
          <w:tcPr>
            <w:tcW w:type="dxa" w:w="2381"/>
            <w:vAlign w:val="center"/>
          </w:tcPr>
          <w:p>
            <w:pPr>
              <w:spacing w:after="20" w:line="252" w:lineRule="auto"/>
            </w:pPr>
            <w:r>
              <w:rPr>
                <w:b/>
                <w:sz w:val="18"/>
              </w:rPr>
              <w:t>1.30×</w:t>
            </w:r>
          </w:p>
        </w:tc>
        <w:tc>
          <w:tcPr>
            <w:tcW w:type="dxa" w:w="1451"/>
            <w:vAlign w:val="center"/>
          </w:tcPr>
          <w:p>
            <w:pPr>
              <w:spacing w:after="20" w:line="252" w:lineRule="auto"/>
              <w:jc w:val="right"/>
            </w:pPr>
            <w:r>
              <w:rPr>
                <w:sz w:val="18"/>
              </w:rPr>
              <w:t>R-0.81m</w:t>
            </w:r>
          </w:p>
        </w:tc>
        <w:tc>
          <w:tcPr>
            <w:tcW w:type="dxa" w:w="1451"/>
            <w:vAlign w:val="center"/>
          </w:tcPr>
          <w:p>
            <w:pPr>
              <w:spacing w:after="20" w:line="252" w:lineRule="auto"/>
              <w:jc w:val="right"/>
            </w:pPr>
            <w:r>
              <w:rPr>
                <w:sz w:val="18"/>
              </w:rPr>
              <w:t>R3.10m</w:t>
            </w:r>
          </w:p>
        </w:tc>
        <w:tc>
          <w:tcPr>
            <w:tcW w:type="dxa" w:w="1451"/>
            <w:vAlign w:val="center"/>
          </w:tcPr>
          <w:p>
            <w:pPr>
              <w:spacing w:after="20" w:line="252" w:lineRule="auto"/>
              <w:jc w:val="right"/>
            </w:pPr>
            <w:r>
              <w:rPr>
                <w:sz w:val="18"/>
              </w:rPr>
              <w:t>R5.69m</w:t>
            </w:r>
          </w:p>
        </w:tc>
        <w:tc>
          <w:tcPr>
            <w:tcW w:type="dxa" w:w="1451"/>
            <w:vAlign w:val="center"/>
          </w:tcPr>
          <w:p>
            <w:pPr>
              <w:spacing w:after="20" w:line="252" w:lineRule="auto"/>
              <w:jc w:val="right"/>
            </w:pPr>
            <w:r>
              <w:rPr>
                <w:sz w:val="18"/>
              </w:rPr>
              <w:t>R8.70m</w:t>
            </w:r>
          </w:p>
        </w:tc>
        <w:tc>
          <w:tcPr>
            <w:tcW w:type="dxa" w:w="1451"/>
            <w:vAlign w:val="center"/>
          </w:tcPr>
          <w:p>
            <w:pPr>
              <w:spacing w:after="20" w:line="252" w:lineRule="auto"/>
              <w:jc w:val="right"/>
            </w:pPr>
            <w:r>
              <w:rPr>
                <w:sz w:val="18"/>
              </w:rPr>
              <w:t>R10.74m</w:t>
            </w:r>
          </w:p>
        </w:tc>
      </w:tr>
    </w:tbl>
    <w:p>
      <w:pPr>
        <w:spacing w:after="0" w:line="120" w:lineRule="exact"/>
      </w:pPr>
    </w:p>
    <w:p>
      <w:pPr>
        <w:spacing w:after="200"/>
      </w:pPr>
      <w:r>
        <w:rPr>
          <w:color w:val="5B6570"/>
          <w:sz w:val="17"/>
        </w:rPr>
        <w:t>Source: FluxMuse Financial Model v2 (Base case), 11 September 2026.</w:t>
      </w:r>
    </w:p>
    <w:p>
      <w:pPr>
        <w:pStyle w:val="ListBullet"/>
      </w:pPr>
      <w:r>
        <w:rPr>
          <w:b/>
        </w:rPr>
        <w:t>Trial volume 30% below plan</w:t>
      </w:r>
      <w:r>
        <w:rPr/>
        <w:t xml:space="preserve"> takes minimum post-seed cash to </w:t>
      </w:r>
      <w:r>
        <w:rPr>
          <w:b/>
        </w:rPr>
        <w:t>R0.98m</w:t>
      </w:r>
      <w:r>
        <w:rPr/>
        <w:t>, below the R3.0m buffer. With churn 15% worse as well it goes slightly negative (−R0.07m).</w:t>
      </w:r>
    </w:p>
    <w:p>
      <w:pPr>
        <w:pStyle w:val="ListBullet"/>
      </w:pPr>
      <w:r>
        <w:rPr/>
        <w:t>Volume 15% below plan still passes at R4.15m, and churn 30% worse with volume 15% down just passes at R3.10m.</w:t>
      </w:r>
    </w:p>
    <w:p>
      <w:pPr>
        <w:pStyle w:val="ListBullet"/>
      </w:pPr>
      <w:r>
        <w:rPr>
          <w:b/>
        </w:rPr>
        <w:t>The response is pre-agreed</w:t>
      </w:r>
      <w:r>
        <w:rPr/>
        <w:t>: if early trials run more than about 20% below plan, the gate multiplier is raised as in the Conservative case, which delays hiring and launches and protects cash. This is also why roughly R8m of the seed is deliberately left unspent (section 13).</w:t>
      </w:r>
    </w:p>
    <w:p>
      <w:pPr>
        <w:pStyle w:val="Heading3"/>
      </w:pPr>
      <w:r>
        <w:rPr/>
        <w:t>FX shock: the rand 15% stronger</w:t>
      </w:r>
    </w:p>
    <w:p>
      <w:pPr>
        <w:keepNext/>
        <w:spacing w:before="120" w:after="0"/>
        <w:jc w:val="center"/>
      </w:pPr>
      <w:r>
        <w:drawing>
          <wp:inline xmlns:a="http://schemas.openxmlformats.org/drawingml/2006/main" xmlns:pic="http://schemas.openxmlformats.org/drawingml/2006/picture">
            <wp:extent cx="4896000" cy="3060000"/>
            <wp:docPr id="24" name="Picture 24" descr="Grouped bars comparing base, shock with repricing and shock without repricing for FY3 revenue, FY5 revenue, FY3 EBITDA, FY5 EBITDA and minimum post-seed cash. Without repricing FY5 revenue falls R21.0 million and FY5 EBITDA R9.9 million; with repricing the effect is negligible. Profitable on the R25 million seed alone in all three cases."/>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896000" cy="3060000"/>
                    </a:xfrm>
                    <a:prstGeom prst="rect"/>
                  </pic:spPr>
                </pic:pic>
              </a:graphicData>
            </a:graphic>
          </wp:inline>
        </w:drawing>
      </w:r>
    </w:p>
    <w:p>
      <w:pPr>
        <w:pStyle w:val="Caption"/>
        <w:jc w:val="center"/>
      </w:pPr>
      <w:r>
        <w:rPr>
          <w:b/>
        </w:rPr>
        <w:t>Figure 23.</w:t>
      </w:r>
      <w:r>
        <w:rPr/>
        <w:t xml:space="preserve"> A 15% stronger rand against NGN, KES, GHS and USD from October 2028, with and without the quarterly repricing policy.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X shock, Base case"/>
      </w:tblPr>
      <w:tblGrid>
        <w:gridCol w:w="2494"/>
        <w:gridCol w:w="2381"/>
        <w:gridCol w:w="2381"/>
        <w:gridCol w:w="2381"/>
      </w:tblGrid>
      <w:tr>
        <w:trPr>
          <w:cantSplit/>
          <w:tblHeader/>
        </w:trPr>
        <w:tc>
          <w:tcPr>
            <w:tcW w:type="dxa" w:w="2494"/>
            <w:shd w:val="clear" w:color="auto" w:fill="FF6A00"/>
            <w:vAlign w:val="center"/>
          </w:tcPr>
          <w:p>
            <w:pPr>
              <w:keepNext/>
              <w:spacing w:after="20" w:line="252" w:lineRule="auto"/>
            </w:pPr>
            <w:r>
              <w:rPr>
                <w:rFonts w:ascii="Poppins" w:hAnsi="Poppins" w:cs="Poppins" w:eastAsia="Poppins"/>
                <w:b/>
                <w:color w:val="20242B"/>
                <w:sz w:val="18"/>
              </w:rPr>
              <w:t>Outcome</w:t>
            </w:r>
          </w:p>
        </w:tc>
        <w:tc>
          <w:tcPr>
            <w:tcW w:type="dxa" w:w="2381"/>
            <w:shd w:val="clear" w:color="auto" w:fill="FF6A00"/>
            <w:vAlign w:val="center"/>
          </w:tcPr>
          <w:p>
            <w:pPr>
              <w:keepNext/>
              <w:spacing w:after="20" w:line="252" w:lineRule="auto"/>
              <w:jc w:val="right"/>
            </w:pPr>
            <w:r>
              <w:rPr>
                <w:rFonts w:ascii="Poppins" w:hAnsi="Poppins" w:cs="Poppins" w:eastAsia="Poppins"/>
                <w:b/>
                <w:color w:val="20242B"/>
                <w:sz w:val="18"/>
              </w:rPr>
              <w:t>Base</w:t>
            </w:r>
          </w:p>
        </w:tc>
        <w:tc>
          <w:tcPr>
            <w:tcW w:type="dxa" w:w="2381"/>
            <w:shd w:val="clear" w:color="auto" w:fill="FF6A00"/>
            <w:vAlign w:val="center"/>
          </w:tcPr>
          <w:p>
            <w:pPr>
              <w:keepNext/>
              <w:spacing w:after="20" w:line="252" w:lineRule="auto"/>
              <w:jc w:val="right"/>
            </w:pPr>
            <w:r>
              <w:rPr>
                <w:rFonts w:ascii="Poppins" w:hAnsi="Poppins" w:cs="Poppins" w:eastAsia="Poppins"/>
                <w:b/>
                <w:color w:val="20242B"/>
                <w:sz w:val="18"/>
              </w:rPr>
              <w:t>Rand +15%, repricing on</w:t>
            </w:r>
          </w:p>
        </w:tc>
        <w:tc>
          <w:tcPr>
            <w:tcW w:type="dxa" w:w="2381"/>
            <w:shd w:val="clear" w:color="auto" w:fill="FF6A00"/>
            <w:vAlign w:val="center"/>
          </w:tcPr>
          <w:p>
            <w:pPr>
              <w:keepNext/>
              <w:spacing w:after="20" w:line="252" w:lineRule="auto"/>
              <w:jc w:val="right"/>
            </w:pPr>
            <w:r>
              <w:rPr>
                <w:rFonts w:ascii="Poppins" w:hAnsi="Poppins" w:cs="Poppins" w:eastAsia="Poppins"/>
                <w:b/>
                <w:color w:val="20242B"/>
                <w:sz w:val="18"/>
              </w:rPr>
              <w:t>Rand +15%, no repricing</w:t>
            </w:r>
          </w:p>
        </w:tc>
      </w:tr>
      <w:tr>
        <w:trPr>
          <w:cantSplit/>
        </w:trPr>
        <w:tc>
          <w:tcPr>
            <w:tcW w:type="dxa" w:w="2494"/>
            <w:vAlign w:val="center"/>
          </w:tcPr>
          <w:p>
            <w:pPr>
              <w:spacing w:after="20" w:line="252" w:lineRule="auto"/>
            </w:pPr>
            <w:r>
              <w:rPr>
                <w:b/>
                <w:sz w:val="18"/>
              </w:rPr>
              <w:t>FY3 revenue</w:t>
            </w:r>
          </w:p>
        </w:tc>
        <w:tc>
          <w:tcPr>
            <w:tcW w:type="dxa" w:w="2381"/>
            <w:vAlign w:val="center"/>
          </w:tcPr>
          <w:p>
            <w:pPr>
              <w:spacing w:after="20" w:line="252" w:lineRule="auto"/>
              <w:jc w:val="right"/>
            </w:pPr>
            <w:r>
              <w:rPr>
                <w:sz w:val="18"/>
              </w:rPr>
              <w:t>R73.06m</w:t>
            </w:r>
          </w:p>
        </w:tc>
        <w:tc>
          <w:tcPr>
            <w:tcW w:type="dxa" w:w="2381"/>
            <w:vAlign w:val="center"/>
          </w:tcPr>
          <w:p>
            <w:pPr>
              <w:spacing w:after="20" w:line="252" w:lineRule="auto"/>
              <w:jc w:val="right"/>
            </w:pPr>
            <w:r>
              <w:rPr>
                <w:sz w:val="18"/>
              </w:rPr>
              <w:t>R73.25m</w:t>
            </w:r>
          </w:p>
        </w:tc>
        <w:tc>
          <w:tcPr>
            <w:tcW w:type="dxa" w:w="2381"/>
            <w:vAlign w:val="center"/>
          </w:tcPr>
          <w:p>
            <w:pPr>
              <w:spacing w:after="20" w:line="252" w:lineRule="auto"/>
              <w:jc w:val="right"/>
            </w:pPr>
            <w:r>
              <w:rPr>
                <w:sz w:val="18"/>
              </w:rPr>
              <w:t>R69.46m</w:t>
            </w:r>
          </w:p>
        </w:tc>
      </w:tr>
      <w:tr>
        <w:trPr>
          <w:cantSplit/>
        </w:trPr>
        <w:tc>
          <w:tcPr>
            <w:tcW w:type="dxa" w:w="2494"/>
            <w:shd w:val="clear" w:color="auto" w:fill="FAFAFB"/>
            <w:vAlign w:val="center"/>
          </w:tcPr>
          <w:p>
            <w:pPr>
              <w:spacing w:after="20" w:line="252" w:lineRule="auto"/>
            </w:pPr>
            <w:r>
              <w:rPr>
                <w:b/>
                <w:sz w:val="18"/>
              </w:rPr>
              <w:t>FY5 revenue</w:t>
            </w:r>
          </w:p>
        </w:tc>
        <w:tc>
          <w:tcPr>
            <w:tcW w:type="dxa" w:w="2381"/>
            <w:shd w:val="clear" w:color="auto" w:fill="FAFAFB"/>
            <w:vAlign w:val="center"/>
          </w:tcPr>
          <w:p>
            <w:pPr>
              <w:spacing w:after="20" w:line="252" w:lineRule="auto"/>
              <w:jc w:val="right"/>
            </w:pPr>
            <w:r>
              <w:rPr>
                <w:sz w:val="18"/>
              </w:rPr>
              <w:t>R237.98m</w:t>
            </w:r>
          </w:p>
        </w:tc>
        <w:tc>
          <w:tcPr>
            <w:tcW w:type="dxa" w:w="2381"/>
            <w:shd w:val="clear" w:color="auto" w:fill="FAFAFB"/>
            <w:vAlign w:val="center"/>
          </w:tcPr>
          <w:p>
            <w:pPr>
              <w:spacing w:after="20" w:line="252" w:lineRule="auto"/>
              <w:jc w:val="right"/>
            </w:pPr>
            <w:r>
              <w:rPr>
                <w:sz w:val="18"/>
              </w:rPr>
              <w:t>R238.05m</w:t>
            </w:r>
          </w:p>
        </w:tc>
        <w:tc>
          <w:tcPr>
            <w:tcW w:type="dxa" w:w="2381"/>
            <w:shd w:val="clear" w:color="auto" w:fill="FAFAFB"/>
            <w:vAlign w:val="center"/>
          </w:tcPr>
          <w:p>
            <w:pPr>
              <w:spacing w:after="20" w:line="252" w:lineRule="auto"/>
              <w:jc w:val="right"/>
            </w:pPr>
            <w:r>
              <w:rPr>
                <w:sz w:val="18"/>
              </w:rPr>
              <w:t>R216.97m</w:t>
            </w:r>
          </w:p>
        </w:tc>
      </w:tr>
      <w:tr>
        <w:trPr>
          <w:cantSplit/>
        </w:trPr>
        <w:tc>
          <w:tcPr>
            <w:tcW w:type="dxa" w:w="2494"/>
            <w:vAlign w:val="center"/>
          </w:tcPr>
          <w:p>
            <w:pPr>
              <w:spacing w:after="20" w:line="252" w:lineRule="auto"/>
            </w:pPr>
            <w:r>
              <w:rPr>
                <w:b/>
                <w:sz w:val="18"/>
              </w:rPr>
              <w:t>FY5 EBITDA</w:t>
            </w:r>
          </w:p>
        </w:tc>
        <w:tc>
          <w:tcPr>
            <w:tcW w:type="dxa" w:w="2381"/>
            <w:vAlign w:val="center"/>
          </w:tcPr>
          <w:p>
            <w:pPr>
              <w:spacing w:after="20" w:line="252" w:lineRule="auto"/>
              <w:jc w:val="right"/>
            </w:pPr>
            <w:r>
              <w:rPr>
                <w:sz w:val="18"/>
              </w:rPr>
              <w:t>R66.29m</w:t>
            </w:r>
          </w:p>
        </w:tc>
        <w:tc>
          <w:tcPr>
            <w:tcW w:type="dxa" w:w="2381"/>
            <w:vAlign w:val="center"/>
          </w:tcPr>
          <w:p>
            <w:pPr>
              <w:spacing w:after="20" w:line="252" w:lineRule="auto"/>
              <w:jc w:val="right"/>
            </w:pPr>
            <w:r>
              <w:rPr>
                <w:sz w:val="18"/>
              </w:rPr>
              <w:t>R66.77m</w:t>
            </w:r>
          </w:p>
        </w:tc>
        <w:tc>
          <w:tcPr>
            <w:tcW w:type="dxa" w:w="2381"/>
            <w:vAlign w:val="center"/>
          </w:tcPr>
          <w:p>
            <w:pPr>
              <w:spacing w:after="20" w:line="252" w:lineRule="auto"/>
              <w:jc w:val="right"/>
            </w:pPr>
            <w:r>
              <w:rPr>
                <w:sz w:val="18"/>
              </w:rPr>
              <w:t>R56.40m</w:t>
            </w:r>
          </w:p>
        </w:tc>
      </w:tr>
      <w:tr>
        <w:trPr>
          <w:cantSplit/>
        </w:trPr>
        <w:tc>
          <w:tcPr>
            <w:tcW w:type="dxa" w:w="2494"/>
            <w:shd w:val="clear" w:color="auto" w:fill="FAFAFB"/>
            <w:vAlign w:val="center"/>
          </w:tcPr>
          <w:p>
            <w:pPr>
              <w:spacing w:after="20" w:line="252" w:lineRule="auto"/>
            </w:pPr>
            <w:r>
              <w:rPr>
                <w:b/>
                <w:sz w:val="18"/>
              </w:rPr>
              <w:t>Minimum post-seed cash</w:t>
            </w:r>
          </w:p>
        </w:tc>
        <w:tc>
          <w:tcPr>
            <w:tcW w:type="dxa" w:w="2381"/>
            <w:shd w:val="clear" w:color="auto" w:fill="FAFAFB"/>
            <w:vAlign w:val="center"/>
          </w:tcPr>
          <w:p>
            <w:pPr>
              <w:spacing w:after="20" w:line="252" w:lineRule="auto"/>
              <w:jc w:val="right"/>
            </w:pPr>
            <w:r>
              <w:rPr>
                <w:sz w:val="18"/>
              </w:rPr>
              <w:t>R7.96m</w:t>
            </w:r>
          </w:p>
        </w:tc>
        <w:tc>
          <w:tcPr>
            <w:tcW w:type="dxa" w:w="2381"/>
            <w:shd w:val="clear" w:color="auto" w:fill="FAFAFB"/>
            <w:vAlign w:val="center"/>
          </w:tcPr>
          <w:p>
            <w:pPr>
              <w:spacing w:after="20" w:line="252" w:lineRule="auto"/>
              <w:jc w:val="right"/>
            </w:pPr>
            <w:r>
              <w:rPr>
                <w:sz w:val="18"/>
              </w:rPr>
              <w:t>R7.55m</w:t>
            </w:r>
          </w:p>
        </w:tc>
        <w:tc>
          <w:tcPr>
            <w:tcW w:type="dxa" w:w="2381"/>
            <w:shd w:val="clear" w:color="auto" w:fill="FAFAFB"/>
            <w:vAlign w:val="center"/>
          </w:tcPr>
          <w:p>
            <w:pPr>
              <w:spacing w:after="20" w:line="252" w:lineRule="auto"/>
              <w:jc w:val="right"/>
            </w:pPr>
            <w:r>
              <w:rPr>
                <w:sz w:val="18"/>
              </w:rPr>
              <w:t>R6.79m</w:t>
            </w:r>
          </w:p>
        </w:tc>
      </w:tr>
      <w:tr>
        <w:trPr>
          <w:cantSplit/>
        </w:trPr>
        <w:tc>
          <w:tcPr>
            <w:tcW w:type="dxa" w:w="2494"/>
            <w:vAlign w:val="center"/>
          </w:tcPr>
          <w:p>
            <w:pPr>
              <w:spacing w:after="20" w:line="252" w:lineRule="auto"/>
            </w:pPr>
            <w:r>
              <w:rPr>
                <w:b/>
                <w:sz w:val="18"/>
              </w:rPr>
              <w:t>Profitable on R25m alone</w:t>
            </w:r>
          </w:p>
        </w:tc>
        <w:tc>
          <w:tcPr>
            <w:tcW w:type="dxa" w:w="2381"/>
            <w:vAlign w:val="center"/>
          </w:tcPr>
          <w:p>
            <w:pPr>
              <w:spacing w:after="20" w:line="252" w:lineRule="auto"/>
              <w:jc w:val="right"/>
            </w:pPr>
            <w:r>
              <w:rPr>
                <w:sz w:val="18"/>
              </w:rPr>
              <w:t>Yes</w:t>
            </w:r>
          </w:p>
        </w:tc>
        <w:tc>
          <w:tcPr>
            <w:tcW w:type="dxa" w:w="2381"/>
            <w:vAlign w:val="center"/>
          </w:tcPr>
          <w:p>
            <w:pPr>
              <w:spacing w:after="20" w:line="252" w:lineRule="auto"/>
              <w:jc w:val="right"/>
            </w:pPr>
            <w:r>
              <w:rPr>
                <w:sz w:val="18"/>
              </w:rPr>
              <w:t>Yes</w:t>
            </w:r>
          </w:p>
        </w:tc>
        <w:tc>
          <w:tcPr>
            <w:tcW w:type="dxa" w:w="2381"/>
            <w:vAlign w:val="center"/>
          </w:tcPr>
          <w:p>
            <w:pPr>
              <w:spacing w:after="20" w:line="252" w:lineRule="auto"/>
              <w:jc w:val="right"/>
            </w:pPr>
            <w:r>
              <w:rPr>
                <w:sz w:val="18"/>
              </w:rPr>
              <w:t>Yes</w:t>
            </w:r>
          </w:p>
        </w:tc>
      </w:tr>
    </w:tbl>
    <w:p>
      <w:pPr>
        <w:spacing w:after="0" w:line="120" w:lineRule="exact"/>
      </w:pPr>
    </w:p>
    <w:p>
      <w:pPr>
        <w:spacing w:after="200"/>
      </w:pPr>
      <w:r>
        <w:rPr>
          <w:color w:val="5B6570"/>
          <w:sz w:val="17"/>
        </w:rPr>
        <w:t>Source: FluxMuse Financial Model v2 (Base case), 11 September 2026.</w:t>
      </w:r>
    </w:p>
    <w:p>
      <w:pPr>
        <w:spacing w:after="160"/>
      </w:pPr>
      <w:r>
        <w:rPr>
          <w:i/>
          <w:color w:val="5B6570"/>
          <w:sz w:val="18"/>
        </w:rPr>
        <w:t>Quarterly repricing is the main FX control. Without it, FY5 EBITDA falls by R9.9m; with it, the shock costs about one quarter of revenue and then resets.</w:t>
      </w:r>
    </w:p>
    <w:p>
      <w:pPr>
        <w:pStyle w:val="Heading3"/>
      </w:pPr>
      <w:r>
        <w:rPr/>
        <w:t>What the launch and pilot discounts cost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st of the launch offer"/>
      </w:tblPr>
      <w:tblGrid>
        <w:gridCol w:w="3401"/>
        <w:gridCol w:w="2154"/>
        <w:gridCol w:w="2154"/>
        <w:gridCol w:w="1927"/>
      </w:tblGrid>
      <w:tr>
        <w:trPr>
          <w:cantSplit/>
          <w:tblHeader/>
        </w:trPr>
        <w:tc>
          <w:tcPr>
            <w:tcW w:type="dxa" w:w="3402"/>
            <w:shd w:val="clear" w:color="auto" w:fill="FF6A00"/>
            <w:vAlign w:val="center"/>
          </w:tcPr>
          <w:p>
            <w:pPr>
              <w:keepNext/>
              <w:spacing w:after="20" w:line="252" w:lineRule="auto"/>
            </w:pPr>
            <w:r>
              <w:rPr>
                <w:rFonts w:ascii="Poppins" w:hAnsi="Poppins" w:cs="Poppins" w:eastAsia="Poppins"/>
                <w:b/>
                <w:color w:val="20242B"/>
                <w:sz w:val="18"/>
              </w:rPr>
              <w:t>Launch offer (Base case)</w:t>
            </w:r>
          </w:p>
        </w:tc>
        <w:tc>
          <w:tcPr>
            <w:tcW w:type="dxa" w:w="2154"/>
            <w:shd w:val="clear" w:color="auto" w:fill="FF6A00"/>
            <w:vAlign w:val="center"/>
          </w:tcPr>
          <w:p>
            <w:pPr>
              <w:keepNext/>
              <w:spacing w:after="20" w:line="252" w:lineRule="auto"/>
              <w:jc w:val="right"/>
            </w:pPr>
            <w:r>
              <w:rPr>
                <w:rFonts w:ascii="Poppins" w:hAnsi="Poppins" w:cs="Poppins" w:eastAsia="Poppins"/>
                <w:b/>
                <w:color w:val="20242B"/>
                <w:sz w:val="18"/>
              </w:rPr>
              <w:t>FY1–FY3 discount cost</w:t>
            </w:r>
          </w:p>
        </w:tc>
        <w:tc>
          <w:tcPr>
            <w:tcW w:type="dxa" w:w="2154"/>
            <w:shd w:val="clear" w:color="auto" w:fill="FF6A00"/>
            <w:vAlign w:val="center"/>
          </w:tcPr>
          <w:p>
            <w:pPr>
              <w:keepNext/>
              <w:spacing w:after="20" w:line="252" w:lineRule="auto"/>
              <w:jc w:val="right"/>
            </w:pPr>
            <w:r>
              <w:rPr>
                <w:rFonts w:ascii="Poppins" w:hAnsi="Poppins" w:cs="Poppins" w:eastAsia="Poppins"/>
                <w:b/>
                <w:color w:val="20242B"/>
                <w:sz w:val="18"/>
              </w:rPr>
              <w:t>Minimum post-seed cash</w:t>
            </w:r>
          </w:p>
        </w:tc>
        <w:tc>
          <w:tcPr>
            <w:tcW w:type="dxa" w:w="1928"/>
            <w:shd w:val="clear" w:color="auto" w:fill="FF6A00"/>
            <w:vAlign w:val="center"/>
          </w:tcPr>
          <w:p>
            <w:pPr>
              <w:keepNext/>
              <w:spacing w:after="20" w:line="252" w:lineRule="auto"/>
              <w:jc w:val="right"/>
            </w:pPr>
            <w:r>
              <w:rPr>
                <w:rFonts w:ascii="Poppins" w:hAnsi="Poppins" w:cs="Poppins" w:eastAsia="Poppins"/>
                <w:b/>
                <w:color w:val="20242B"/>
                <w:sz w:val="18"/>
              </w:rPr>
              <w:t>Profitable on R25m</w:t>
            </w:r>
          </w:p>
        </w:tc>
      </w:tr>
      <w:tr>
        <w:trPr>
          <w:cantSplit/>
        </w:trPr>
        <w:tc>
          <w:tcPr>
            <w:tcW w:type="dxa" w:w="3402"/>
            <w:vAlign w:val="center"/>
          </w:tcPr>
          <w:p>
            <w:pPr>
              <w:spacing w:after="20" w:line="252" w:lineRule="auto"/>
            </w:pPr>
            <w:r>
              <w:rPr>
                <w:b/>
                <w:sz w:val="18"/>
              </w:rPr>
              <w:t>Founding Member (the decided offer)</w:t>
            </w:r>
          </w:p>
        </w:tc>
        <w:tc>
          <w:tcPr>
            <w:tcW w:type="dxa" w:w="2154"/>
            <w:vAlign w:val="center"/>
          </w:tcPr>
          <w:p>
            <w:pPr>
              <w:spacing w:after="20" w:line="252" w:lineRule="auto"/>
              <w:jc w:val="right"/>
            </w:pPr>
            <w:r>
              <w:rPr>
                <w:sz w:val="18"/>
              </w:rPr>
              <w:t>R191k</w:t>
            </w:r>
          </w:p>
        </w:tc>
        <w:tc>
          <w:tcPr>
            <w:tcW w:type="dxa" w:w="2154"/>
            <w:vAlign w:val="center"/>
          </w:tcPr>
          <w:p>
            <w:pPr>
              <w:spacing w:after="20" w:line="252" w:lineRule="auto"/>
              <w:jc w:val="right"/>
            </w:pPr>
            <w:r>
              <w:rPr>
                <w:sz w:val="18"/>
              </w:rPr>
              <w:t>R7.96m</w:t>
            </w:r>
          </w:p>
        </w:tc>
        <w:tc>
          <w:tcPr>
            <w:tcW w:type="dxa" w:w="1928"/>
            <w:vAlign w:val="center"/>
          </w:tcPr>
          <w:p>
            <w:pPr>
              <w:spacing w:after="20" w:line="252" w:lineRule="auto"/>
              <w:jc w:val="right"/>
            </w:pPr>
            <w:r>
              <w:rPr>
                <w:sz w:val="18"/>
              </w:rPr>
              <w:t>Yes</w:t>
            </w:r>
          </w:p>
        </w:tc>
      </w:tr>
      <w:tr>
        <w:trPr>
          <w:cantSplit/>
        </w:trPr>
        <w:tc>
          <w:tcPr>
            <w:tcW w:type="dxa" w:w="3402"/>
            <w:shd w:val="clear" w:color="auto" w:fill="FAFAFB"/>
            <w:vAlign w:val="center"/>
          </w:tcPr>
          <w:p>
            <w:pPr>
              <w:spacing w:after="20" w:line="252" w:lineRule="auto"/>
            </w:pPr>
            <w:r>
              <w:rPr>
                <w:b/>
                <w:sz w:val="18"/>
              </w:rPr>
              <w:t>A shorter 30-day alternative (not offered)</w:t>
            </w:r>
          </w:p>
        </w:tc>
        <w:tc>
          <w:tcPr>
            <w:tcW w:type="dxa" w:w="2154"/>
            <w:shd w:val="clear" w:color="auto" w:fill="FAFAFB"/>
            <w:vAlign w:val="center"/>
          </w:tcPr>
          <w:p>
            <w:pPr>
              <w:spacing w:after="20" w:line="252" w:lineRule="auto"/>
              <w:jc w:val="right"/>
            </w:pPr>
            <w:r>
              <w:rPr>
                <w:sz w:val="18"/>
              </w:rPr>
              <w:t>R63k</w:t>
            </w:r>
          </w:p>
        </w:tc>
        <w:tc>
          <w:tcPr>
            <w:tcW w:type="dxa" w:w="2154"/>
            <w:shd w:val="clear" w:color="auto" w:fill="FAFAFB"/>
            <w:vAlign w:val="center"/>
          </w:tcPr>
          <w:p>
            <w:pPr>
              <w:spacing w:after="20" w:line="252" w:lineRule="auto"/>
              <w:jc w:val="right"/>
            </w:pPr>
            <w:r>
              <w:rPr>
                <w:sz w:val="18"/>
              </w:rPr>
              <w:t>R7.94m</w:t>
            </w:r>
          </w:p>
        </w:tc>
        <w:tc>
          <w:tcPr>
            <w:tcW w:type="dxa" w:w="1928"/>
            <w:shd w:val="clear" w:color="auto" w:fill="FAFAFB"/>
            <w:vAlign w:val="center"/>
          </w:tcPr>
          <w:p>
            <w:pPr>
              <w:spacing w:after="20" w:line="252" w:lineRule="auto"/>
              <w:jc w:val="right"/>
            </w:pPr>
            <w:r>
              <w:rPr>
                <w:sz w:val="18"/>
              </w:rPr>
              <w:t>Yes</w:t>
            </w:r>
          </w:p>
        </w:tc>
      </w:tr>
      <w:tr>
        <w:trPr>
          <w:cantSplit/>
        </w:trPr>
        <w:tc>
          <w:tcPr>
            <w:tcW w:type="dxa" w:w="3402"/>
            <w:vAlign w:val="center"/>
          </w:tcPr>
          <w:p>
            <w:pPr>
              <w:spacing w:after="20" w:line="252" w:lineRule="auto"/>
            </w:pPr>
            <w:r>
              <w:rPr>
                <w:b/>
                <w:sz w:val="18"/>
              </w:rPr>
              <w:t>No launch offer</w:t>
            </w:r>
          </w:p>
        </w:tc>
        <w:tc>
          <w:tcPr>
            <w:tcW w:type="dxa" w:w="2154"/>
            <w:vAlign w:val="center"/>
          </w:tcPr>
          <w:p>
            <w:pPr>
              <w:spacing w:after="20" w:line="252" w:lineRule="auto"/>
              <w:jc w:val="right"/>
            </w:pPr>
            <w:r>
              <w:rPr>
                <w:sz w:val="18"/>
              </w:rPr>
              <w:t>R0</w:t>
            </w:r>
          </w:p>
        </w:tc>
        <w:tc>
          <w:tcPr>
            <w:tcW w:type="dxa" w:w="2154"/>
            <w:vAlign w:val="center"/>
          </w:tcPr>
          <w:p>
            <w:pPr>
              <w:spacing w:after="20" w:line="252" w:lineRule="auto"/>
              <w:jc w:val="right"/>
            </w:pPr>
            <w:r>
              <w:rPr>
                <w:sz w:val="18"/>
              </w:rPr>
              <w:t>R7.82m</w:t>
            </w:r>
          </w:p>
        </w:tc>
        <w:tc>
          <w:tcPr>
            <w:tcW w:type="dxa" w:w="1928"/>
            <w:vAlign w:val="center"/>
          </w:tcPr>
          <w:p>
            <w:pPr>
              <w:spacing w:after="20" w:line="252" w:lineRule="auto"/>
              <w:jc w:val="right"/>
            </w:pPr>
            <w:r>
              <w:rPr>
                <w:sz w:val="18"/>
              </w:rPr>
              <w:t>Yes</w:t>
            </w:r>
          </w:p>
        </w:tc>
      </w:tr>
    </w:tbl>
    <w:p>
      <w:pPr>
        <w:spacing w:after="0" w:line="120" w:lineRule="exact"/>
      </w:pPr>
    </w:p>
    <w:p>
      <w:pPr>
        <w:spacing w:after="160"/>
      </w:pPr>
      <w:r>
        <w:rPr>
          <w:i/>
          <w:color w:val="5B6570"/>
          <w:sz w:val="18"/>
        </w:rPr>
        <w:t>The pilot discount costs a further R13,643 in FY1. Because sign-ups are assumed to rise 20% inside a window, the Founding Member offer leaves marginally more cash than no offer; that uplift is the assumption the South African window is there to test.</w:t>
      </w:r>
    </w:p>
    <w:p>
      <w:pPr>
        <w:pStyle w:val="Heading1"/>
        <w:pageBreakBefore/>
      </w:pPr>
      <w:r>
        <w:rPr/>
        <w:t>13. Funding request and use of funds</w:t>
      </w:r>
    </w:p>
    <w:p>
      <w:pPr>
        <w:pStyle w:val="Heading2"/>
      </w:pPr>
      <w:r>
        <w:rPr/>
        <w:t>The ask</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the ask"/>
      </w:tblPr>
      <w:tblGrid>
        <w:gridCol w:w="2607"/>
        <w:gridCol w:w="7029"/>
      </w:tblGrid>
      <w:tr>
        <w:trPr>
          <w:cantSplit/>
        </w:trPr>
        <w:tc>
          <w:tcPr>
            <w:tcW w:type="dxa" w:w="2608"/>
            <w:shd w:val="clear" w:color="auto" w:fill="F3F4F6"/>
            <w:vAlign w:val="center"/>
          </w:tcPr>
          <w:p>
            <w:pPr>
              <w:spacing w:after="20" w:line="252" w:lineRule="auto"/>
            </w:pPr>
            <w:r>
              <w:rPr>
                <w:b/>
                <w:sz w:val="20"/>
              </w:rPr>
              <w:t>Amount</w:t>
            </w:r>
          </w:p>
        </w:tc>
        <w:tc>
          <w:tcPr>
            <w:tcW w:type="dxa" w:w="7030"/>
            <w:vAlign w:val="center"/>
          </w:tcPr>
          <w:p>
            <w:pPr>
              <w:spacing w:after="20" w:line="252" w:lineRule="auto"/>
            </w:pPr>
            <w:r>
              <w:rPr>
                <w:sz w:val="20"/>
              </w:rPr>
              <w:t>R25,000,000 (about US$1,351,351)</w:t>
            </w:r>
          </w:p>
        </w:tc>
      </w:tr>
      <w:tr>
        <w:trPr>
          <w:cantSplit/>
        </w:trPr>
        <w:tc>
          <w:tcPr>
            <w:tcW w:type="dxa" w:w="2608"/>
            <w:shd w:val="clear" w:color="auto" w:fill="F3F4F6"/>
            <w:vAlign w:val="center"/>
          </w:tcPr>
          <w:p>
            <w:pPr>
              <w:spacing w:after="20" w:line="252" w:lineRule="auto"/>
            </w:pPr>
            <w:r>
              <w:rPr>
                <w:b/>
                <w:sz w:val="20"/>
              </w:rPr>
              <w:t>Round</w:t>
            </w:r>
          </w:p>
        </w:tc>
        <w:tc>
          <w:tcPr>
            <w:tcW w:type="dxa" w:w="7030"/>
            <w:vAlign w:val="center"/>
          </w:tcPr>
          <w:p>
            <w:pPr>
              <w:spacing w:after="20" w:line="252" w:lineRule="auto"/>
            </w:pPr>
            <w:r>
              <w:rPr>
                <w:sz w:val="20"/>
              </w:rPr>
              <w:t>Seed</w:t>
            </w:r>
          </w:p>
        </w:tc>
      </w:tr>
      <w:tr>
        <w:trPr>
          <w:cantSplit/>
        </w:trPr>
        <w:tc>
          <w:tcPr>
            <w:tcW w:type="dxa" w:w="2608"/>
            <w:shd w:val="clear" w:color="auto" w:fill="F3F4F6"/>
            <w:vAlign w:val="center"/>
          </w:tcPr>
          <w:p>
            <w:pPr>
              <w:spacing w:after="20" w:line="252" w:lineRule="auto"/>
            </w:pPr>
            <w:r>
              <w:rPr>
                <w:b/>
                <w:sz w:val="20"/>
              </w:rPr>
              <w:t>Instrument</w:t>
            </w:r>
          </w:p>
        </w:tc>
        <w:tc>
          <w:tcPr>
            <w:tcW w:type="dxa" w:w="7030"/>
            <w:vAlign w:val="center"/>
          </w:tcPr>
          <w:p>
            <w:pPr>
              <w:spacing w:after="20" w:line="252" w:lineRule="auto"/>
            </w:pPr>
            <w:r>
              <w:rPr>
                <w:b/>
                <w:color w:val="20242B"/>
                <w:sz w:val="20"/>
                <w:shd w:val="clear" w:color="auto" w:fill="FFF1A8"/>
              </w:rPr>
              <w:t>[[INSTRUMENT: SAFE OR PRICED EQUITY]]</w:t>
            </w:r>
          </w:p>
        </w:tc>
      </w:tr>
      <w:tr>
        <w:trPr>
          <w:cantSplit/>
        </w:trPr>
        <w:tc>
          <w:tcPr>
            <w:tcW w:type="dxa" w:w="2608"/>
            <w:shd w:val="clear" w:color="auto" w:fill="F3F4F6"/>
            <w:vAlign w:val="center"/>
          </w:tcPr>
          <w:p>
            <w:pPr>
              <w:spacing w:after="20" w:line="252" w:lineRule="auto"/>
            </w:pPr>
            <w:r>
              <w:rPr>
                <w:b/>
                <w:sz w:val="20"/>
              </w:rPr>
              <w:t>Valuation</w:t>
            </w:r>
          </w:p>
        </w:tc>
        <w:tc>
          <w:tcPr>
            <w:tcW w:type="dxa" w:w="7030"/>
            <w:vAlign w:val="center"/>
          </w:tcPr>
          <w:p>
            <w:pPr>
              <w:spacing w:after="20" w:line="252" w:lineRule="auto"/>
            </w:pPr>
            <w:r>
              <w:rPr>
                <w:b/>
                <w:color w:val="20242B"/>
                <w:sz w:val="20"/>
                <w:shd w:val="clear" w:color="auto" w:fill="FFF1A8"/>
              </w:rPr>
              <w:t>[[PRE-MONEY VALUATION: TBC]]</w:t>
            </w:r>
          </w:p>
        </w:tc>
      </w:tr>
      <w:tr>
        <w:trPr>
          <w:cantSplit/>
        </w:trPr>
        <w:tc>
          <w:tcPr>
            <w:tcW w:type="dxa" w:w="2608"/>
            <w:shd w:val="clear" w:color="auto" w:fill="F3F4F6"/>
            <w:vAlign w:val="center"/>
          </w:tcPr>
          <w:p>
            <w:pPr>
              <w:spacing w:after="20" w:line="252" w:lineRule="auto"/>
            </w:pPr>
            <w:r>
              <w:rPr>
                <w:b/>
                <w:sz w:val="20"/>
              </w:rPr>
              <w:t>Modelled close</w:t>
            </w:r>
          </w:p>
        </w:tc>
        <w:tc>
          <w:tcPr>
            <w:tcW w:type="dxa" w:w="7030"/>
            <w:vAlign w:val="center"/>
          </w:tcPr>
          <w:p>
            <w:pPr>
              <w:spacing w:after="20" w:line="252" w:lineRule="auto"/>
            </w:pPr>
            <w:r>
              <w:rPr>
                <w:sz w:val="20"/>
              </w:rPr>
              <w:t>February 2027 (model input; an earlier close removes the pre-seed bridge)</w:t>
            </w:r>
          </w:p>
        </w:tc>
      </w:tr>
      <w:tr>
        <w:trPr>
          <w:cantSplit/>
        </w:trPr>
        <w:tc>
          <w:tcPr>
            <w:tcW w:type="dxa" w:w="2608"/>
            <w:shd w:val="clear" w:color="auto" w:fill="F3F4F6"/>
            <w:vAlign w:val="center"/>
          </w:tcPr>
          <w:p>
            <w:pPr>
              <w:spacing w:after="20" w:line="252" w:lineRule="auto"/>
            </w:pPr>
            <w:r>
              <w:rPr>
                <w:b/>
                <w:sz w:val="20"/>
              </w:rPr>
              <w:t>Follow-on funding</w:t>
            </w:r>
          </w:p>
        </w:tc>
        <w:tc>
          <w:tcPr>
            <w:tcW w:type="dxa" w:w="7030"/>
            <w:vAlign w:val="center"/>
          </w:tcPr>
          <w:p>
            <w:pPr>
              <w:spacing w:after="20" w:line="252" w:lineRule="auto"/>
            </w:pPr>
            <w:r>
              <w:rPr>
                <w:sz w:val="20"/>
              </w:rPr>
              <w:t>None required: the Series A input is zero in every scenario</w:t>
            </w:r>
          </w:p>
        </w:tc>
      </w:tr>
      <w:tr>
        <w:trPr>
          <w:cantSplit/>
        </w:trPr>
        <w:tc>
          <w:tcPr>
            <w:tcW w:type="dxa" w:w="2608"/>
            <w:shd w:val="clear" w:color="auto" w:fill="F3F4F6"/>
            <w:vAlign w:val="center"/>
          </w:tcPr>
          <w:p>
            <w:pPr>
              <w:spacing w:after="20" w:line="252" w:lineRule="auto"/>
            </w:pPr>
            <w:r>
              <w:rPr>
                <w:b/>
                <w:sz w:val="20"/>
              </w:rPr>
              <w:t>Minimum-cash policy</w:t>
            </w:r>
          </w:p>
        </w:tc>
        <w:tc>
          <w:tcPr>
            <w:tcW w:type="dxa" w:w="7030"/>
            <w:vAlign w:val="center"/>
          </w:tcPr>
          <w:p>
            <w:pPr>
              <w:spacing w:after="20" w:line="252" w:lineRule="auto"/>
            </w:pPr>
            <w:r>
              <w:rPr>
                <w:sz w:val="20"/>
              </w:rPr>
              <w:t>Closing cash stays at or above R3.0m every month from the seed</w:t>
            </w:r>
          </w:p>
        </w:tc>
      </w:tr>
    </w:tbl>
    <w:p>
      <w:pPr>
        <w:spacing w:after="0" w:line="120" w:lineRule="exact"/>
      </w:pPr>
    </w:p>
    <w:p>
      <w:pPr>
        <w:pStyle w:val="Heading2"/>
      </w:pPr>
      <w:r>
        <w:rPr/>
        <w:t>Allocation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Use of the R25m seed"/>
      </w:tblPr>
      <w:tblGrid>
        <w:gridCol w:w="2040"/>
        <w:gridCol w:w="737"/>
        <w:gridCol w:w="1020"/>
        <w:gridCol w:w="5839"/>
      </w:tblGrid>
      <w:tr>
        <w:trPr>
          <w:cantSplit/>
          <w:tblHeader/>
        </w:trPr>
        <w:tc>
          <w:tcPr>
            <w:tcW w:type="dxa" w:w="2041"/>
            <w:shd w:val="clear" w:color="auto" w:fill="FF6A00"/>
            <w:vAlign w:val="center"/>
          </w:tcPr>
          <w:p>
            <w:pPr>
              <w:keepNext/>
              <w:spacing w:after="20" w:line="252" w:lineRule="auto"/>
            </w:pPr>
            <w:r>
              <w:rPr>
                <w:rFonts w:ascii="Poppins" w:hAnsi="Poppins" w:cs="Poppins" w:eastAsia="Poppins"/>
                <w:b/>
                <w:color w:val="20242B"/>
                <w:sz w:val="17"/>
              </w:rPr>
              <w:t>Category</w:t>
            </w:r>
          </w:p>
        </w:tc>
        <w:tc>
          <w:tcPr>
            <w:tcW w:type="dxa" w:w="737"/>
            <w:shd w:val="clear" w:color="auto" w:fill="FF6A00"/>
            <w:vAlign w:val="center"/>
          </w:tcPr>
          <w:p>
            <w:pPr>
              <w:keepNext/>
              <w:spacing w:after="20" w:line="252" w:lineRule="auto"/>
              <w:jc w:val="right"/>
            </w:pPr>
            <w:r>
              <w:rPr>
                <w:rFonts w:ascii="Poppins" w:hAnsi="Poppins" w:cs="Poppins" w:eastAsia="Poppins"/>
                <w:b/>
                <w:color w:val="20242B"/>
                <w:sz w:val="17"/>
              </w:rPr>
              <w:t>Share</w:t>
            </w:r>
          </w:p>
        </w:tc>
        <w:tc>
          <w:tcPr>
            <w:tcW w:type="dxa" w:w="1020"/>
            <w:shd w:val="clear" w:color="auto" w:fill="FF6A00"/>
            <w:vAlign w:val="center"/>
          </w:tcPr>
          <w:p>
            <w:pPr>
              <w:keepNext/>
              <w:spacing w:after="20" w:line="252" w:lineRule="auto"/>
              <w:jc w:val="right"/>
            </w:pPr>
            <w:r>
              <w:rPr>
                <w:rFonts w:ascii="Poppins" w:hAnsi="Poppins" w:cs="Poppins" w:eastAsia="Poppins"/>
                <w:b/>
                <w:color w:val="20242B"/>
                <w:sz w:val="17"/>
              </w:rPr>
              <w:t>R</w:t>
            </w:r>
          </w:p>
        </w:tc>
        <w:tc>
          <w:tcPr>
            <w:tcW w:type="dxa" w:w="5839"/>
            <w:shd w:val="clear" w:color="auto" w:fill="FF6A00"/>
            <w:vAlign w:val="center"/>
          </w:tcPr>
          <w:p>
            <w:pPr>
              <w:keepNext/>
              <w:spacing w:after="20" w:line="252" w:lineRule="auto"/>
            </w:pPr>
            <w:r>
              <w:rPr>
                <w:rFonts w:ascii="Poppins" w:hAnsi="Poppins" w:cs="Poppins" w:eastAsia="Poppins"/>
                <w:b/>
                <w:color w:val="20242B"/>
                <w:sz w:val="17"/>
              </w:rPr>
              <w:t>What it buys and when</w:t>
            </w:r>
          </w:p>
        </w:tc>
      </w:tr>
      <w:tr>
        <w:trPr>
          <w:cantSplit/>
        </w:trPr>
        <w:tc>
          <w:tcPr>
            <w:tcW w:type="dxa" w:w="2041"/>
            <w:vAlign w:val="center"/>
          </w:tcPr>
          <w:p>
            <w:pPr>
              <w:spacing w:after="20" w:line="252" w:lineRule="auto"/>
            </w:pPr>
            <w:r>
              <w:rPr>
                <w:b/>
                <w:sz w:val="17"/>
              </w:rPr>
              <w:t>Product &amp; engineering</w:t>
            </w:r>
          </w:p>
        </w:tc>
        <w:tc>
          <w:tcPr>
            <w:tcW w:type="dxa" w:w="737"/>
            <w:vAlign w:val="center"/>
          </w:tcPr>
          <w:p>
            <w:pPr>
              <w:spacing w:after="20" w:line="252" w:lineRule="auto"/>
              <w:jc w:val="right"/>
            </w:pPr>
            <w:r>
              <w:rPr>
                <w:sz w:val="17"/>
              </w:rPr>
              <w:t>40%</w:t>
            </w:r>
          </w:p>
        </w:tc>
        <w:tc>
          <w:tcPr>
            <w:tcW w:type="dxa" w:w="1020"/>
            <w:vAlign w:val="center"/>
          </w:tcPr>
          <w:p>
            <w:pPr>
              <w:spacing w:after="20" w:line="252" w:lineRule="auto"/>
              <w:jc w:val="right"/>
            </w:pPr>
            <w:r>
              <w:rPr>
                <w:sz w:val="17"/>
              </w:rPr>
              <w:t>R10.00m</w:t>
            </w:r>
          </w:p>
        </w:tc>
        <w:tc>
          <w:tcPr>
            <w:tcW w:type="dxa" w:w="5839"/>
            <w:vAlign w:val="center"/>
          </w:tcPr>
          <w:p>
            <w:pPr>
              <w:spacing w:after="20" w:line="252" w:lineRule="auto"/>
            </w:pPr>
            <w:r>
              <w:rPr>
                <w:sz w:val="17"/>
              </w:rPr>
              <w:t>Senior full-stack x2, AI/ML, designer, full-stack x2, DevOps/QA, integrations x2, PM, security; founders' salaries; hosting &amp; AI inference; Instagram/Threads/LinkedIn/TikTok adapters, commerce/CRM integrations, AI cost optimisation.</w:t>
            </w:r>
          </w:p>
        </w:tc>
      </w:tr>
      <w:tr>
        <w:trPr>
          <w:cantSplit/>
        </w:trPr>
        <w:tc>
          <w:tcPr>
            <w:tcW w:type="dxa" w:w="2041"/>
            <w:shd w:val="clear" w:color="auto" w:fill="FAFAFB"/>
            <w:vAlign w:val="center"/>
          </w:tcPr>
          <w:p>
            <w:pPr>
              <w:spacing w:after="20" w:line="252" w:lineRule="auto"/>
            </w:pPr>
            <w:r>
              <w:rPr>
                <w:b/>
                <w:sz w:val="17"/>
              </w:rPr>
              <w:t>Sales &amp; marketing / partner programme</w:t>
            </w:r>
          </w:p>
        </w:tc>
        <w:tc>
          <w:tcPr>
            <w:tcW w:type="dxa" w:w="737"/>
            <w:shd w:val="clear" w:color="auto" w:fill="FAFAFB"/>
            <w:vAlign w:val="center"/>
          </w:tcPr>
          <w:p>
            <w:pPr>
              <w:spacing w:after="20" w:line="252" w:lineRule="auto"/>
              <w:jc w:val="right"/>
            </w:pPr>
            <w:r>
              <w:rPr>
                <w:sz w:val="17"/>
              </w:rPr>
              <w:t>30%</w:t>
            </w:r>
          </w:p>
        </w:tc>
        <w:tc>
          <w:tcPr>
            <w:tcW w:type="dxa" w:w="1020"/>
            <w:shd w:val="clear" w:color="auto" w:fill="FAFAFB"/>
            <w:vAlign w:val="center"/>
          </w:tcPr>
          <w:p>
            <w:pPr>
              <w:spacing w:after="20" w:line="252" w:lineRule="auto"/>
              <w:jc w:val="right"/>
            </w:pPr>
            <w:r>
              <w:rPr>
                <w:sz w:val="17"/>
              </w:rPr>
              <w:t>R7.50m</w:t>
            </w:r>
          </w:p>
        </w:tc>
        <w:tc>
          <w:tcPr>
            <w:tcW w:type="dxa" w:w="5839"/>
            <w:shd w:val="clear" w:color="auto" w:fill="FAFAFB"/>
            <w:vAlign w:val="center"/>
          </w:tcPr>
          <w:p>
            <w:pPr>
              <w:spacing w:after="20" w:line="252" w:lineRule="auto"/>
            </w:pPr>
            <w:r>
              <w:rPr>
                <w:sz w:val="17"/>
              </w:rPr>
              <w:t>Head of Growth, performance &amp; multilingual content marketers, partnerships managers, SME onboarding; paid acquisition (capped at a % of MRR and a CAC-payback test), brand &amp; community, Flux_Partner programme.</w:t>
            </w:r>
          </w:p>
        </w:tc>
      </w:tr>
      <w:tr>
        <w:trPr>
          <w:cantSplit/>
        </w:trPr>
        <w:tc>
          <w:tcPr>
            <w:tcW w:type="dxa" w:w="2041"/>
            <w:vAlign w:val="center"/>
          </w:tcPr>
          <w:p>
            <w:pPr>
              <w:spacing w:after="20" w:line="252" w:lineRule="auto"/>
            </w:pPr>
            <w:r>
              <w:rPr>
                <w:b/>
                <w:sz w:val="17"/>
              </w:rPr>
              <w:t>Market expansion (NG, KE, GH) &amp; payments compliance</w:t>
            </w:r>
          </w:p>
        </w:tc>
        <w:tc>
          <w:tcPr>
            <w:tcW w:type="dxa" w:w="737"/>
            <w:vAlign w:val="center"/>
          </w:tcPr>
          <w:p>
            <w:pPr>
              <w:spacing w:after="20" w:line="252" w:lineRule="auto"/>
              <w:jc w:val="right"/>
            </w:pPr>
            <w:r>
              <w:rPr>
                <w:sz w:val="17"/>
              </w:rPr>
              <w:t>15%</w:t>
            </w:r>
          </w:p>
        </w:tc>
        <w:tc>
          <w:tcPr>
            <w:tcW w:type="dxa" w:w="1020"/>
            <w:vAlign w:val="center"/>
          </w:tcPr>
          <w:p>
            <w:pPr>
              <w:spacing w:after="20" w:line="252" w:lineRule="auto"/>
              <w:jc w:val="right"/>
            </w:pPr>
            <w:r>
              <w:rPr>
                <w:sz w:val="17"/>
              </w:rPr>
              <w:t>R3.75m</w:t>
            </w:r>
          </w:p>
        </w:tc>
        <w:tc>
          <w:tcPr>
            <w:tcW w:type="dxa" w:w="5839"/>
            <w:vAlign w:val="center"/>
          </w:tcPr>
          <w:p>
            <w:pPr>
              <w:spacing w:after="20" w:line="252" w:lineRule="auto"/>
            </w:pPr>
            <w:r>
              <w:rPr>
                <w:sz w:val="17"/>
              </w:rPr>
              <w:t>Country leads and local sales/CS in Nigeria, Kenya and Ghana; NDPR/KDPA/Ghana DPC registrations, local counsel, launch campaigns, POPIA/Meta compliance base, Rest-of-Africa VAT registrations.</w:t>
            </w:r>
          </w:p>
        </w:tc>
      </w:tr>
      <w:tr>
        <w:trPr>
          <w:cantSplit/>
        </w:trPr>
        <w:tc>
          <w:tcPr>
            <w:tcW w:type="dxa" w:w="2041"/>
            <w:shd w:val="clear" w:color="auto" w:fill="FAFAFB"/>
            <w:vAlign w:val="center"/>
          </w:tcPr>
          <w:p>
            <w:pPr>
              <w:spacing w:after="20" w:line="252" w:lineRule="auto"/>
            </w:pPr>
            <w:r>
              <w:rPr>
                <w:b/>
                <w:sz w:val="17"/>
              </w:rPr>
              <w:t>Operations &amp; working capital</w:t>
            </w:r>
          </w:p>
        </w:tc>
        <w:tc>
          <w:tcPr>
            <w:tcW w:type="dxa" w:w="737"/>
            <w:shd w:val="clear" w:color="auto" w:fill="FAFAFB"/>
            <w:vAlign w:val="center"/>
          </w:tcPr>
          <w:p>
            <w:pPr>
              <w:spacing w:after="20" w:line="252" w:lineRule="auto"/>
              <w:jc w:val="right"/>
            </w:pPr>
            <w:r>
              <w:rPr>
                <w:sz w:val="17"/>
              </w:rPr>
              <w:t>15%</w:t>
            </w:r>
          </w:p>
        </w:tc>
        <w:tc>
          <w:tcPr>
            <w:tcW w:type="dxa" w:w="1020"/>
            <w:shd w:val="clear" w:color="auto" w:fill="FAFAFB"/>
            <w:vAlign w:val="center"/>
          </w:tcPr>
          <w:p>
            <w:pPr>
              <w:spacing w:after="20" w:line="252" w:lineRule="auto"/>
              <w:jc w:val="right"/>
            </w:pPr>
            <w:r>
              <w:rPr>
                <w:sz w:val="17"/>
              </w:rPr>
              <w:t>R3.75m</w:t>
            </w:r>
          </w:p>
        </w:tc>
        <w:tc>
          <w:tcPr>
            <w:tcW w:type="dxa" w:w="5839"/>
            <w:shd w:val="clear" w:color="auto" w:fill="FAFAFB"/>
            <w:vAlign w:val="center"/>
          </w:tcPr>
          <w:p>
            <w:pPr>
              <w:spacing w:after="20" w:line="252" w:lineRule="auto"/>
            </w:pPr>
            <w:r>
              <w:rPr>
                <w:sz w:val="17"/>
              </w:rPr>
              <w:t>Customer success team, finance &amp; compliance, operations, G&amp;A, tooling, travel, payment processing, support, WhatsApp pass-through costs, and the working-capital float that protects the R3.0M cash buffer.</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4896000" cy="3060000"/>
            <wp:docPr id="25" name="Picture 25" descr="Chart of the use of funds: product and engineering R10.0 million at 40%, sales and marketing including the partner programme R7.5 million at 30%, market expansion and payments compliance R3.75 million at 15%, and operations and working capital R3.75 million at 15%."/>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896000" cy="3060000"/>
                    </a:xfrm>
                    <a:prstGeom prst="rect"/>
                  </pic:spPr>
                </pic:pic>
              </a:graphicData>
            </a:graphic>
          </wp:inline>
        </w:drawing>
      </w:r>
    </w:p>
    <w:p>
      <w:pPr>
        <w:pStyle w:val="Caption"/>
        <w:jc w:val="center"/>
      </w:pPr>
      <w:r>
        <w:rPr>
          <w:b/>
        </w:rPr>
        <w:t>Figure 24.</w:t>
      </w:r>
      <w:r>
        <w:rPr/>
        <w:t xml:space="preserve"> The R25m seed by category.</w:t>
      </w:r>
    </w:p>
    <w:p>
      <w:r>
        <w:rPr>
          <w:b/>
        </w:rPr>
        <w:t>Timing.</w:t>
      </w:r>
      <w:r>
        <w:rPr/>
        <w:t xml:space="preserve"> Product and engineering hires begin in the seed month; growth and partnerships hires follow immediately; country leads are hired two months before each market launch, and local sales and customer success at launch. Launch marketing is R350,000 for Nigeria, R300,000 for Kenya and R250,000 for Ghana, spread over three months each, with one-off compliance of R300,000, R250,000 and R200,000.</w:t>
      </w:r>
    </w:p>
    <w:p>
      <w:pPr>
        <w:pStyle w:val="Heading2"/>
      </w:pPr>
      <w:r>
        <w:rPr/>
        <w:t>How the allocation compares with modelled spend</w:t>
      </w:r>
    </w:p>
    <w:p>
      <w:r>
        <w:rPr/>
        <w:t xml:space="preserve">The seed funds </w:t>
      </w:r>
      <w:r>
        <w:rPr>
          <w:b/>
        </w:rPr>
        <w:t>net</w:t>
      </w:r>
      <w:r>
        <w:rPr/>
        <w:t xml:space="preserve"> burn, not gross spend, because revenue pays for a growing share of costs as it arrives. The honest way to read the allocation is as a share of what the plan actually spends. Over the 24 months from the seed (Feb 2027 - Jan 2029 (months 5-28)):</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llocation against modelled spend, 24 months"/>
      </w:tblPr>
      <w:tblGrid>
        <w:gridCol w:w="3174"/>
        <w:gridCol w:w="1247"/>
        <w:gridCol w:w="2040"/>
        <w:gridCol w:w="1474"/>
        <w:gridCol w:w="1700"/>
      </w:tblGrid>
      <w:tr>
        <w:trPr>
          <w:cantSplit/>
          <w:tblHeader/>
        </w:trPr>
        <w:tc>
          <w:tcPr>
            <w:tcW w:type="dxa" w:w="3175"/>
            <w:shd w:val="clear" w:color="auto" w:fill="FF6A00"/>
            <w:vAlign w:val="center"/>
          </w:tcPr>
          <w:p>
            <w:pPr>
              <w:keepNext/>
              <w:spacing w:after="20" w:line="252" w:lineRule="auto"/>
            </w:pPr>
            <w:r>
              <w:rPr>
                <w:rFonts w:ascii="Poppins" w:hAnsi="Poppins" w:cs="Poppins" w:eastAsia="Poppins"/>
                <w:b/>
                <w:color w:val="20242B"/>
                <w:sz w:val="18"/>
              </w:rPr>
              <w:t>Category</w:t>
            </w:r>
          </w:p>
        </w:tc>
        <w:tc>
          <w:tcPr>
            <w:tcW w:type="dxa" w:w="1247"/>
            <w:shd w:val="clear" w:color="auto" w:fill="FF6A00"/>
            <w:vAlign w:val="center"/>
          </w:tcPr>
          <w:p>
            <w:pPr>
              <w:keepNext/>
              <w:spacing w:after="20" w:line="252" w:lineRule="auto"/>
              <w:jc w:val="right"/>
            </w:pPr>
            <w:r>
              <w:rPr>
                <w:rFonts w:ascii="Poppins" w:hAnsi="Poppins" w:cs="Poppins" w:eastAsia="Poppins"/>
                <w:b/>
                <w:color w:val="20242B"/>
                <w:sz w:val="18"/>
              </w:rPr>
              <w:t>Allocation</w:t>
            </w:r>
          </w:p>
        </w:tc>
        <w:tc>
          <w:tcPr>
            <w:tcW w:type="dxa" w:w="2041"/>
            <w:shd w:val="clear" w:color="auto" w:fill="FF6A00"/>
            <w:vAlign w:val="center"/>
          </w:tcPr>
          <w:p>
            <w:pPr>
              <w:keepNext/>
              <w:spacing w:after="20" w:line="252" w:lineRule="auto"/>
              <w:jc w:val="right"/>
            </w:pPr>
            <w:r>
              <w:rPr>
                <w:rFonts w:ascii="Poppins" w:hAnsi="Poppins" w:cs="Poppins" w:eastAsia="Poppins"/>
                <w:b/>
                <w:color w:val="20242B"/>
                <w:sz w:val="18"/>
              </w:rPr>
              <w:t>Modelled spend, 24 months</w:t>
            </w:r>
          </w:p>
        </w:tc>
        <w:tc>
          <w:tcPr>
            <w:tcW w:type="dxa" w:w="1474"/>
            <w:shd w:val="clear" w:color="auto" w:fill="FF6A00"/>
            <w:vAlign w:val="center"/>
          </w:tcPr>
          <w:p>
            <w:pPr>
              <w:keepNext/>
              <w:spacing w:after="20" w:line="252" w:lineRule="auto"/>
              <w:jc w:val="right"/>
            </w:pPr>
            <w:r>
              <w:rPr>
                <w:rFonts w:ascii="Poppins" w:hAnsi="Poppins" w:cs="Poppins" w:eastAsia="Poppins"/>
                <w:b/>
                <w:color w:val="20242B"/>
                <w:sz w:val="18"/>
              </w:rPr>
              <w:t>Share of spend</w:t>
            </w:r>
          </w:p>
        </w:tc>
        <w:tc>
          <w:tcPr>
            <w:tcW w:type="dxa" w:w="1701"/>
            <w:shd w:val="clear" w:color="auto" w:fill="FF6A00"/>
            <w:vAlign w:val="center"/>
          </w:tcPr>
          <w:p>
            <w:pPr>
              <w:keepNext/>
              <w:spacing w:after="20" w:line="252" w:lineRule="auto"/>
              <w:jc w:val="right"/>
            </w:pPr>
            <w:r>
              <w:rPr>
                <w:rFonts w:ascii="Poppins" w:hAnsi="Poppins" w:cs="Poppins" w:eastAsia="Poppins"/>
                <w:b/>
                <w:color w:val="20242B"/>
                <w:sz w:val="18"/>
              </w:rPr>
              <w:t>Gap</w:t>
            </w:r>
          </w:p>
        </w:tc>
      </w:tr>
      <w:tr>
        <w:trPr>
          <w:cantSplit/>
        </w:trPr>
        <w:tc>
          <w:tcPr>
            <w:tcW w:type="dxa" w:w="3175"/>
            <w:vAlign w:val="center"/>
          </w:tcPr>
          <w:p>
            <w:pPr>
              <w:spacing w:after="20" w:line="252" w:lineRule="auto"/>
            </w:pPr>
            <w:r>
              <w:rPr>
                <w:b/>
                <w:sz w:val="18"/>
              </w:rPr>
              <w:t>Product &amp; engineering</w:t>
            </w:r>
          </w:p>
        </w:tc>
        <w:tc>
          <w:tcPr>
            <w:tcW w:type="dxa" w:w="1247"/>
            <w:vAlign w:val="center"/>
          </w:tcPr>
          <w:p>
            <w:pPr>
              <w:spacing w:after="20" w:line="252" w:lineRule="auto"/>
              <w:jc w:val="right"/>
            </w:pPr>
            <w:r>
              <w:rPr>
                <w:sz w:val="18"/>
              </w:rPr>
              <w:t>40%</w:t>
            </w:r>
          </w:p>
        </w:tc>
        <w:tc>
          <w:tcPr>
            <w:tcW w:type="dxa" w:w="2041"/>
            <w:vAlign w:val="center"/>
          </w:tcPr>
          <w:p>
            <w:pPr>
              <w:spacing w:after="20" w:line="252" w:lineRule="auto"/>
              <w:jc w:val="right"/>
            </w:pPr>
            <w:r>
              <w:rPr>
                <w:sz w:val="18"/>
              </w:rPr>
              <w:t>R24.30m</w:t>
            </w:r>
          </w:p>
        </w:tc>
        <w:tc>
          <w:tcPr>
            <w:tcW w:type="dxa" w:w="1474"/>
            <w:vAlign w:val="center"/>
          </w:tcPr>
          <w:p>
            <w:pPr>
              <w:spacing w:after="20" w:line="252" w:lineRule="auto"/>
              <w:jc w:val="right"/>
            </w:pPr>
            <w:r>
              <w:rPr>
                <w:sz w:val="18"/>
              </w:rPr>
              <w:t>38.4%</w:t>
            </w:r>
          </w:p>
        </w:tc>
        <w:tc>
          <w:tcPr>
            <w:tcW w:type="dxa" w:w="1701"/>
            <w:vAlign w:val="center"/>
          </w:tcPr>
          <w:p>
            <w:pPr>
              <w:spacing w:after="20" w:line="252" w:lineRule="auto"/>
              <w:jc w:val="right"/>
            </w:pPr>
            <w:r>
              <w:rPr>
                <w:sz w:val="18"/>
              </w:rPr>
              <w:t>-1.6 pp</w:t>
            </w:r>
          </w:p>
        </w:tc>
      </w:tr>
      <w:tr>
        <w:trPr>
          <w:cantSplit/>
        </w:trPr>
        <w:tc>
          <w:tcPr>
            <w:tcW w:type="dxa" w:w="3175"/>
            <w:shd w:val="clear" w:color="auto" w:fill="FAFAFB"/>
            <w:vAlign w:val="center"/>
          </w:tcPr>
          <w:p>
            <w:pPr>
              <w:spacing w:after="20" w:line="252" w:lineRule="auto"/>
            </w:pPr>
            <w:r>
              <w:rPr>
                <w:b/>
                <w:sz w:val="18"/>
              </w:rPr>
              <w:t>Sales &amp; marketing / partner programme</w:t>
            </w:r>
          </w:p>
        </w:tc>
        <w:tc>
          <w:tcPr>
            <w:tcW w:type="dxa" w:w="1247"/>
            <w:shd w:val="clear" w:color="auto" w:fill="FAFAFB"/>
            <w:vAlign w:val="center"/>
          </w:tcPr>
          <w:p>
            <w:pPr>
              <w:spacing w:after="20" w:line="252" w:lineRule="auto"/>
              <w:jc w:val="right"/>
            </w:pPr>
            <w:r>
              <w:rPr>
                <w:sz w:val="18"/>
              </w:rPr>
              <w:t>30%</w:t>
            </w:r>
          </w:p>
        </w:tc>
        <w:tc>
          <w:tcPr>
            <w:tcW w:type="dxa" w:w="2041"/>
            <w:shd w:val="clear" w:color="auto" w:fill="FAFAFB"/>
            <w:vAlign w:val="center"/>
          </w:tcPr>
          <w:p>
            <w:pPr>
              <w:spacing w:after="20" w:line="252" w:lineRule="auto"/>
              <w:jc w:val="right"/>
            </w:pPr>
            <w:r>
              <w:rPr>
                <w:sz w:val="18"/>
              </w:rPr>
              <w:t>R19.18m</w:t>
            </w:r>
          </w:p>
        </w:tc>
        <w:tc>
          <w:tcPr>
            <w:tcW w:type="dxa" w:w="1474"/>
            <w:shd w:val="clear" w:color="auto" w:fill="FAFAFB"/>
            <w:vAlign w:val="center"/>
          </w:tcPr>
          <w:p>
            <w:pPr>
              <w:spacing w:after="20" w:line="252" w:lineRule="auto"/>
              <w:jc w:val="right"/>
            </w:pPr>
            <w:r>
              <w:rPr>
                <w:sz w:val="18"/>
              </w:rPr>
              <w:t>30.3%</w:t>
            </w:r>
          </w:p>
        </w:tc>
        <w:tc>
          <w:tcPr>
            <w:tcW w:type="dxa" w:w="1701"/>
            <w:shd w:val="clear" w:color="auto" w:fill="FAFAFB"/>
            <w:vAlign w:val="center"/>
          </w:tcPr>
          <w:p>
            <w:pPr>
              <w:spacing w:after="20" w:line="252" w:lineRule="auto"/>
              <w:jc w:val="right"/>
            </w:pPr>
            <w:r>
              <w:rPr>
                <w:sz w:val="18"/>
              </w:rPr>
              <w:t>+0.3 pp</w:t>
            </w:r>
          </w:p>
        </w:tc>
      </w:tr>
      <w:tr>
        <w:trPr>
          <w:cantSplit/>
        </w:trPr>
        <w:tc>
          <w:tcPr>
            <w:tcW w:type="dxa" w:w="3175"/>
            <w:vAlign w:val="center"/>
          </w:tcPr>
          <w:p>
            <w:pPr>
              <w:spacing w:after="20" w:line="252" w:lineRule="auto"/>
            </w:pPr>
            <w:r>
              <w:rPr>
                <w:b/>
                <w:sz w:val="18"/>
              </w:rPr>
              <w:t>Market expansion (NG, KE, GH) &amp; payments compliance</w:t>
            </w:r>
          </w:p>
        </w:tc>
        <w:tc>
          <w:tcPr>
            <w:tcW w:type="dxa" w:w="1247"/>
            <w:vAlign w:val="center"/>
          </w:tcPr>
          <w:p>
            <w:pPr>
              <w:spacing w:after="20" w:line="252" w:lineRule="auto"/>
              <w:jc w:val="right"/>
            </w:pPr>
            <w:r>
              <w:rPr>
                <w:sz w:val="18"/>
              </w:rPr>
              <w:t>15%</w:t>
            </w:r>
          </w:p>
        </w:tc>
        <w:tc>
          <w:tcPr>
            <w:tcW w:type="dxa" w:w="2041"/>
            <w:vAlign w:val="center"/>
          </w:tcPr>
          <w:p>
            <w:pPr>
              <w:spacing w:after="20" w:line="252" w:lineRule="auto"/>
              <w:jc w:val="right"/>
            </w:pPr>
            <w:r>
              <w:rPr>
                <w:sz w:val="18"/>
              </w:rPr>
              <w:t>R6.14m</w:t>
            </w:r>
          </w:p>
        </w:tc>
        <w:tc>
          <w:tcPr>
            <w:tcW w:type="dxa" w:w="1474"/>
            <w:vAlign w:val="center"/>
          </w:tcPr>
          <w:p>
            <w:pPr>
              <w:spacing w:after="20" w:line="252" w:lineRule="auto"/>
              <w:jc w:val="right"/>
            </w:pPr>
            <w:r>
              <w:rPr>
                <w:sz w:val="18"/>
              </w:rPr>
              <w:t>9.7%</w:t>
            </w:r>
          </w:p>
        </w:tc>
        <w:tc>
          <w:tcPr>
            <w:tcW w:type="dxa" w:w="1701"/>
            <w:vAlign w:val="center"/>
          </w:tcPr>
          <w:p>
            <w:pPr>
              <w:spacing w:after="20" w:line="252" w:lineRule="auto"/>
              <w:jc w:val="right"/>
            </w:pPr>
            <w:r>
              <w:rPr>
                <w:sz w:val="18"/>
              </w:rPr>
              <w:t>-5.3 pp</w:t>
            </w:r>
          </w:p>
        </w:tc>
      </w:tr>
      <w:tr>
        <w:trPr>
          <w:cantSplit/>
        </w:trPr>
        <w:tc>
          <w:tcPr>
            <w:tcW w:type="dxa" w:w="3175"/>
            <w:shd w:val="clear" w:color="auto" w:fill="FAFAFB"/>
            <w:vAlign w:val="center"/>
          </w:tcPr>
          <w:p>
            <w:pPr>
              <w:spacing w:after="20" w:line="252" w:lineRule="auto"/>
            </w:pPr>
            <w:r>
              <w:rPr>
                <w:b/>
                <w:sz w:val="18"/>
              </w:rPr>
              <w:t>Operations &amp; working capital</w:t>
            </w:r>
          </w:p>
        </w:tc>
        <w:tc>
          <w:tcPr>
            <w:tcW w:type="dxa" w:w="1247"/>
            <w:shd w:val="clear" w:color="auto" w:fill="FAFAFB"/>
            <w:vAlign w:val="center"/>
          </w:tcPr>
          <w:p>
            <w:pPr>
              <w:spacing w:after="20" w:line="252" w:lineRule="auto"/>
              <w:jc w:val="right"/>
            </w:pPr>
            <w:r>
              <w:rPr>
                <w:sz w:val="18"/>
              </w:rPr>
              <w:t>15%</w:t>
            </w:r>
          </w:p>
        </w:tc>
        <w:tc>
          <w:tcPr>
            <w:tcW w:type="dxa" w:w="2041"/>
            <w:shd w:val="clear" w:color="auto" w:fill="FAFAFB"/>
            <w:vAlign w:val="center"/>
          </w:tcPr>
          <w:p>
            <w:pPr>
              <w:spacing w:after="20" w:line="252" w:lineRule="auto"/>
              <w:jc w:val="right"/>
            </w:pPr>
            <w:r>
              <w:rPr>
                <w:sz w:val="18"/>
              </w:rPr>
              <w:t>R13.66m</w:t>
            </w:r>
          </w:p>
        </w:tc>
        <w:tc>
          <w:tcPr>
            <w:tcW w:type="dxa" w:w="1474"/>
            <w:shd w:val="clear" w:color="auto" w:fill="FAFAFB"/>
            <w:vAlign w:val="center"/>
          </w:tcPr>
          <w:p>
            <w:pPr>
              <w:spacing w:after="20" w:line="252" w:lineRule="auto"/>
              <w:jc w:val="right"/>
            </w:pPr>
            <w:r>
              <w:rPr>
                <w:sz w:val="18"/>
              </w:rPr>
              <w:t>21.6%</w:t>
            </w:r>
          </w:p>
        </w:tc>
        <w:tc>
          <w:tcPr>
            <w:tcW w:type="dxa" w:w="1701"/>
            <w:shd w:val="clear" w:color="auto" w:fill="FAFAFB"/>
            <w:vAlign w:val="center"/>
          </w:tcPr>
          <w:p>
            <w:pPr>
              <w:spacing w:after="20" w:line="252" w:lineRule="auto"/>
              <w:jc w:val="right"/>
            </w:pPr>
            <w:r>
              <w:rPr>
                <w:sz w:val="18"/>
              </w:rPr>
              <w:t>+6.6 pp</w:t>
            </w:r>
          </w:p>
        </w:tc>
      </w:tr>
      <w:tr>
        <w:trPr>
          <w:cantSplit/>
        </w:trPr>
        <w:tc>
          <w:tcPr>
            <w:tcW w:type="dxa" w:w="3175"/>
            <w:shd w:val="clear" w:color="auto" w:fill="FFF4EB"/>
            <w:vAlign w:val="center"/>
          </w:tcPr>
          <w:p>
            <w:pPr>
              <w:spacing w:after="20" w:line="252" w:lineRule="auto"/>
            </w:pPr>
            <w:r>
              <w:rPr>
                <w:b/>
                <w:sz w:val="18"/>
              </w:rPr>
              <w:t>Total gross spend</w:t>
            </w:r>
          </w:p>
        </w:tc>
        <w:tc>
          <w:tcPr>
            <w:tcW w:type="dxa" w:w="1247"/>
            <w:shd w:val="clear" w:color="auto" w:fill="FFF4EB"/>
            <w:vAlign w:val="center"/>
          </w:tcPr>
          <w:p>
            <w:pPr>
              <w:spacing w:after="20" w:line="252" w:lineRule="auto"/>
              <w:jc w:val="right"/>
            </w:pPr>
          </w:p>
        </w:tc>
        <w:tc>
          <w:tcPr>
            <w:tcW w:type="dxa" w:w="2041"/>
            <w:shd w:val="clear" w:color="auto" w:fill="FFF4EB"/>
            <w:vAlign w:val="center"/>
          </w:tcPr>
          <w:p>
            <w:pPr>
              <w:spacing w:after="20" w:line="252" w:lineRule="auto"/>
              <w:jc w:val="right"/>
            </w:pPr>
            <w:r>
              <w:rPr>
                <w:b/>
                <w:sz w:val="18"/>
              </w:rPr>
              <w:t>R63.28m</w:t>
            </w:r>
          </w:p>
        </w:tc>
        <w:tc>
          <w:tcPr>
            <w:tcW w:type="dxa" w:w="1474"/>
            <w:shd w:val="clear" w:color="auto" w:fill="FFF4EB"/>
            <w:vAlign w:val="center"/>
          </w:tcPr>
          <w:p>
            <w:pPr>
              <w:spacing w:after="20" w:line="252" w:lineRule="auto"/>
              <w:jc w:val="right"/>
            </w:pPr>
          </w:p>
        </w:tc>
        <w:tc>
          <w:tcPr>
            <w:tcW w:type="dxa" w:w="1701"/>
            <w:shd w:val="clear" w:color="auto" w:fill="FFF4EB"/>
            <w:vAlign w:val="center"/>
          </w:tcPr>
          <w:p>
            <w:pPr>
              <w:spacing w:after="20" w:line="252" w:lineRule="auto"/>
              <w:jc w:val="right"/>
            </w:pPr>
          </w:p>
        </w:tc>
      </w:tr>
      <w:tr>
        <w:trPr>
          <w:cantSplit/>
        </w:trPr>
        <w:tc>
          <w:tcPr>
            <w:tcW w:type="dxa" w:w="3175"/>
            <w:shd w:val="clear" w:color="auto" w:fill="FAFAFB"/>
            <w:vAlign w:val="center"/>
          </w:tcPr>
          <w:p>
            <w:pPr>
              <w:spacing w:after="20" w:line="252" w:lineRule="auto"/>
            </w:pPr>
            <w:r>
              <w:rPr>
                <w:b/>
                <w:sz w:val="18"/>
              </w:rPr>
              <w:t>less revenue collected</w:t>
            </w:r>
          </w:p>
        </w:tc>
        <w:tc>
          <w:tcPr>
            <w:tcW w:type="dxa" w:w="1247"/>
            <w:shd w:val="clear" w:color="auto" w:fill="FAFAFB"/>
            <w:vAlign w:val="center"/>
          </w:tcPr>
          <w:p>
            <w:pPr>
              <w:spacing w:after="20" w:line="252" w:lineRule="auto"/>
              <w:jc w:val="right"/>
            </w:pPr>
          </w:p>
        </w:tc>
        <w:tc>
          <w:tcPr>
            <w:tcW w:type="dxa" w:w="2041"/>
            <w:shd w:val="clear" w:color="auto" w:fill="FAFAFB"/>
            <w:vAlign w:val="center"/>
          </w:tcPr>
          <w:p>
            <w:pPr>
              <w:spacing w:after="20" w:line="252" w:lineRule="auto"/>
              <w:jc w:val="right"/>
            </w:pPr>
            <w:r>
              <w:rPr>
                <w:sz w:val="18"/>
              </w:rPr>
              <w:t>R46.34m</w:t>
            </w:r>
          </w:p>
        </w:tc>
        <w:tc>
          <w:tcPr>
            <w:tcW w:type="dxa" w:w="1474"/>
            <w:shd w:val="clear" w:color="auto" w:fill="FAFAFB"/>
            <w:vAlign w:val="center"/>
          </w:tcPr>
          <w:p>
            <w:pPr>
              <w:spacing w:after="20" w:line="252" w:lineRule="auto"/>
              <w:jc w:val="right"/>
            </w:pPr>
          </w:p>
        </w:tc>
        <w:tc>
          <w:tcPr>
            <w:tcW w:type="dxa" w:w="1701"/>
            <w:shd w:val="clear" w:color="auto" w:fill="FAFAFB"/>
            <w:vAlign w:val="center"/>
          </w:tcPr>
          <w:p>
            <w:pPr>
              <w:spacing w:after="20" w:line="252" w:lineRule="auto"/>
              <w:jc w:val="right"/>
            </w:pPr>
          </w:p>
        </w:tc>
      </w:tr>
      <w:tr>
        <w:trPr>
          <w:cantSplit/>
        </w:trPr>
        <w:tc>
          <w:tcPr>
            <w:tcW w:type="dxa" w:w="3175"/>
            <w:shd w:val="clear" w:color="auto" w:fill="FFF4EB"/>
            <w:vAlign w:val="center"/>
          </w:tcPr>
          <w:p>
            <w:pPr>
              <w:spacing w:after="20" w:line="252" w:lineRule="auto"/>
            </w:pPr>
            <w:r>
              <w:rPr>
                <w:b/>
                <w:sz w:val="18"/>
              </w:rPr>
              <w:t>Net cash consumed from the seed</w:t>
            </w:r>
          </w:p>
        </w:tc>
        <w:tc>
          <w:tcPr>
            <w:tcW w:type="dxa" w:w="1247"/>
            <w:shd w:val="clear" w:color="auto" w:fill="FFF4EB"/>
            <w:vAlign w:val="center"/>
          </w:tcPr>
          <w:p>
            <w:pPr>
              <w:spacing w:after="20" w:line="252" w:lineRule="auto"/>
              <w:jc w:val="right"/>
            </w:pPr>
          </w:p>
        </w:tc>
        <w:tc>
          <w:tcPr>
            <w:tcW w:type="dxa" w:w="2041"/>
            <w:shd w:val="clear" w:color="auto" w:fill="FFF4EB"/>
            <w:vAlign w:val="center"/>
          </w:tcPr>
          <w:p>
            <w:pPr>
              <w:spacing w:after="20" w:line="252" w:lineRule="auto"/>
              <w:jc w:val="right"/>
            </w:pPr>
            <w:r>
              <w:rPr>
                <w:b/>
                <w:sz w:val="18"/>
              </w:rPr>
              <w:t>R16.93m</w:t>
            </w:r>
          </w:p>
        </w:tc>
        <w:tc>
          <w:tcPr>
            <w:tcW w:type="dxa" w:w="1474"/>
            <w:shd w:val="clear" w:color="auto" w:fill="FFF4EB"/>
            <w:vAlign w:val="center"/>
          </w:tcPr>
          <w:p>
            <w:pPr>
              <w:spacing w:after="20" w:line="252" w:lineRule="auto"/>
              <w:jc w:val="right"/>
            </w:pPr>
          </w:p>
        </w:tc>
        <w:tc>
          <w:tcPr>
            <w:tcW w:type="dxa" w:w="1701"/>
            <w:shd w:val="clear" w:color="auto" w:fill="FFF4EB"/>
            <w:vAlign w:val="center"/>
          </w:tcPr>
          <w:p>
            <w:pPr>
              <w:spacing w:after="20" w:line="252" w:lineRule="auto"/>
              <w:jc w:val="right"/>
            </w:pPr>
          </w:p>
        </w:tc>
      </w:tr>
      <w:tr>
        <w:trPr>
          <w:cantSplit/>
        </w:trPr>
        <w:tc>
          <w:tcPr>
            <w:tcW w:type="dxa" w:w="3175"/>
            <w:shd w:val="clear" w:color="auto" w:fill="FFF4EB"/>
            <w:vAlign w:val="center"/>
          </w:tcPr>
          <w:p>
            <w:pPr>
              <w:spacing w:after="20" w:line="252" w:lineRule="auto"/>
            </w:pPr>
            <w:r>
              <w:rPr>
                <w:b/>
                <w:sz w:val="18"/>
              </w:rPr>
              <w:t>Seed remaining after 24 months</w:t>
            </w:r>
          </w:p>
        </w:tc>
        <w:tc>
          <w:tcPr>
            <w:tcW w:type="dxa" w:w="1247"/>
            <w:shd w:val="clear" w:color="auto" w:fill="FFF4EB"/>
            <w:vAlign w:val="center"/>
          </w:tcPr>
          <w:p>
            <w:pPr>
              <w:spacing w:after="20" w:line="252" w:lineRule="auto"/>
              <w:jc w:val="right"/>
            </w:pPr>
          </w:p>
        </w:tc>
        <w:tc>
          <w:tcPr>
            <w:tcW w:type="dxa" w:w="2041"/>
            <w:shd w:val="clear" w:color="auto" w:fill="FFF4EB"/>
            <w:vAlign w:val="center"/>
          </w:tcPr>
          <w:p>
            <w:pPr>
              <w:spacing w:after="20" w:line="252" w:lineRule="auto"/>
              <w:jc w:val="right"/>
            </w:pPr>
            <w:r>
              <w:rPr>
                <w:b/>
                <w:sz w:val="18"/>
              </w:rPr>
              <w:t>R8.07m</w:t>
            </w:r>
          </w:p>
        </w:tc>
        <w:tc>
          <w:tcPr>
            <w:tcW w:type="dxa" w:w="1474"/>
            <w:shd w:val="clear" w:color="auto" w:fill="FFF4EB"/>
            <w:vAlign w:val="center"/>
          </w:tcPr>
          <w:p>
            <w:pPr>
              <w:spacing w:after="20" w:line="252" w:lineRule="auto"/>
              <w:jc w:val="right"/>
            </w:pPr>
          </w:p>
        </w:tc>
        <w:tc>
          <w:tcPr>
            <w:tcW w:type="dxa" w:w="1701"/>
            <w:shd w:val="clear" w:color="auto" w:fill="FFF4EB"/>
            <w:vAlign w:val="center"/>
          </w:tcPr>
          <w:p>
            <w:pPr>
              <w:spacing w:after="20" w:line="252" w:lineRule="auto"/>
              <w:jc w:val="right"/>
            </w:pPr>
          </w:p>
        </w:tc>
      </w:tr>
    </w:tbl>
    <w:p>
      <w:pPr>
        <w:spacing w:after="0" w:line="120" w:lineRule="exact"/>
      </w:pPr>
    </w:p>
    <w:p>
      <w:pPr>
        <w:spacing w:after="200"/>
      </w:pPr>
      <w:r>
        <w:rPr>
          <w:color w:val="5B6570"/>
          <w:sz w:val="17"/>
        </w:rPr>
        <w:t>Source: FluxMuse Financial Model v2 (Base case), 11 September 2026.</w:t>
      </w:r>
    </w:p>
    <w:p>
      <w:r>
        <w:rPr>
          <w:b/>
        </w:rPr>
        <w:t>Two gaps, stated plainly:</w:t>
      </w:r>
    </w:p>
    <w:p>
      <w:pPr>
        <w:pStyle w:val="ListBullet"/>
      </w:pPr>
      <w:r>
        <w:rPr>
          <w:b/>
        </w:rPr>
        <w:t>Expansion is under-spent against its 15% share (9.7% of spend, −5.3 points).</w:t>
      </w:r>
      <w:r>
        <w:rPr/>
        <w:t xml:space="preserve"> The MRR gates start the Nigeria, Kenya and Ghana launches 12 to 16 months after close, and country teams are deliberately small. This is the cost discipline working, not an under-investment we intend to fix by spending earlier.</w:t>
      </w:r>
    </w:p>
    <w:p>
      <w:pPr>
        <w:pStyle w:val="ListBullet"/>
      </w:pPr>
      <w:r>
        <w:rPr>
          <w:b/>
        </w:rPr>
        <w:t>Operations and working capital is over its 15% share (21.6% of spend, +6.6 points).</w:t>
      </w:r>
      <w:r>
        <w:rPr/>
        <w:t xml:space="preserve"> Customer success, payment processing, WhatsApp pass-through and support scale with revenue, and revenue funds them.</w:t>
      </w:r>
    </w:p>
    <w:p>
      <w:pPr>
        <w:pStyle w:val="ListBullet"/>
      </w:pPr>
      <w:r>
        <w:rPr/>
        <w:t xml:space="preserve">The straightforward reading is to treat the split as a </w:t>
      </w:r>
      <w:r>
        <w:rPr>
          <w:b/>
        </w:rPr>
        <w:t>share of spend</w:t>
      </w:r>
      <w:r>
        <w:rPr/>
        <w:t>, or to move about five points from expansion to operations. We have not restated the headline split, so that this plan and the model can be compared line for line.</w:t>
      </w:r>
    </w:p>
    <w:p>
      <w:pPr>
        <w:pStyle w:val="Heading2"/>
      </w:pPr>
      <w:r>
        <w:rPr/>
        <w:t>The unspent reserve</w:t>
      </w:r>
    </w:p>
    <w:p>
      <w:r>
        <w:rPr/>
        <w:t xml:space="preserve">About </w:t>
      </w:r>
      <w:r>
        <w:rPr>
          <w:b/>
        </w:rPr>
        <w:t>R8.1m of the seed is still unspent 24 months after close</w:t>
      </w:r>
      <w:r>
        <w:rPr/>
        <w:t xml:space="preserve"> (R8.9m at 18 months). That is deliberate. It is the downside reserve that keeps the plan self-funded if the market is slower than assumed: in the −30% trial-volume case, minimum post-seed cash falls from R7.96m to about </w:t>
      </w:r>
      <w:r>
        <w:rPr>
          <w:b/>
        </w:rPr>
        <w:t>R0.98m</w:t>
      </w:r>
      <w:r>
        <w:rPr/>
        <w:t>, and this reserve, together with raising the hiring and launch gates, is what absorbs that. It is not idle capital looking for a use; it is the reason no Series A is needed.</w:t>
      </w:r>
    </w:p>
    <w:p>
      <w:pPr>
        <w:pStyle w:val="Heading2"/>
      </w:pPr>
      <w:r>
        <w:rPr/>
        <w:t>The pre-seed bridge</w:t>
      </w:r>
    </w:p>
    <w:p>
      <w:r>
        <w:rPr/>
        <w:t xml:space="preserve">On the modelled February 2027 close and opening cash of R500,000, the business needs a bridge of </w:t>
      </w:r>
      <w:r>
        <w:rPr>
          <w:b/>
        </w:rPr>
        <w:t>R57,528</w:t>
      </w:r>
      <w:r>
        <w:rPr/>
        <w:t xml:space="preserve"> in Jan 2027. It is small and it is not optional. Options are a founder loan, pilot prepayments, or closing the round earlier. </w:t>
      </w:r>
      <w:r>
        <w:rPr>
          <w:b/>
          <w:color w:val="20242B"/>
          <w:shd w:val="clear" w:color="auto" w:fill="FFF1A8"/>
        </w:rPr>
        <w:t>[[HOW THE PRE-SEED BRIDGE WILL BE COVERED]]</w:t>
      </w:r>
    </w:p>
    <w:p>
      <w:pPr>
        <w:spacing w:after="160"/>
      </w:pPr>
      <w:r>
        <w:rPr>
          <w:i/>
          <w:color w:val="5B6570"/>
          <w:sz w:val="18"/>
        </w:rPr>
        <w:t>Pilot conversion barely moves it: R63,056 at 50% conversion and R52,001 at 100%. Opening cash above about R560k removes it.</w:t>
      </w:r>
    </w:p>
    <w:p>
      <w:pPr>
        <w:pStyle w:val="Heading2"/>
      </w:pPr>
      <w:r>
        <w:rPr/>
        <w:t>Investor return considerations</w:t>
      </w:r>
    </w:p>
    <w:p>
      <w:r>
        <w:rPr/>
        <w:t>This plan does not propose a valuation or model a return: those are matters for negotiation, and inventing them here would be false precision. What the plan does say:</w:t>
      </w:r>
    </w:p>
    <w:p>
      <w:pPr>
        <w:pStyle w:val="ListBullet"/>
      </w:pPr>
      <w:r>
        <w:rPr>
          <w:b/>
        </w:rPr>
        <w:t>The round is sized to reach profitability, not to reach the next round.</w:t>
      </w:r>
      <w:r>
        <w:rPr/>
        <w:t xml:space="preserve"> All three scenarios reach sustained EBITDA and operating-cash-flow break-even on this R25m with no Series A, so an investor is not underwriting a financing risk on top of an execution risk.</w:t>
      </w:r>
    </w:p>
    <w:p>
      <w:pPr>
        <w:pStyle w:val="ListBullet"/>
      </w:pPr>
      <w:r>
        <w:rPr>
          <w:b/>
        </w:rPr>
        <w:t>Cash generation starts inside the horizon</w:t>
      </w:r>
      <w:r>
        <w:rPr/>
        <w:t>: operating cash flow turns positive in Oct 2028 and closing cash reaches R104m by the end of FY5 in the Base case.</w:t>
      </w:r>
    </w:p>
    <w:p>
      <w:pPr>
        <w:pStyle w:val="ListBullet"/>
      </w:pPr>
      <w:r>
        <w:rPr>
          <w:b/>
        </w:rPr>
        <w:t>Recurring revenue with sound unit economics</w:t>
      </w:r>
      <w:r>
        <w:rPr/>
        <w:t>: FY3 blended LTV:CAC of 5.6× with a 3.8-month payback, and subscription ARR of R249m by FY5.</w:t>
      </w:r>
    </w:p>
    <w:p>
      <w:pPr>
        <w:pStyle w:val="ListBullet"/>
      </w:pPr>
      <w:r>
        <w:rPr>
          <w:b/>
        </w:rPr>
        <w:t>Optionality that is not in the Base case</w:t>
      </w:r>
      <w:r>
        <w:rPr/>
        <w:t>: the commerce fee, Campaign Financing, Botswana and Namibia, and any market outside the current 23 are all excluded from these projections.</w:t>
      </w:r>
    </w:p>
    <w:p>
      <w:pPr>
        <w:pStyle w:val="ListBullet"/>
      </w:pPr>
      <w:r>
        <w:rPr>
          <w:b/>
        </w:rPr>
        <w:t>Exit routes</w:t>
      </w:r>
      <w:r>
        <w:rPr/>
        <w:t xml:space="preserve"> are </w:t>
      </w:r>
      <w:r>
        <w:rPr>
          <w:b/>
          <w:color w:val="20242B"/>
          <w:shd w:val="clear" w:color="auto" w:fill="FFF1A8"/>
        </w:rPr>
        <w:t>[[EXIT CONSIDERATIONS: TO BE DISCUSSED WITH INVESTORS]]</w:t>
      </w:r>
      <w:r>
        <w:rPr/>
        <w:t>. Any Series A would be optional acceleration rather than survival.</w:t>
      </w:r>
    </w:p>
    <w:p>
      <w:pPr>
        <w:pStyle w:val="Heading1"/>
        <w:pageBreakBefore/>
      </w:pPr>
      <w:r>
        <w:rPr/>
        <w:t>14. Risk analysis</w:t>
      </w:r>
    </w:p>
    <w:p>
      <w:r>
        <w:rPr/>
        <w:t>Likelihood and impact are assessed on the plan as it stands, after the mitigations already built into the model (MRR-gated hiring and launches, the capped paid-acquisition budget and the R3.0m minimum-cash buffer). Owners are to be assigned before this plan is issued.</w:t>
      </w:r>
    </w:p>
    <w:tbl>
      <w:tblPr>
        <w:tblW w:w="9070"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isk register"/>
      </w:tblPr>
      <w:tblGrid>
        <w:gridCol w:w="510"/>
        <w:gridCol w:w="2211"/>
        <w:gridCol w:w="907"/>
        <w:gridCol w:w="793"/>
        <w:gridCol w:w="3741"/>
        <w:gridCol w:w="907"/>
      </w:tblGrid>
      <w:tr>
        <w:trPr>
          <w:cantSplit/>
          <w:tblHeader/>
        </w:trPr>
        <w:tc>
          <w:tcPr>
            <w:tcW w:type="dxa" w:w="510"/>
            <w:shd w:val="clear" w:color="auto" w:fill="FF6A00"/>
            <w:vAlign w:val="center"/>
          </w:tcPr>
          <w:p>
            <w:pPr>
              <w:keepNext/>
              <w:spacing w:after="20" w:line="252" w:lineRule="auto"/>
            </w:pPr>
            <w:r>
              <w:rPr>
                <w:rFonts w:ascii="Poppins" w:hAnsi="Poppins" w:cs="Poppins" w:eastAsia="Poppins"/>
                <w:b/>
                <w:color w:val="20242B"/>
                <w:sz w:val="16"/>
              </w:rPr>
              <w:t>#</w:t>
            </w:r>
          </w:p>
        </w:tc>
        <w:tc>
          <w:tcPr>
            <w:tcW w:type="dxa" w:w="2211"/>
            <w:shd w:val="clear" w:color="auto" w:fill="FF6A00"/>
            <w:vAlign w:val="center"/>
          </w:tcPr>
          <w:p>
            <w:pPr>
              <w:keepNext/>
              <w:spacing w:after="20" w:line="252" w:lineRule="auto"/>
            </w:pPr>
            <w:r>
              <w:rPr>
                <w:rFonts w:ascii="Poppins" w:hAnsi="Poppins" w:cs="Poppins" w:eastAsia="Poppins"/>
                <w:b/>
                <w:color w:val="20242B"/>
                <w:sz w:val="16"/>
              </w:rPr>
              <w:t>Risk</w:t>
            </w:r>
          </w:p>
        </w:tc>
        <w:tc>
          <w:tcPr>
            <w:tcW w:type="dxa" w:w="907"/>
            <w:shd w:val="clear" w:color="auto" w:fill="FF6A00"/>
            <w:vAlign w:val="center"/>
          </w:tcPr>
          <w:p>
            <w:pPr>
              <w:keepNext/>
              <w:spacing w:after="20" w:line="252" w:lineRule="auto"/>
            </w:pPr>
            <w:r>
              <w:rPr>
                <w:rFonts w:ascii="Poppins" w:hAnsi="Poppins" w:cs="Poppins" w:eastAsia="Poppins"/>
                <w:b/>
                <w:color w:val="20242B"/>
                <w:sz w:val="16"/>
              </w:rPr>
              <w:t>Likelihood</w:t>
            </w:r>
          </w:p>
        </w:tc>
        <w:tc>
          <w:tcPr>
            <w:tcW w:type="dxa" w:w="794"/>
            <w:shd w:val="clear" w:color="auto" w:fill="FF6A00"/>
            <w:vAlign w:val="center"/>
          </w:tcPr>
          <w:p>
            <w:pPr>
              <w:keepNext/>
              <w:spacing w:after="20" w:line="252" w:lineRule="auto"/>
            </w:pPr>
            <w:r>
              <w:rPr>
                <w:rFonts w:ascii="Poppins" w:hAnsi="Poppins" w:cs="Poppins" w:eastAsia="Poppins"/>
                <w:b/>
                <w:color w:val="20242B"/>
                <w:sz w:val="16"/>
              </w:rPr>
              <w:t>Impact</w:t>
            </w:r>
          </w:p>
        </w:tc>
        <w:tc>
          <w:tcPr>
            <w:tcW w:type="dxa" w:w="3742"/>
            <w:shd w:val="clear" w:color="auto" w:fill="FF6A00"/>
            <w:vAlign w:val="center"/>
          </w:tcPr>
          <w:p>
            <w:pPr>
              <w:keepNext/>
              <w:spacing w:after="20" w:line="252" w:lineRule="auto"/>
            </w:pPr>
            <w:r>
              <w:rPr>
                <w:rFonts w:ascii="Poppins" w:hAnsi="Poppins" w:cs="Poppins" w:eastAsia="Poppins"/>
                <w:b/>
                <w:color w:val="20242B"/>
                <w:sz w:val="16"/>
              </w:rPr>
              <w:t>Mitigation</w:t>
            </w:r>
          </w:p>
        </w:tc>
        <w:tc>
          <w:tcPr>
            <w:tcW w:type="dxa" w:w="907"/>
            <w:shd w:val="clear" w:color="auto" w:fill="FF6A00"/>
            <w:vAlign w:val="center"/>
          </w:tcPr>
          <w:p>
            <w:pPr>
              <w:keepNext/>
              <w:spacing w:after="20" w:line="252" w:lineRule="auto"/>
            </w:pPr>
            <w:r>
              <w:rPr>
                <w:rFonts w:ascii="Poppins" w:hAnsi="Poppins" w:cs="Poppins" w:eastAsia="Poppins"/>
                <w:b/>
                <w:color w:val="20242B"/>
                <w:sz w:val="16"/>
              </w:rPr>
              <w:t>Owner</w:t>
            </w:r>
          </w:p>
        </w:tc>
      </w:tr>
      <w:tr>
        <w:trPr>
          <w:cantSplit/>
        </w:trPr>
        <w:tc>
          <w:tcPr>
            <w:tcW w:type="dxa" w:w="510"/>
            <w:vAlign w:val="center"/>
          </w:tcPr>
          <w:p>
            <w:pPr>
              <w:spacing w:after="20" w:line="252" w:lineRule="auto"/>
            </w:pPr>
            <w:r>
              <w:rPr>
                <w:sz w:val="16"/>
              </w:rPr>
              <w:t>R1</w:t>
            </w:r>
          </w:p>
        </w:tc>
        <w:tc>
          <w:tcPr>
            <w:tcW w:type="dxa" w:w="2211"/>
            <w:vAlign w:val="center"/>
          </w:tcPr>
          <w:p>
            <w:pPr>
              <w:spacing w:after="20" w:line="252" w:lineRule="auto"/>
            </w:pPr>
            <w:r>
              <w:rPr>
                <w:b/>
                <w:sz w:val="16"/>
              </w:rPr>
              <w:t>Trial volume below plan.</w:t>
            </w:r>
            <w:r>
              <w:rPr>
                <w:sz w:val="16"/>
              </w:rPr>
              <w:t xml:space="preserve"> Demand at launch is weaker than the funnel assumes</w:t>
            </w:r>
          </w:p>
        </w:tc>
        <w:tc>
          <w:tcPr>
            <w:tcW w:type="dxa" w:w="907"/>
            <w:vAlign w:val="center"/>
          </w:tcPr>
          <w:p>
            <w:pPr>
              <w:spacing w:after="20" w:line="252" w:lineRule="auto"/>
            </w:pPr>
            <w:r>
              <w:rPr>
                <w:sz w:val="16"/>
              </w:rPr>
              <w:t>Medium</w:t>
            </w:r>
          </w:p>
        </w:tc>
        <w:tc>
          <w:tcPr>
            <w:tcW w:type="dxa" w:w="794"/>
            <w:vAlign w:val="center"/>
          </w:tcPr>
          <w:p>
            <w:pPr>
              <w:spacing w:after="20" w:line="252" w:lineRule="auto"/>
            </w:pPr>
            <w:r>
              <w:rPr>
                <w:sz w:val="16"/>
              </w:rPr>
              <w:t>High</w:t>
            </w:r>
          </w:p>
        </w:tc>
        <w:tc>
          <w:tcPr>
            <w:tcW w:type="dxa" w:w="3742"/>
            <w:vAlign w:val="center"/>
          </w:tcPr>
          <w:p>
            <w:pPr>
              <w:spacing w:after="20" w:line="252" w:lineRule="auto"/>
            </w:pPr>
            <w:r>
              <w:rPr>
                <w:sz w:val="16"/>
              </w:rPr>
              <w:t>The model quantifies it: 30% below plan takes minimum cash to R0.98m. Pre-agreed response: raise the hiring and launch gate multiplier to 1.40× as in the Conservative case, which delays cost rather than requiring capital. About R8m of the seed is held as reserve</w:t>
            </w:r>
          </w:p>
        </w:tc>
        <w:tc>
          <w:tcPr>
            <w:tcW w:type="dxa" w:w="907"/>
            <w:vAlign w:val="center"/>
          </w:tcPr>
          <w:p>
            <w:pPr>
              <w:spacing w:after="20" w:line="252" w:lineRule="auto"/>
            </w:pPr>
            <w:r>
              <w:rPr>
                <w:b/>
                <w:color w:val="20242B"/>
                <w:sz w:val="16"/>
                <w:shd w:val="clear" w:color="auto" w:fill="FFF1A8"/>
              </w:rPr>
              <w:t>[[OWNER]]</w:t>
            </w:r>
          </w:p>
        </w:tc>
      </w:tr>
      <w:tr>
        <w:trPr>
          <w:cantSplit/>
        </w:trPr>
        <w:tc>
          <w:tcPr>
            <w:tcW w:type="dxa" w:w="510"/>
            <w:shd w:val="clear" w:color="auto" w:fill="FAFAFB"/>
            <w:vAlign w:val="center"/>
          </w:tcPr>
          <w:p>
            <w:pPr>
              <w:spacing w:after="20" w:line="252" w:lineRule="auto"/>
            </w:pPr>
            <w:r>
              <w:rPr>
                <w:sz w:val="16"/>
              </w:rPr>
              <w:t>R2</w:t>
            </w:r>
          </w:p>
        </w:tc>
        <w:tc>
          <w:tcPr>
            <w:tcW w:type="dxa" w:w="2211"/>
            <w:shd w:val="clear" w:color="auto" w:fill="FAFAFB"/>
            <w:vAlign w:val="center"/>
          </w:tcPr>
          <w:p>
            <w:pPr>
              <w:spacing w:after="20" w:line="252" w:lineRule="auto"/>
            </w:pPr>
            <w:r>
              <w:rPr>
                <w:b/>
                <w:sz w:val="16"/>
              </w:rPr>
              <w:t>FX: the rand strengthens</w:t>
            </w:r>
            <w:r>
              <w:rPr>
                <w:sz w:val="16"/>
              </w:rPr>
              <w:t xml:space="preserve"> against NGN, KES, GHS or USD</w:t>
            </w:r>
          </w:p>
        </w:tc>
        <w:tc>
          <w:tcPr>
            <w:tcW w:type="dxa" w:w="907"/>
            <w:shd w:val="clear" w:color="auto" w:fill="FAFAFB"/>
            <w:vAlign w:val="center"/>
          </w:tcPr>
          <w:p>
            <w:pPr>
              <w:spacing w:after="20" w:line="252" w:lineRule="auto"/>
            </w:pPr>
            <w:r>
              <w:rPr>
                <w:sz w:val="16"/>
              </w:rPr>
              <w:t>Medium</w:t>
            </w:r>
          </w:p>
        </w:tc>
        <w:tc>
          <w:tcPr>
            <w:tcW w:type="dxa" w:w="794"/>
            <w:shd w:val="clear" w:color="auto" w:fill="FAFAFB"/>
            <w:vAlign w:val="center"/>
          </w:tcPr>
          <w:p>
            <w:pPr>
              <w:spacing w:after="20" w:line="252" w:lineRule="auto"/>
            </w:pPr>
            <w:r>
              <w:rPr>
                <w:sz w:val="16"/>
              </w:rPr>
              <w:t>Medium</w:t>
            </w:r>
          </w:p>
        </w:tc>
        <w:tc>
          <w:tcPr>
            <w:tcW w:type="dxa" w:w="3742"/>
            <w:shd w:val="clear" w:color="auto" w:fill="FAFAFB"/>
            <w:vAlign w:val="center"/>
          </w:tcPr>
          <w:p>
            <w:pPr>
              <w:spacing w:after="20" w:line="252" w:lineRule="auto"/>
            </w:pPr>
            <w:r>
              <w:rPr>
                <w:sz w:val="16"/>
              </w:rPr>
              <w:t>Quarterly repricing at more than 10% drift restores parity. With repricing a 15% shock is immaterial; without it FY5 EBITDA falls R9.9m. Repricing discipline is a standing policy, not a decision taken under pressure</w:t>
            </w:r>
          </w:p>
        </w:tc>
        <w:tc>
          <w:tcPr>
            <w:tcW w:type="dxa" w:w="907"/>
            <w:shd w:val="clear" w:color="auto" w:fill="FAFAFB"/>
            <w:vAlign w:val="center"/>
          </w:tcPr>
          <w:p>
            <w:pPr>
              <w:spacing w:after="20" w:line="252" w:lineRule="auto"/>
            </w:pPr>
            <w:r>
              <w:rPr>
                <w:b/>
                <w:color w:val="20242B"/>
                <w:sz w:val="16"/>
                <w:shd w:val="clear" w:color="auto" w:fill="FFF1A8"/>
              </w:rPr>
              <w:t>[[OWNER]]</w:t>
            </w:r>
          </w:p>
        </w:tc>
      </w:tr>
      <w:tr>
        <w:trPr>
          <w:cantSplit/>
        </w:trPr>
        <w:tc>
          <w:tcPr>
            <w:tcW w:type="dxa" w:w="510"/>
            <w:vAlign w:val="center"/>
          </w:tcPr>
          <w:p>
            <w:pPr>
              <w:spacing w:after="20" w:line="252" w:lineRule="auto"/>
            </w:pPr>
            <w:r>
              <w:rPr>
                <w:sz w:val="16"/>
              </w:rPr>
              <w:t>R3</w:t>
            </w:r>
          </w:p>
        </w:tc>
        <w:tc>
          <w:tcPr>
            <w:tcW w:type="dxa" w:w="2211"/>
            <w:vAlign w:val="center"/>
          </w:tcPr>
          <w:p>
            <w:pPr>
              <w:spacing w:after="20" w:line="252" w:lineRule="auto"/>
            </w:pPr>
            <w:r>
              <w:rPr>
                <w:b/>
                <w:sz w:val="16"/>
              </w:rPr>
              <w:t>Meta dependency.</w:t>
            </w:r>
            <w:r>
              <w:rPr>
                <w:sz w:val="16"/>
              </w:rPr>
              <w:t xml:space="preserve"> App Review is refused or delayed, or platform policy or pricing changes</w:t>
            </w:r>
          </w:p>
        </w:tc>
        <w:tc>
          <w:tcPr>
            <w:tcW w:type="dxa" w:w="907"/>
            <w:vAlign w:val="center"/>
          </w:tcPr>
          <w:p>
            <w:pPr>
              <w:spacing w:after="20" w:line="252" w:lineRule="auto"/>
            </w:pPr>
            <w:r>
              <w:rPr>
                <w:sz w:val="16"/>
              </w:rPr>
              <w:t>Medium</w:t>
            </w:r>
          </w:p>
        </w:tc>
        <w:tc>
          <w:tcPr>
            <w:tcW w:type="dxa" w:w="794"/>
            <w:vAlign w:val="center"/>
          </w:tcPr>
          <w:p>
            <w:pPr>
              <w:spacing w:after="20" w:line="252" w:lineRule="auto"/>
            </w:pPr>
            <w:r>
              <w:rPr>
                <w:sz w:val="16"/>
              </w:rPr>
              <w:t>High</w:t>
            </w:r>
          </w:p>
        </w:tc>
        <w:tc>
          <w:tcPr>
            <w:tcW w:type="dxa" w:w="3742"/>
            <w:vAlign w:val="center"/>
          </w:tcPr>
          <w:p>
            <w:pPr>
              <w:spacing w:after="20" w:line="252" w:lineRule="auto"/>
            </w:pPr>
            <w:r>
              <w:rPr>
                <w:sz w:val="16"/>
              </w:rPr>
              <w:t>WhatsApp permissions, the commercial core, are already approved and Tech Provider verification is held. Nothing in review is sold as live, so no revenue in the plan depends on it. Channel mix (WhatsApp, Facebook, email, SMS, USSD, link-in-bio) reduces single-channel exposure, and stage 2 of the roadmap adds non-Meta networks</w:t>
            </w:r>
          </w:p>
        </w:tc>
        <w:tc>
          <w:tcPr>
            <w:tcW w:type="dxa" w:w="907"/>
            <w:vAlign w:val="center"/>
          </w:tcPr>
          <w:p>
            <w:pPr>
              <w:spacing w:after="20" w:line="252" w:lineRule="auto"/>
            </w:pPr>
            <w:r>
              <w:rPr>
                <w:b/>
                <w:color w:val="20242B"/>
                <w:sz w:val="16"/>
                <w:shd w:val="clear" w:color="auto" w:fill="FFF1A8"/>
              </w:rPr>
              <w:t>[[OWNER]]</w:t>
            </w:r>
          </w:p>
        </w:tc>
      </w:tr>
      <w:tr>
        <w:trPr>
          <w:cantSplit/>
        </w:trPr>
        <w:tc>
          <w:tcPr>
            <w:tcW w:type="dxa" w:w="510"/>
            <w:shd w:val="clear" w:color="auto" w:fill="FAFAFB"/>
            <w:vAlign w:val="center"/>
          </w:tcPr>
          <w:p>
            <w:pPr>
              <w:spacing w:after="20" w:line="252" w:lineRule="auto"/>
            </w:pPr>
            <w:r>
              <w:rPr>
                <w:sz w:val="16"/>
              </w:rPr>
              <w:t>R4</w:t>
            </w:r>
          </w:p>
        </w:tc>
        <w:tc>
          <w:tcPr>
            <w:tcW w:type="dxa" w:w="2211"/>
            <w:shd w:val="clear" w:color="auto" w:fill="FAFAFB"/>
            <w:vAlign w:val="center"/>
          </w:tcPr>
          <w:p>
            <w:pPr>
              <w:spacing w:after="20" w:line="252" w:lineRule="auto"/>
            </w:pPr>
            <w:r>
              <w:rPr>
                <w:b/>
                <w:sz w:val="16"/>
              </w:rPr>
              <w:t>Payment rail concentration or settlement failure</w:t>
            </w:r>
          </w:p>
        </w:tc>
        <w:tc>
          <w:tcPr>
            <w:tcW w:type="dxa" w:w="907"/>
            <w:shd w:val="clear" w:color="auto" w:fill="FAFAFB"/>
            <w:vAlign w:val="center"/>
          </w:tcPr>
          <w:p>
            <w:pPr>
              <w:spacing w:after="20" w:line="252" w:lineRule="auto"/>
            </w:pPr>
            <w:r>
              <w:rPr>
                <w:sz w:val="16"/>
              </w:rPr>
              <w:t>Low</w:t>
            </w:r>
          </w:p>
        </w:tc>
        <w:tc>
          <w:tcPr>
            <w:tcW w:type="dxa" w:w="794"/>
            <w:shd w:val="clear" w:color="auto" w:fill="FAFAFB"/>
            <w:vAlign w:val="center"/>
          </w:tcPr>
          <w:p>
            <w:pPr>
              <w:spacing w:after="20" w:line="252" w:lineRule="auto"/>
            </w:pPr>
            <w:r>
              <w:rPr>
                <w:sz w:val="16"/>
              </w:rPr>
              <w:t>High</w:t>
            </w:r>
          </w:p>
        </w:tc>
        <w:tc>
          <w:tcPr>
            <w:tcW w:type="dxa" w:w="3742"/>
            <w:shd w:val="clear" w:color="auto" w:fill="FAFAFB"/>
            <w:vAlign w:val="center"/>
          </w:tcPr>
          <w:p>
            <w:pPr>
              <w:spacing w:after="20" w:line="252" w:lineRule="auto"/>
            </w:pPr>
            <w:r>
              <w:rPr>
                <w:sz w:val="16"/>
              </w:rPr>
              <w:t>Five rails with overlapping coverage in the largest markets; South Africa has four. Settlement monitoring and reconciliation per rail, and no customer funds are held by FluxMuse. South Sudan and Zimbabwe stay gated until collection is confirmed</w:t>
            </w:r>
          </w:p>
        </w:tc>
        <w:tc>
          <w:tcPr>
            <w:tcW w:type="dxa" w:w="907"/>
            <w:shd w:val="clear" w:color="auto" w:fill="FAFAFB"/>
            <w:vAlign w:val="center"/>
          </w:tcPr>
          <w:p>
            <w:pPr>
              <w:spacing w:after="20" w:line="252" w:lineRule="auto"/>
            </w:pPr>
            <w:r>
              <w:rPr>
                <w:b/>
                <w:color w:val="20242B"/>
                <w:sz w:val="16"/>
                <w:shd w:val="clear" w:color="auto" w:fill="FFF1A8"/>
              </w:rPr>
              <w:t>[[OWNER]]</w:t>
            </w:r>
          </w:p>
        </w:tc>
      </w:tr>
      <w:tr>
        <w:trPr>
          <w:cantSplit/>
        </w:trPr>
        <w:tc>
          <w:tcPr>
            <w:tcW w:type="dxa" w:w="510"/>
            <w:vAlign w:val="center"/>
          </w:tcPr>
          <w:p>
            <w:pPr>
              <w:spacing w:after="20" w:line="252" w:lineRule="auto"/>
            </w:pPr>
            <w:r>
              <w:rPr>
                <w:sz w:val="16"/>
              </w:rPr>
              <w:t>R5</w:t>
            </w:r>
          </w:p>
        </w:tc>
        <w:tc>
          <w:tcPr>
            <w:tcW w:type="dxa" w:w="2211"/>
            <w:vAlign w:val="center"/>
          </w:tcPr>
          <w:p>
            <w:pPr>
              <w:spacing w:after="20" w:line="252" w:lineRule="auto"/>
            </w:pPr>
            <w:r>
              <w:rPr>
                <w:b/>
                <w:sz w:val="16"/>
              </w:rPr>
              <w:t>Competition.</w:t>
            </w:r>
            <w:r>
              <w:rPr>
                <w:sz w:val="16"/>
              </w:rPr>
              <w:t xml:space="preserve"> A global platform adds WhatsApp commerce and local payments, or a local entrant undercuts</w:t>
            </w:r>
          </w:p>
        </w:tc>
        <w:tc>
          <w:tcPr>
            <w:tcW w:type="dxa" w:w="907"/>
            <w:vAlign w:val="center"/>
          </w:tcPr>
          <w:p>
            <w:pPr>
              <w:spacing w:after="20" w:line="252" w:lineRule="auto"/>
            </w:pPr>
            <w:r>
              <w:rPr>
                <w:sz w:val="16"/>
              </w:rPr>
              <w:t>Medium</w:t>
            </w:r>
          </w:p>
        </w:tc>
        <w:tc>
          <w:tcPr>
            <w:tcW w:type="dxa" w:w="794"/>
            <w:vAlign w:val="center"/>
          </w:tcPr>
          <w:p>
            <w:pPr>
              <w:spacing w:after="20" w:line="252" w:lineRule="auto"/>
            </w:pPr>
            <w:r>
              <w:rPr>
                <w:sz w:val="16"/>
              </w:rPr>
              <w:t>Medium</w:t>
            </w:r>
          </w:p>
        </w:tc>
        <w:tc>
          <w:tcPr>
            <w:tcW w:type="dxa" w:w="3742"/>
            <w:vAlign w:val="center"/>
          </w:tcPr>
          <w:p>
            <w:pPr>
              <w:spacing w:after="20" w:line="252" w:lineRule="auto"/>
            </w:pPr>
            <w:r>
              <w:rPr>
                <w:sz w:val="16"/>
              </w:rPr>
              <w:t>Defensibility rests on verification, rail contracts, local pricing, multilingual AI and the partner channel (section 7). Price position at R499 is difficult to attack from above</w:t>
            </w:r>
          </w:p>
        </w:tc>
        <w:tc>
          <w:tcPr>
            <w:tcW w:type="dxa" w:w="907"/>
            <w:vAlign w:val="center"/>
          </w:tcPr>
          <w:p>
            <w:pPr>
              <w:spacing w:after="20" w:line="252" w:lineRule="auto"/>
            </w:pPr>
            <w:r>
              <w:rPr>
                <w:b/>
                <w:color w:val="20242B"/>
                <w:sz w:val="16"/>
                <w:shd w:val="clear" w:color="auto" w:fill="FFF1A8"/>
              </w:rPr>
              <w:t>[[OWNER]]</w:t>
            </w:r>
          </w:p>
        </w:tc>
      </w:tr>
      <w:tr>
        <w:trPr>
          <w:cantSplit/>
        </w:trPr>
        <w:tc>
          <w:tcPr>
            <w:tcW w:type="dxa" w:w="510"/>
            <w:shd w:val="clear" w:color="auto" w:fill="FAFAFB"/>
            <w:vAlign w:val="center"/>
          </w:tcPr>
          <w:p>
            <w:pPr>
              <w:spacing w:after="20" w:line="252" w:lineRule="auto"/>
            </w:pPr>
            <w:r>
              <w:rPr>
                <w:sz w:val="16"/>
              </w:rPr>
              <w:t>R6</w:t>
            </w:r>
          </w:p>
        </w:tc>
        <w:tc>
          <w:tcPr>
            <w:tcW w:type="dxa" w:w="2211"/>
            <w:shd w:val="clear" w:color="auto" w:fill="FAFAFB"/>
            <w:vAlign w:val="center"/>
          </w:tcPr>
          <w:p>
            <w:pPr>
              <w:spacing w:after="20" w:line="252" w:lineRule="auto"/>
            </w:pPr>
            <w:r>
              <w:rPr>
                <w:b/>
                <w:sz w:val="16"/>
              </w:rPr>
              <w:t>Hiring and execution.</w:t>
            </w:r>
            <w:r>
              <w:rPr>
                <w:sz w:val="16"/>
              </w:rPr>
              <w:t xml:space="preserve"> Key roles are not filled, or scale-up hiring outruns revenue</w:t>
            </w:r>
          </w:p>
        </w:tc>
        <w:tc>
          <w:tcPr>
            <w:tcW w:type="dxa" w:w="907"/>
            <w:shd w:val="clear" w:color="auto" w:fill="FAFAFB"/>
            <w:vAlign w:val="center"/>
          </w:tcPr>
          <w:p>
            <w:pPr>
              <w:spacing w:after="20" w:line="252" w:lineRule="auto"/>
            </w:pPr>
            <w:r>
              <w:rPr>
                <w:sz w:val="16"/>
              </w:rPr>
              <w:t>Medium</w:t>
            </w:r>
          </w:p>
        </w:tc>
        <w:tc>
          <w:tcPr>
            <w:tcW w:type="dxa" w:w="794"/>
            <w:shd w:val="clear" w:color="auto" w:fill="FAFAFB"/>
            <w:vAlign w:val="center"/>
          </w:tcPr>
          <w:p>
            <w:pPr>
              <w:spacing w:after="20" w:line="252" w:lineRule="auto"/>
            </w:pPr>
            <w:r>
              <w:rPr>
                <w:sz w:val="16"/>
              </w:rPr>
              <w:t>Medium</w:t>
            </w:r>
          </w:p>
        </w:tc>
        <w:tc>
          <w:tcPr>
            <w:tcW w:type="dxa" w:w="3742"/>
            <w:shd w:val="clear" w:color="auto" w:fill="FAFAFB"/>
            <w:vAlign w:val="center"/>
          </w:tcPr>
          <w:p>
            <w:pPr>
              <w:spacing w:after="20" w:line="252" w:lineRule="auto"/>
            </w:pPr>
            <w:r>
              <w:rPr>
                <w:sz w:val="16"/>
              </w:rPr>
              <w:t>Every non-founder role waits for an MRR gate, so payroll cannot outrun revenue by design. Country roles are hired locally around each launch</w:t>
            </w:r>
          </w:p>
        </w:tc>
        <w:tc>
          <w:tcPr>
            <w:tcW w:type="dxa" w:w="907"/>
            <w:shd w:val="clear" w:color="auto" w:fill="FAFAFB"/>
            <w:vAlign w:val="center"/>
          </w:tcPr>
          <w:p>
            <w:pPr>
              <w:spacing w:after="20" w:line="252" w:lineRule="auto"/>
            </w:pPr>
            <w:r>
              <w:rPr>
                <w:b/>
                <w:color w:val="20242B"/>
                <w:sz w:val="16"/>
                <w:shd w:val="clear" w:color="auto" w:fill="FFF1A8"/>
              </w:rPr>
              <w:t>[[OWNER]]</w:t>
            </w:r>
          </w:p>
        </w:tc>
      </w:tr>
      <w:tr>
        <w:trPr>
          <w:cantSplit/>
        </w:trPr>
        <w:tc>
          <w:tcPr>
            <w:tcW w:type="dxa" w:w="510"/>
            <w:vAlign w:val="center"/>
          </w:tcPr>
          <w:p>
            <w:pPr>
              <w:spacing w:after="20" w:line="252" w:lineRule="auto"/>
            </w:pPr>
            <w:r>
              <w:rPr>
                <w:sz w:val="16"/>
              </w:rPr>
              <w:t>R7</w:t>
            </w:r>
          </w:p>
        </w:tc>
        <w:tc>
          <w:tcPr>
            <w:tcW w:type="dxa" w:w="2211"/>
            <w:vAlign w:val="center"/>
          </w:tcPr>
          <w:p>
            <w:pPr>
              <w:spacing w:after="20" w:line="252" w:lineRule="auto"/>
            </w:pPr>
            <w:r>
              <w:rPr>
                <w:b/>
                <w:sz w:val="16"/>
              </w:rPr>
              <w:t>Regulatory and data protection.</w:t>
            </w:r>
            <w:r>
              <w:rPr>
                <w:sz w:val="16"/>
              </w:rPr>
              <w:t xml:space="preserve"> POPIA, NDPR/NDPA, Kenya DPA or Ghana DPA breach, or a registration missed</w:t>
            </w:r>
          </w:p>
        </w:tc>
        <w:tc>
          <w:tcPr>
            <w:tcW w:type="dxa" w:w="907"/>
            <w:vAlign w:val="center"/>
          </w:tcPr>
          <w:p>
            <w:pPr>
              <w:spacing w:after="20" w:line="252" w:lineRule="auto"/>
            </w:pPr>
            <w:r>
              <w:rPr>
                <w:sz w:val="16"/>
              </w:rPr>
              <w:t>Low</w:t>
            </w:r>
          </w:p>
        </w:tc>
        <w:tc>
          <w:tcPr>
            <w:tcW w:type="dxa" w:w="794"/>
            <w:vAlign w:val="center"/>
          </w:tcPr>
          <w:p>
            <w:pPr>
              <w:spacing w:after="20" w:line="252" w:lineRule="auto"/>
            </w:pPr>
            <w:r>
              <w:rPr>
                <w:sz w:val="16"/>
              </w:rPr>
              <w:t>High</w:t>
            </w:r>
          </w:p>
        </w:tc>
        <w:tc>
          <w:tcPr>
            <w:tcW w:type="dxa" w:w="3742"/>
            <w:vAlign w:val="center"/>
          </w:tcPr>
          <w:p>
            <w:pPr>
              <w:spacing w:after="20" w:line="252" w:lineRule="auto"/>
            </w:pPr>
            <w:r>
              <w:rPr>
                <w:sz w:val="16"/>
              </w:rPr>
              <w:t>Platform built POPIA, NDPR and GDPR ready; opt-in marketing with approved templates; registrations and local counsel funded from the expansion budget; legal and data-protection counsel hired at R2.0m net MRR; Information Officer appointed</w:t>
            </w:r>
          </w:p>
        </w:tc>
        <w:tc>
          <w:tcPr>
            <w:tcW w:type="dxa" w:w="907"/>
            <w:vAlign w:val="center"/>
          </w:tcPr>
          <w:p>
            <w:pPr>
              <w:spacing w:after="20" w:line="252" w:lineRule="auto"/>
            </w:pPr>
            <w:r>
              <w:rPr>
                <w:b/>
                <w:color w:val="20242B"/>
                <w:sz w:val="16"/>
                <w:shd w:val="clear" w:color="auto" w:fill="FFF1A8"/>
              </w:rPr>
              <w:t>[[OWNER]]</w:t>
            </w:r>
          </w:p>
        </w:tc>
      </w:tr>
      <w:tr>
        <w:trPr>
          <w:cantSplit/>
        </w:trPr>
        <w:tc>
          <w:tcPr>
            <w:tcW w:type="dxa" w:w="510"/>
            <w:shd w:val="clear" w:color="auto" w:fill="FAFAFB"/>
            <w:vAlign w:val="center"/>
          </w:tcPr>
          <w:p>
            <w:pPr>
              <w:spacing w:after="20" w:line="252" w:lineRule="auto"/>
            </w:pPr>
            <w:r>
              <w:rPr>
                <w:sz w:val="16"/>
              </w:rPr>
              <w:t>R8</w:t>
            </w:r>
          </w:p>
        </w:tc>
        <w:tc>
          <w:tcPr>
            <w:tcW w:type="dxa" w:w="2211"/>
            <w:shd w:val="clear" w:color="auto" w:fill="FAFAFB"/>
            <w:vAlign w:val="center"/>
          </w:tcPr>
          <w:p>
            <w:pPr>
              <w:spacing w:after="20" w:line="252" w:lineRule="auto"/>
            </w:pPr>
            <w:r>
              <w:rPr>
                <w:b/>
                <w:sz w:val="16"/>
              </w:rPr>
              <w:t>AI cost.</w:t>
            </w:r>
            <w:r>
              <w:rPr>
                <w:sz w:val="16"/>
              </w:rPr>
              <w:t xml:space="preserve"> Inference prices rise, or credit usage runs ahead of assumptions</w:t>
            </w:r>
          </w:p>
        </w:tc>
        <w:tc>
          <w:tcPr>
            <w:tcW w:type="dxa" w:w="907"/>
            <w:shd w:val="clear" w:color="auto" w:fill="FAFAFB"/>
            <w:vAlign w:val="center"/>
          </w:tcPr>
          <w:p>
            <w:pPr>
              <w:spacing w:after="20" w:line="252" w:lineRule="auto"/>
            </w:pPr>
            <w:r>
              <w:rPr>
                <w:sz w:val="16"/>
              </w:rPr>
              <w:t>Medium</w:t>
            </w:r>
          </w:p>
        </w:tc>
        <w:tc>
          <w:tcPr>
            <w:tcW w:type="dxa" w:w="794"/>
            <w:shd w:val="clear" w:color="auto" w:fill="FAFAFB"/>
            <w:vAlign w:val="center"/>
          </w:tcPr>
          <w:p>
            <w:pPr>
              <w:spacing w:after="20" w:line="252" w:lineRule="auto"/>
            </w:pPr>
            <w:r>
              <w:rPr>
                <w:sz w:val="16"/>
              </w:rPr>
              <w:t>Medium</w:t>
            </w:r>
          </w:p>
        </w:tc>
        <w:tc>
          <w:tcPr>
            <w:tcW w:type="dxa" w:w="3742"/>
            <w:shd w:val="clear" w:color="auto" w:fill="FAFAFB"/>
            <w:vAlign w:val="center"/>
          </w:tcPr>
          <w:p>
            <w:pPr>
              <w:spacing w:after="20" w:line="252" w:lineRule="auto"/>
            </w:pPr>
            <w:r>
              <w:rPr>
                <w:sz w:val="16"/>
              </w:rPr>
              <w:t>AI inference is modelled at R12 per 1,000 credits falling 10% a year at 40% utilisation, and credits are capped per tier with paid top-ups. Multi-provider architecture allows switching. Cost per credit is a monthly KPI</w:t>
            </w:r>
          </w:p>
        </w:tc>
        <w:tc>
          <w:tcPr>
            <w:tcW w:type="dxa" w:w="907"/>
            <w:shd w:val="clear" w:color="auto" w:fill="FAFAFB"/>
            <w:vAlign w:val="center"/>
          </w:tcPr>
          <w:p>
            <w:pPr>
              <w:spacing w:after="20" w:line="252" w:lineRule="auto"/>
            </w:pPr>
            <w:r>
              <w:rPr>
                <w:b/>
                <w:color w:val="20242B"/>
                <w:sz w:val="16"/>
                <w:shd w:val="clear" w:color="auto" w:fill="FFF1A8"/>
              </w:rPr>
              <w:t>[[OWNER]]</w:t>
            </w:r>
          </w:p>
        </w:tc>
      </w:tr>
      <w:tr>
        <w:trPr>
          <w:cantSplit/>
        </w:trPr>
        <w:tc>
          <w:tcPr>
            <w:tcW w:type="dxa" w:w="510"/>
            <w:vAlign w:val="center"/>
          </w:tcPr>
          <w:p>
            <w:pPr>
              <w:spacing w:after="20" w:line="252" w:lineRule="auto"/>
            </w:pPr>
            <w:r>
              <w:rPr>
                <w:sz w:val="16"/>
              </w:rPr>
              <w:t>R9</w:t>
            </w:r>
          </w:p>
        </w:tc>
        <w:tc>
          <w:tcPr>
            <w:tcW w:type="dxa" w:w="2211"/>
            <w:vAlign w:val="center"/>
          </w:tcPr>
          <w:p>
            <w:pPr>
              <w:spacing w:after="20" w:line="252" w:lineRule="auto"/>
            </w:pPr>
            <w:r>
              <w:rPr>
                <w:b/>
                <w:sz w:val="16"/>
              </w:rPr>
              <w:t>Key person.</w:t>
            </w:r>
            <w:r>
              <w:rPr>
                <w:sz w:val="16"/>
              </w:rPr>
              <w:t xml:space="preserve"> The business depends on two founders</w:t>
            </w:r>
          </w:p>
        </w:tc>
        <w:tc>
          <w:tcPr>
            <w:tcW w:type="dxa" w:w="907"/>
            <w:vAlign w:val="center"/>
          </w:tcPr>
          <w:p>
            <w:pPr>
              <w:spacing w:after="20" w:line="252" w:lineRule="auto"/>
            </w:pPr>
            <w:r>
              <w:rPr>
                <w:sz w:val="16"/>
              </w:rPr>
              <w:t>Medium</w:t>
            </w:r>
          </w:p>
        </w:tc>
        <w:tc>
          <w:tcPr>
            <w:tcW w:type="dxa" w:w="794"/>
            <w:vAlign w:val="center"/>
          </w:tcPr>
          <w:p>
            <w:pPr>
              <w:spacing w:after="20" w:line="252" w:lineRule="auto"/>
            </w:pPr>
            <w:r>
              <w:rPr>
                <w:sz w:val="16"/>
              </w:rPr>
              <w:t>High</w:t>
            </w:r>
          </w:p>
        </w:tc>
        <w:tc>
          <w:tcPr>
            <w:tcW w:type="dxa" w:w="3742"/>
            <w:vAlign w:val="center"/>
          </w:tcPr>
          <w:p>
            <w:pPr>
              <w:spacing w:after="20" w:line="252" w:lineRule="auto"/>
            </w:pPr>
            <w:r>
              <w:rPr>
                <w:sz w:val="16"/>
              </w:rPr>
              <w:t xml:space="preserve">Senior hires from the seed month (VP Engineering, Head of Growth, Head of Sales &amp; Partnerships, CFO) spread the load. Documentation, access control and continuity: </w:t>
            </w:r>
            <w:r>
              <w:rPr>
                <w:b/>
                <w:color w:val="20242B"/>
                <w:sz w:val="16"/>
                <w:shd w:val="clear" w:color="auto" w:fill="FFF1A8"/>
              </w:rPr>
              <w:t>[[KEY-PERSON COVER AND INSURANCE]]</w:t>
            </w:r>
          </w:p>
        </w:tc>
        <w:tc>
          <w:tcPr>
            <w:tcW w:type="dxa" w:w="907"/>
            <w:vAlign w:val="center"/>
          </w:tcPr>
          <w:p>
            <w:pPr>
              <w:spacing w:after="20" w:line="252" w:lineRule="auto"/>
            </w:pPr>
            <w:r>
              <w:rPr>
                <w:b/>
                <w:color w:val="20242B"/>
                <w:sz w:val="16"/>
                <w:shd w:val="clear" w:color="auto" w:fill="FFF1A8"/>
              </w:rPr>
              <w:t>[[OWNER]]</w:t>
            </w:r>
          </w:p>
        </w:tc>
      </w:tr>
      <w:tr>
        <w:trPr>
          <w:cantSplit/>
        </w:trPr>
        <w:tc>
          <w:tcPr>
            <w:tcW w:type="dxa" w:w="510"/>
            <w:shd w:val="clear" w:color="auto" w:fill="FAFAFB"/>
            <w:vAlign w:val="center"/>
          </w:tcPr>
          <w:p>
            <w:pPr>
              <w:spacing w:after="20" w:line="252" w:lineRule="auto"/>
            </w:pPr>
            <w:r>
              <w:rPr>
                <w:sz w:val="16"/>
              </w:rPr>
              <w:t>R10</w:t>
            </w:r>
          </w:p>
        </w:tc>
        <w:tc>
          <w:tcPr>
            <w:tcW w:type="dxa" w:w="2211"/>
            <w:shd w:val="clear" w:color="auto" w:fill="FAFAFB"/>
            <w:vAlign w:val="center"/>
          </w:tcPr>
          <w:p>
            <w:pPr>
              <w:spacing w:after="20" w:line="252" w:lineRule="auto"/>
            </w:pPr>
            <w:r>
              <w:rPr>
                <w:b/>
                <w:sz w:val="16"/>
              </w:rPr>
              <w:t>Pilot outcome.</w:t>
            </w:r>
            <w:r>
              <w:rPr>
                <w:sz w:val="16"/>
              </w:rPr>
              <w:t xml:space="preserve"> Pilot brands do not convert or produce usable case studies</w:t>
            </w:r>
          </w:p>
        </w:tc>
        <w:tc>
          <w:tcPr>
            <w:tcW w:type="dxa" w:w="907"/>
            <w:shd w:val="clear" w:color="auto" w:fill="FAFAFB"/>
            <w:vAlign w:val="center"/>
          </w:tcPr>
          <w:p>
            <w:pPr>
              <w:spacing w:after="20" w:line="252" w:lineRule="auto"/>
            </w:pPr>
            <w:r>
              <w:rPr>
                <w:sz w:val="16"/>
              </w:rPr>
              <w:t>Medium</w:t>
            </w:r>
          </w:p>
        </w:tc>
        <w:tc>
          <w:tcPr>
            <w:tcW w:type="dxa" w:w="794"/>
            <w:shd w:val="clear" w:color="auto" w:fill="FAFAFB"/>
            <w:vAlign w:val="center"/>
          </w:tcPr>
          <w:p>
            <w:pPr>
              <w:spacing w:after="20" w:line="252" w:lineRule="auto"/>
            </w:pPr>
            <w:r>
              <w:rPr>
                <w:sz w:val="16"/>
              </w:rPr>
              <w:t>Medium</w:t>
            </w:r>
          </w:p>
        </w:tc>
        <w:tc>
          <w:tcPr>
            <w:tcW w:type="dxa" w:w="3742"/>
            <w:shd w:val="clear" w:color="auto" w:fill="FAFAFB"/>
            <w:vAlign w:val="center"/>
          </w:tcPr>
          <w:p>
            <w:pPr>
              <w:spacing w:after="20" w:line="252" w:lineRule="auto"/>
            </w:pPr>
            <w:r>
              <w:rPr>
                <w:sz w:val="16"/>
              </w:rPr>
              <w:t>Conversion is modelled at 75%, and the sensitivity shows the pre-seed bridge moves only from R63k to R52k across the 50% to 100% range. Case-study consent is agreed up front in exchange for pilot pricing</w:t>
            </w:r>
          </w:p>
        </w:tc>
        <w:tc>
          <w:tcPr>
            <w:tcW w:type="dxa" w:w="907"/>
            <w:shd w:val="clear" w:color="auto" w:fill="FAFAFB"/>
            <w:vAlign w:val="center"/>
          </w:tcPr>
          <w:p>
            <w:pPr>
              <w:spacing w:after="20" w:line="252" w:lineRule="auto"/>
            </w:pPr>
            <w:r>
              <w:rPr>
                <w:b/>
                <w:color w:val="20242B"/>
                <w:sz w:val="16"/>
                <w:shd w:val="clear" w:color="auto" w:fill="FFF1A8"/>
              </w:rPr>
              <w:t>[[OWNER]]</w:t>
            </w:r>
          </w:p>
        </w:tc>
      </w:tr>
    </w:tbl>
    <w:p>
      <w:pPr>
        <w:spacing w:after="0" w:line="120" w:lineRule="exact"/>
      </w:pPr>
    </w:p>
    <w:p>
      <w:pPr>
        <w:spacing w:after="160"/>
      </w:pPr>
      <w:r>
        <w:rPr>
          <w:i/>
          <w:color w:val="5B6570"/>
          <w:sz w:val="18"/>
        </w:rPr>
        <w:t>The model's own limitations are listed in Appendix E: fractional customers, one-way launch and hiring decisions, deterministic FX, no downgrades, and simplified tax and working capital.</w:t>
      </w:r>
    </w:p>
    <w:p>
      <w:pPr>
        <w:pStyle w:val="Heading1"/>
        <w:pageBreakBefore/>
      </w:pPr>
      <w:r>
        <w:rPr/>
        <w:t>15. Milestones and KPIs</w:t>
      </w:r>
    </w:p>
    <w:p>
      <w:pPr>
        <w:pStyle w:val="Heading2"/>
      </w:pPr>
      <w:r>
        <w:rPr/>
        <w:t>Timeline</w:t>
      </w:r>
    </w:p>
    <w:p>
      <w:r>
        <w:rPr/>
        <w:t xml:space="preserve">Dates before 2027 are committed; later dates are </w:t>
      </w:r>
      <w:r>
        <w:rPr>
          <w:b/>
        </w:rPr>
        <w:t>gated on revenue, not on the calendar</w:t>
      </w:r>
      <w:r>
        <w:rPr/>
        <w:t>. Each market launch waits for last month's net MRR to clear its gate, and the launch follows two months later.</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Milestones, Q4 2026 to FY5 (Base case)"/>
      </w:tblPr>
      <w:tblGrid>
        <w:gridCol w:w="1927"/>
        <w:gridCol w:w="4308"/>
        <w:gridCol w:w="3401"/>
      </w:tblGrid>
      <w:tr>
        <w:trPr>
          <w:cantSplit/>
          <w:tblHeader/>
        </w:trPr>
        <w:tc>
          <w:tcPr>
            <w:tcW w:type="dxa" w:w="1928"/>
            <w:shd w:val="clear" w:color="auto" w:fill="FF6A00"/>
            <w:vAlign w:val="center"/>
          </w:tcPr>
          <w:p>
            <w:pPr>
              <w:keepNext/>
              <w:spacing w:after="20" w:line="252" w:lineRule="auto"/>
            </w:pPr>
            <w:r>
              <w:rPr>
                <w:rFonts w:ascii="Poppins" w:hAnsi="Poppins" w:cs="Poppins" w:eastAsia="Poppins"/>
                <w:b/>
                <w:color w:val="20242B"/>
                <w:sz w:val="18"/>
              </w:rPr>
              <w:t>When</w:t>
            </w:r>
          </w:p>
        </w:tc>
        <w:tc>
          <w:tcPr>
            <w:tcW w:type="dxa" w:w="4309"/>
            <w:shd w:val="clear" w:color="auto" w:fill="FF6A00"/>
            <w:vAlign w:val="center"/>
          </w:tcPr>
          <w:p>
            <w:pPr>
              <w:keepNext/>
              <w:spacing w:after="20" w:line="252" w:lineRule="auto"/>
            </w:pPr>
            <w:r>
              <w:rPr>
                <w:rFonts w:ascii="Poppins" w:hAnsi="Poppins" w:cs="Poppins" w:eastAsia="Poppins"/>
                <w:b/>
                <w:color w:val="20242B"/>
                <w:sz w:val="18"/>
              </w:rPr>
              <w:t>Milestone</w:t>
            </w:r>
          </w:p>
        </w:tc>
        <w:tc>
          <w:tcPr>
            <w:tcW w:type="dxa" w:w="3402"/>
            <w:shd w:val="clear" w:color="auto" w:fill="FF6A00"/>
            <w:vAlign w:val="center"/>
          </w:tcPr>
          <w:p>
            <w:pPr>
              <w:keepNext/>
              <w:spacing w:after="20" w:line="252" w:lineRule="auto"/>
            </w:pPr>
            <w:r>
              <w:rPr>
                <w:rFonts w:ascii="Poppins" w:hAnsi="Poppins" w:cs="Poppins" w:eastAsia="Poppins"/>
                <w:b/>
                <w:color w:val="20242B"/>
                <w:sz w:val="18"/>
              </w:rPr>
              <w:t>Gate or condition</w:t>
            </w:r>
          </w:p>
        </w:tc>
      </w:tr>
      <w:tr>
        <w:trPr>
          <w:cantSplit/>
        </w:trPr>
        <w:tc>
          <w:tcPr>
            <w:tcW w:type="dxa" w:w="1928"/>
            <w:vAlign w:val="center"/>
          </w:tcPr>
          <w:p>
            <w:pPr>
              <w:spacing w:after="20" w:line="252" w:lineRule="auto"/>
            </w:pPr>
            <w:r>
              <w:rPr>
                <w:b/>
                <w:sz w:val="18"/>
              </w:rPr>
              <w:t>Sept 2026</w:t>
            </w:r>
          </w:p>
        </w:tc>
        <w:tc>
          <w:tcPr>
            <w:tcW w:type="dxa" w:w="4309"/>
            <w:vAlign w:val="center"/>
          </w:tcPr>
          <w:p>
            <w:pPr>
              <w:spacing w:after="20" w:line="252" w:lineRule="auto"/>
            </w:pPr>
            <w:r>
              <w:rPr>
                <w:sz w:val="18"/>
              </w:rPr>
              <w:t>All five payment rails live (pawaPay and Fincra from the week of 14 September)</w:t>
            </w:r>
          </w:p>
        </w:tc>
        <w:tc>
          <w:tcPr>
            <w:tcW w:type="dxa" w:w="3402"/>
            <w:vAlign w:val="center"/>
          </w:tcPr>
          <w:p>
            <w:pPr>
              <w:spacing w:after="20" w:line="252" w:lineRule="auto"/>
            </w:pPr>
            <w:r>
              <w:rPr>
                <w:sz w:val="18"/>
              </w:rPr>
              <w:t>—</w:t>
            </w:r>
          </w:p>
        </w:tc>
      </w:tr>
      <w:tr>
        <w:trPr>
          <w:cantSplit/>
        </w:trPr>
        <w:tc>
          <w:tcPr>
            <w:tcW w:type="dxa" w:w="1928"/>
            <w:shd w:val="clear" w:color="auto" w:fill="FAFAFB"/>
            <w:vAlign w:val="center"/>
          </w:tcPr>
          <w:p>
            <w:pPr>
              <w:spacing w:after="20" w:line="252" w:lineRule="auto"/>
            </w:pPr>
            <w:r>
              <w:rPr>
                <w:b/>
                <w:sz w:val="18"/>
              </w:rPr>
              <w:t>Sept–30 Nov 2026</w:t>
            </w:r>
          </w:p>
        </w:tc>
        <w:tc>
          <w:tcPr>
            <w:tcW w:type="dxa" w:w="4309"/>
            <w:shd w:val="clear" w:color="auto" w:fill="FAFAFB"/>
            <w:vAlign w:val="center"/>
          </w:tcPr>
          <w:p>
            <w:pPr>
              <w:spacing w:after="20" w:line="252" w:lineRule="auto"/>
            </w:pPr>
            <w:r>
              <w:rPr>
                <w:sz w:val="18"/>
              </w:rPr>
              <w:t>Gauteng pilot: 12 brands</w:t>
            </w:r>
          </w:p>
        </w:tc>
        <w:tc>
          <w:tcPr>
            <w:tcW w:type="dxa" w:w="3402"/>
            <w:shd w:val="clear" w:color="auto" w:fill="FAFAFB"/>
            <w:vAlign w:val="center"/>
          </w:tcPr>
          <w:p>
            <w:pPr>
              <w:spacing w:after="20" w:line="252" w:lineRule="auto"/>
            </w:pPr>
            <w:r>
              <w:rPr>
                <w:sz w:val="18"/>
              </w:rPr>
              <w:t>—</w:t>
            </w:r>
          </w:p>
        </w:tc>
      </w:tr>
      <w:tr>
        <w:trPr>
          <w:cantSplit/>
        </w:trPr>
        <w:tc>
          <w:tcPr>
            <w:tcW w:type="dxa" w:w="1928"/>
            <w:vAlign w:val="center"/>
          </w:tcPr>
          <w:p>
            <w:pPr>
              <w:spacing w:after="20" w:line="252" w:lineRule="auto"/>
            </w:pPr>
            <w:r>
              <w:rPr>
                <w:b/>
                <w:sz w:val="18"/>
              </w:rPr>
              <w:t>Q4 2026</w:t>
            </w:r>
          </w:p>
        </w:tc>
        <w:tc>
          <w:tcPr>
            <w:tcW w:type="dxa" w:w="4309"/>
            <w:vAlign w:val="center"/>
          </w:tcPr>
          <w:p>
            <w:pPr>
              <w:spacing w:after="20" w:line="252" w:lineRule="auto"/>
            </w:pPr>
            <w:r>
              <w:rPr>
                <w:sz w:val="18"/>
              </w:rPr>
              <w:t>Meta App Review: Instagram, Pages posting, business management, ads</w:t>
            </w:r>
          </w:p>
        </w:tc>
        <w:tc>
          <w:tcPr>
            <w:tcW w:type="dxa" w:w="3402"/>
            <w:vAlign w:val="center"/>
          </w:tcPr>
          <w:p>
            <w:pPr>
              <w:spacing w:after="20" w:line="252" w:lineRule="auto"/>
            </w:pPr>
            <w:r>
              <w:rPr>
                <w:sz w:val="18"/>
              </w:rPr>
              <w:t>Meta approval</w:t>
            </w:r>
          </w:p>
        </w:tc>
      </w:tr>
      <w:tr>
        <w:trPr>
          <w:cantSplit/>
        </w:trPr>
        <w:tc>
          <w:tcPr>
            <w:tcW w:type="dxa" w:w="1928"/>
            <w:shd w:val="clear" w:color="auto" w:fill="FAFAFB"/>
            <w:vAlign w:val="center"/>
          </w:tcPr>
          <w:p>
            <w:pPr>
              <w:spacing w:after="20" w:line="252" w:lineRule="auto"/>
            </w:pPr>
            <w:r>
              <w:rPr>
                <w:b/>
                <w:sz w:val="18"/>
              </w:rPr>
              <w:t>1 Dec 2026</w:t>
            </w:r>
          </w:p>
        </w:tc>
        <w:tc>
          <w:tcPr>
            <w:tcW w:type="dxa" w:w="4309"/>
            <w:shd w:val="clear" w:color="auto" w:fill="FAFAFB"/>
            <w:vAlign w:val="center"/>
          </w:tcPr>
          <w:p>
            <w:pPr>
              <w:spacing w:after="20" w:line="252" w:lineRule="auto"/>
            </w:pPr>
            <w:r>
              <w:rPr>
                <w:sz w:val="18"/>
              </w:rPr>
              <w:t>South Africa commercial launch; pilot brands convert; first case studies</w:t>
            </w:r>
          </w:p>
        </w:tc>
        <w:tc>
          <w:tcPr>
            <w:tcW w:type="dxa" w:w="3402"/>
            <w:shd w:val="clear" w:color="auto" w:fill="FAFAFB"/>
            <w:vAlign w:val="center"/>
          </w:tcPr>
          <w:p>
            <w:pPr>
              <w:spacing w:after="20" w:line="252" w:lineRule="auto"/>
            </w:pPr>
            <w:r>
              <w:rPr>
                <w:sz w:val="18"/>
              </w:rPr>
              <w:t>Pilot complete</w:t>
            </w:r>
          </w:p>
        </w:tc>
      </w:tr>
      <w:tr>
        <w:trPr>
          <w:cantSplit/>
        </w:trPr>
        <w:tc>
          <w:tcPr>
            <w:tcW w:type="dxa" w:w="1928"/>
            <w:vAlign w:val="center"/>
          </w:tcPr>
          <w:p>
            <w:pPr>
              <w:spacing w:after="20" w:line="252" w:lineRule="auto"/>
            </w:pPr>
            <w:r>
              <w:rPr>
                <w:b/>
                <w:sz w:val="18"/>
              </w:rPr>
              <w:t>1 Dec 2026 – 31 Jan 2027</w:t>
            </w:r>
          </w:p>
        </w:tc>
        <w:tc>
          <w:tcPr>
            <w:tcW w:type="dxa" w:w="4309"/>
            <w:vAlign w:val="center"/>
          </w:tcPr>
          <w:p>
            <w:pPr>
              <w:spacing w:after="20" w:line="252" w:lineRule="auto"/>
            </w:pPr>
            <w:r>
              <w:rPr>
                <w:sz w:val="18"/>
              </w:rPr>
              <w:t>Founding Member window, South Africa</w:t>
            </w:r>
          </w:p>
        </w:tc>
        <w:tc>
          <w:tcPr>
            <w:tcW w:type="dxa" w:w="3402"/>
            <w:vAlign w:val="center"/>
          </w:tcPr>
          <w:p>
            <w:pPr>
              <w:spacing w:after="20" w:line="252" w:lineRule="auto"/>
            </w:pPr>
            <w:r>
              <w:rPr>
                <w:sz w:val="18"/>
              </w:rPr>
              <w:t>—</w:t>
            </w:r>
          </w:p>
        </w:tc>
      </w:tr>
      <w:tr>
        <w:trPr>
          <w:cantSplit/>
        </w:trPr>
        <w:tc>
          <w:tcPr>
            <w:tcW w:type="dxa" w:w="1928"/>
            <w:shd w:val="clear" w:color="auto" w:fill="FAFAFB"/>
            <w:vAlign w:val="center"/>
          </w:tcPr>
          <w:p>
            <w:pPr>
              <w:spacing w:after="20" w:line="252" w:lineRule="auto"/>
            </w:pPr>
            <w:r>
              <w:rPr>
                <w:b/>
                <w:sz w:val="18"/>
              </w:rPr>
              <w:t>Feb 2027</w:t>
            </w:r>
          </w:p>
        </w:tc>
        <w:tc>
          <w:tcPr>
            <w:tcW w:type="dxa" w:w="4309"/>
            <w:shd w:val="clear" w:color="auto" w:fill="FAFAFB"/>
            <w:vAlign w:val="center"/>
          </w:tcPr>
          <w:p>
            <w:pPr>
              <w:spacing w:after="20" w:line="252" w:lineRule="auto"/>
            </w:pPr>
            <w:r>
              <w:rPr>
                <w:sz w:val="18"/>
              </w:rPr>
              <w:t>R25m seed closes; hiring and paid acquisition begin</w:t>
            </w:r>
          </w:p>
        </w:tc>
        <w:tc>
          <w:tcPr>
            <w:tcW w:type="dxa" w:w="3402"/>
            <w:shd w:val="clear" w:color="auto" w:fill="FAFAFB"/>
            <w:vAlign w:val="center"/>
          </w:tcPr>
          <w:p>
            <w:pPr>
              <w:spacing w:after="20" w:line="252" w:lineRule="auto"/>
            </w:pPr>
            <w:r>
              <w:rPr>
                <w:sz w:val="18"/>
              </w:rPr>
              <w:t>Round closed</w:t>
            </w:r>
          </w:p>
        </w:tc>
      </w:tr>
      <w:tr>
        <w:trPr>
          <w:cantSplit/>
        </w:trPr>
        <w:tc>
          <w:tcPr>
            <w:tcW w:type="dxa" w:w="1928"/>
            <w:vAlign w:val="center"/>
          </w:tcPr>
          <w:p>
            <w:pPr>
              <w:spacing w:after="20" w:line="252" w:lineRule="auto"/>
            </w:pPr>
            <w:r>
              <w:rPr>
                <w:b/>
                <w:sz w:val="18"/>
              </w:rPr>
              <w:t>FY2 (Oct 2027 – Sep 2028)</w:t>
            </w:r>
          </w:p>
        </w:tc>
        <w:tc>
          <w:tcPr>
            <w:tcW w:type="dxa" w:w="4309"/>
            <w:vAlign w:val="center"/>
          </w:tcPr>
          <w:p>
            <w:pPr>
              <w:spacing w:after="20" w:line="252" w:lineRule="auto"/>
            </w:pPr>
            <w:r>
              <w:rPr>
                <w:sz w:val="18"/>
              </w:rPr>
              <w:t>Nigeria Feb 2028, Kenya Apr 2028, Ghana Jun 2028</w:t>
            </w:r>
          </w:p>
        </w:tc>
        <w:tc>
          <w:tcPr>
            <w:tcW w:type="dxa" w:w="3402"/>
            <w:vAlign w:val="center"/>
          </w:tcPr>
          <w:p>
            <w:pPr>
              <w:spacing w:after="20" w:line="252" w:lineRule="auto"/>
            </w:pPr>
            <w:r>
              <w:rPr>
                <w:sz w:val="18"/>
              </w:rPr>
              <w:t>Net MRR gates of R0.9m, R1.2m and R1.5m; country lead hired two months before each launch</w:t>
            </w:r>
          </w:p>
        </w:tc>
      </w:tr>
      <w:tr>
        <w:trPr>
          <w:cantSplit/>
        </w:trPr>
        <w:tc>
          <w:tcPr>
            <w:tcW w:type="dxa" w:w="1928"/>
            <w:shd w:val="clear" w:color="auto" w:fill="FAFAFB"/>
            <w:vAlign w:val="center"/>
          </w:tcPr>
          <w:p>
            <w:pPr>
              <w:spacing w:after="20" w:line="252" w:lineRule="auto"/>
            </w:pPr>
            <w:r>
              <w:rPr>
                <w:b/>
                <w:sz w:val="18"/>
              </w:rPr>
              <w:t>Nov 2028</w:t>
            </w:r>
          </w:p>
        </w:tc>
        <w:tc>
          <w:tcPr>
            <w:tcW w:type="dxa" w:w="4309"/>
            <w:shd w:val="clear" w:color="auto" w:fill="FAFAFB"/>
            <w:vAlign w:val="center"/>
          </w:tcPr>
          <w:p>
            <w:pPr>
              <w:spacing w:after="20" w:line="252" w:lineRule="auto"/>
            </w:pPr>
            <w:r>
              <w:rPr>
                <w:sz w:val="18"/>
              </w:rPr>
              <w:t>Rest of Africa: 19 countries, self-serve in US dollars</w:t>
            </w:r>
          </w:p>
        </w:tc>
        <w:tc>
          <w:tcPr>
            <w:tcW w:type="dxa" w:w="3402"/>
            <w:shd w:val="clear" w:color="auto" w:fill="FAFAFB"/>
            <w:vAlign w:val="center"/>
          </w:tcPr>
          <w:p>
            <w:pPr>
              <w:spacing w:after="20" w:line="252" w:lineRule="auto"/>
            </w:pPr>
            <w:r>
              <w:rPr>
                <w:sz w:val="18"/>
              </w:rPr>
              <w:t>R2.5m net MRR gate</w:t>
            </w:r>
          </w:p>
        </w:tc>
      </w:tr>
      <w:tr>
        <w:trPr>
          <w:cantSplit/>
        </w:trPr>
        <w:tc>
          <w:tcPr>
            <w:tcW w:type="dxa" w:w="1928"/>
            <w:vAlign w:val="center"/>
          </w:tcPr>
          <w:p>
            <w:pPr>
              <w:spacing w:after="20" w:line="252" w:lineRule="auto"/>
            </w:pPr>
            <w:r>
              <w:rPr>
                <w:b/>
                <w:sz w:val="18"/>
              </w:rPr>
              <w:t>Oct 2028</w:t>
            </w:r>
          </w:p>
        </w:tc>
        <w:tc>
          <w:tcPr>
            <w:tcW w:type="dxa" w:w="4309"/>
            <w:vAlign w:val="center"/>
          </w:tcPr>
          <w:p>
            <w:pPr>
              <w:spacing w:after="20" w:line="252" w:lineRule="auto"/>
            </w:pPr>
            <w:r>
              <w:rPr>
                <w:sz w:val="18"/>
              </w:rPr>
              <w:t>Operating cash flow turns positive</w:t>
            </w:r>
          </w:p>
        </w:tc>
        <w:tc>
          <w:tcPr>
            <w:tcW w:type="dxa" w:w="3402"/>
            <w:vAlign w:val="center"/>
          </w:tcPr>
          <w:p>
            <w:pPr>
              <w:spacing w:after="20" w:line="252" w:lineRule="auto"/>
            </w:pPr>
            <w:r>
              <w:rPr>
                <w:sz w:val="18"/>
              </w:rPr>
              <w:t>—</w:t>
            </w:r>
          </w:p>
        </w:tc>
      </w:tr>
      <w:tr>
        <w:trPr>
          <w:cantSplit/>
        </w:trPr>
        <w:tc>
          <w:tcPr>
            <w:tcW w:type="dxa" w:w="1928"/>
            <w:shd w:val="clear" w:color="auto" w:fill="FAFAFB"/>
            <w:vAlign w:val="center"/>
          </w:tcPr>
          <w:p>
            <w:pPr>
              <w:spacing w:after="20" w:line="252" w:lineRule="auto"/>
            </w:pPr>
            <w:r>
              <w:rPr>
                <w:b/>
                <w:sz w:val="18"/>
              </w:rPr>
              <w:t>Mar 2029</w:t>
            </w:r>
          </w:p>
        </w:tc>
        <w:tc>
          <w:tcPr>
            <w:tcW w:type="dxa" w:w="4309"/>
            <w:shd w:val="clear" w:color="auto" w:fill="FAFAFB"/>
            <w:vAlign w:val="center"/>
          </w:tcPr>
          <w:p>
            <w:pPr>
              <w:spacing w:after="20" w:line="252" w:lineRule="auto"/>
            </w:pPr>
            <w:r>
              <w:rPr>
                <w:sz w:val="18"/>
              </w:rPr>
              <w:t>EBITDA break-even; positive every month from June 2029</w:t>
            </w:r>
          </w:p>
        </w:tc>
        <w:tc>
          <w:tcPr>
            <w:tcW w:type="dxa" w:w="3402"/>
            <w:shd w:val="clear" w:color="auto" w:fill="FAFAFB"/>
            <w:vAlign w:val="center"/>
          </w:tcPr>
          <w:p>
            <w:pPr>
              <w:spacing w:after="20" w:line="252" w:lineRule="auto"/>
            </w:pPr>
            <w:r>
              <w:rPr>
                <w:sz w:val="18"/>
              </w:rPr>
              <w:t>—</w:t>
            </w:r>
          </w:p>
        </w:tc>
      </w:tr>
      <w:tr>
        <w:trPr>
          <w:cantSplit/>
        </w:trPr>
        <w:tc>
          <w:tcPr>
            <w:tcW w:type="dxa" w:w="1928"/>
            <w:vAlign w:val="center"/>
          </w:tcPr>
          <w:p>
            <w:pPr>
              <w:spacing w:after="20" w:line="252" w:lineRule="auto"/>
            </w:pPr>
            <w:r>
              <w:rPr>
                <w:b/>
                <w:sz w:val="18"/>
              </w:rPr>
              <w:t>FY5 (Oct 2030 – Sep 2031)</w:t>
            </w:r>
          </w:p>
        </w:tc>
        <w:tc>
          <w:tcPr>
            <w:tcW w:type="dxa" w:w="4309"/>
            <w:vAlign w:val="center"/>
          </w:tcPr>
          <w:p>
            <w:pPr>
              <w:spacing w:after="20" w:line="252" w:lineRule="auto"/>
            </w:pPr>
            <w:r>
              <w:rPr>
                <w:sz w:val="18"/>
              </w:rPr>
              <w:t>8,816 paying workspaces, R249m subscription ARR</w:t>
            </w:r>
          </w:p>
        </w:tc>
        <w:tc>
          <w:tcPr>
            <w:tcW w:type="dxa" w:w="3402"/>
            <w:vAlign w:val="center"/>
          </w:tcPr>
          <w:p>
            <w:pPr>
              <w:spacing w:after="20" w:line="252" w:lineRule="auto"/>
            </w:pPr>
            <w:r>
              <w:rPr>
                <w:sz w:val="18"/>
              </w:rPr>
              <w:t>—</w:t>
            </w:r>
          </w:p>
        </w:tc>
      </w:tr>
      <w:tr>
        <w:trPr>
          <w:cantSplit/>
        </w:trPr>
        <w:tc>
          <w:tcPr>
            <w:tcW w:type="dxa" w:w="1928"/>
            <w:shd w:val="clear" w:color="auto" w:fill="FAFAFB"/>
            <w:vAlign w:val="center"/>
          </w:tcPr>
          <w:p>
            <w:pPr>
              <w:spacing w:after="20" w:line="252" w:lineRule="auto"/>
            </w:pPr>
            <w:r>
              <w:rPr>
                <w:b/>
                <w:sz w:val="18"/>
              </w:rPr>
              <w:t>Not scheduled</w:t>
            </w:r>
          </w:p>
        </w:tc>
        <w:tc>
          <w:tcPr>
            <w:tcW w:type="dxa" w:w="4309"/>
            <w:shd w:val="clear" w:color="auto" w:fill="FAFAFB"/>
            <w:vAlign w:val="center"/>
          </w:tcPr>
          <w:p>
            <w:pPr>
              <w:spacing w:after="20" w:line="252" w:lineRule="auto"/>
            </w:pPr>
            <w:r>
              <w:rPr>
                <w:sz w:val="18"/>
              </w:rPr>
              <w:t>Botswana and Namibia</w:t>
            </w:r>
          </w:p>
        </w:tc>
        <w:tc>
          <w:tcPr>
            <w:tcW w:type="dxa" w:w="3402"/>
            <w:shd w:val="clear" w:color="auto" w:fill="FAFAFB"/>
            <w:vAlign w:val="center"/>
          </w:tcPr>
          <w:p>
            <w:pPr>
              <w:spacing w:after="20" w:line="252" w:lineRule="auto"/>
            </w:pPr>
            <w:r>
              <w:rPr>
                <w:sz w:val="18"/>
              </w:rPr>
              <w:t>A payment rail must cover them first</w:t>
            </w:r>
          </w:p>
        </w:tc>
      </w:tr>
    </w:tbl>
    <w:p>
      <w:pPr>
        <w:spacing w:after="0" w:line="120" w:lineRule="exact"/>
      </w:pPr>
    </w:p>
    <w:p>
      <w:pPr>
        <w:spacing w:after="200"/>
      </w:pPr>
      <w:r>
        <w:rPr>
          <w:color w:val="5B6570"/>
          <w:sz w:val="17"/>
        </w:rPr>
        <w:t>Source: FluxMuse Financial Model v2 (Base case), 11 September 2026.</w:t>
      </w:r>
    </w:p>
    <w:p>
      <w:pPr>
        <w:pStyle w:val="Heading2"/>
      </w:pPr>
      <w:r>
        <w:rPr/>
        <w:t>The KPI dashboard</w:t>
      </w:r>
    </w:p>
    <w:p>
      <w:r>
        <w:rPr/>
        <w:t xml:space="preserve">Reported to investors </w:t>
      </w:r>
      <w:r>
        <w:rPr>
          <w:b/>
        </w:rPr>
        <w:t>monthly</w:t>
      </w:r>
      <w:r>
        <w:rPr/>
        <w:t xml:space="preserve">, within </w:t>
      </w:r>
      <w:r>
        <w:rPr>
          <w:b/>
          <w:color w:val="20242B"/>
          <w:shd w:val="clear" w:color="auto" w:fill="FFF1A8"/>
        </w:rPr>
        <w:t>[[N]]</w:t>
      </w:r>
      <w:r>
        <w:rPr/>
        <w:t xml:space="preserve"> working days of month end, against the model.</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Monthly KPI dashboard"/>
      </w:tblPr>
      <w:tblGrid>
        <w:gridCol w:w="2494"/>
        <w:gridCol w:w="2834"/>
        <w:gridCol w:w="4308"/>
      </w:tblGrid>
      <w:tr>
        <w:trPr>
          <w:cantSplit/>
          <w:tblHeader/>
        </w:trPr>
        <w:tc>
          <w:tcPr>
            <w:tcW w:type="dxa" w:w="2494"/>
            <w:shd w:val="clear" w:color="auto" w:fill="FF6A00"/>
            <w:vAlign w:val="center"/>
          </w:tcPr>
          <w:p>
            <w:pPr>
              <w:keepNext/>
              <w:spacing w:after="20" w:line="252" w:lineRule="auto"/>
            </w:pPr>
            <w:r>
              <w:rPr>
                <w:rFonts w:ascii="Poppins" w:hAnsi="Poppins" w:cs="Poppins" w:eastAsia="Poppins"/>
                <w:b/>
                <w:color w:val="20242B"/>
                <w:sz w:val="17"/>
              </w:rPr>
              <w:t>KPI</w:t>
            </w:r>
          </w:p>
        </w:tc>
        <w:tc>
          <w:tcPr>
            <w:tcW w:type="dxa" w:w="2835"/>
            <w:shd w:val="clear" w:color="auto" w:fill="FF6A00"/>
            <w:vAlign w:val="center"/>
          </w:tcPr>
          <w:p>
            <w:pPr>
              <w:keepNext/>
              <w:spacing w:after="20" w:line="252" w:lineRule="auto"/>
            </w:pPr>
            <w:r>
              <w:rPr>
                <w:rFonts w:ascii="Poppins" w:hAnsi="Poppins" w:cs="Poppins" w:eastAsia="Poppins"/>
                <w:b/>
                <w:color w:val="20242B"/>
                <w:sz w:val="17"/>
              </w:rPr>
              <w:t>Why it matters</w:t>
            </w:r>
          </w:p>
        </w:tc>
        <w:tc>
          <w:tcPr>
            <w:tcW w:type="dxa" w:w="4309"/>
            <w:shd w:val="clear" w:color="auto" w:fill="FF6A00"/>
            <w:vAlign w:val="center"/>
          </w:tcPr>
          <w:p>
            <w:pPr>
              <w:keepNext/>
              <w:spacing w:after="20" w:line="252" w:lineRule="auto"/>
            </w:pPr>
            <w:r>
              <w:rPr>
                <w:rFonts w:ascii="Poppins" w:hAnsi="Poppins" w:cs="Poppins" w:eastAsia="Poppins"/>
                <w:b/>
                <w:color w:val="20242B"/>
                <w:sz w:val="17"/>
              </w:rPr>
              <w:t>Base case reference point</w:t>
            </w:r>
          </w:p>
        </w:tc>
      </w:tr>
      <w:tr>
        <w:trPr>
          <w:cantSplit/>
        </w:trPr>
        <w:tc>
          <w:tcPr>
            <w:tcW w:type="dxa" w:w="2494"/>
            <w:vAlign w:val="center"/>
          </w:tcPr>
          <w:p>
            <w:pPr>
              <w:spacing w:after="20" w:line="252" w:lineRule="auto"/>
            </w:pPr>
            <w:r>
              <w:rPr>
                <w:b/>
                <w:sz w:val="17"/>
              </w:rPr>
              <w:t>Trials started, by market and segment</w:t>
            </w:r>
          </w:p>
        </w:tc>
        <w:tc>
          <w:tcPr>
            <w:tcW w:type="dxa" w:w="2835"/>
            <w:vAlign w:val="center"/>
          </w:tcPr>
          <w:p>
            <w:pPr>
              <w:spacing w:after="20" w:line="252" w:lineRule="auto"/>
            </w:pPr>
            <w:r>
              <w:rPr>
                <w:sz w:val="17"/>
              </w:rPr>
              <w:t>The leading indicator; the model's most sensitive input</w:t>
            </w:r>
          </w:p>
        </w:tc>
        <w:tc>
          <w:tcPr>
            <w:tcW w:type="dxa" w:w="4309"/>
            <w:vAlign w:val="center"/>
          </w:tcPr>
          <w:p>
            <w:pPr>
              <w:spacing w:after="20" w:line="252" w:lineRule="auto"/>
            </w:pPr>
            <w:r>
              <w:rPr>
                <w:sz w:val="17"/>
              </w:rPr>
              <w:t>250 a month in South Africa at launch, growing 12% a month in FY1</w:t>
            </w:r>
          </w:p>
        </w:tc>
      </w:tr>
      <w:tr>
        <w:trPr>
          <w:cantSplit/>
        </w:trPr>
        <w:tc>
          <w:tcPr>
            <w:tcW w:type="dxa" w:w="2494"/>
            <w:shd w:val="clear" w:color="auto" w:fill="FAFAFB"/>
            <w:vAlign w:val="center"/>
          </w:tcPr>
          <w:p>
            <w:pPr>
              <w:spacing w:after="20" w:line="252" w:lineRule="auto"/>
            </w:pPr>
            <w:r>
              <w:rPr>
                <w:b/>
                <w:sz w:val="17"/>
              </w:rPr>
              <w:t>Trial-to-paid conversion</w:t>
            </w:r>
          </w:p>
        </w:tc>
        <w:tc>
          <w:tcPr>
            <w:tcW w:type="dxa" w:w="2835"/>
            <w:shd w:val="clear" w:color="auto" w:fill="FAFAFB"/>
            <w:vAlign w:val="center"/>
          </w:tcPr>
          <w:p>
            <w:pPr>
              <w:spacing w:after="20" w:line="252" w:lineRule="auto"/>
            </w:pPr>
            <w:r>
              <w:rPr>
                <w:sz w:val="17"/>
              </w:rPr>
              <w:t>Sets revenue and the cash buffer</w:t>
            </w:r>
          </w:p>
        </w:tc>
        <w:tc>
          <w:tcPr>
            <w:tcW w:type="dxa" w:w="4309"/>
            <w:shd w:val="clear" w:color="auto" w:fill="FAFAFB"/>
            <w:vAlign w:val="center"/>
          </w:tcPr>
          <w:p>
            <w:pPr>
              <w:spacing w:after="20" w:line="252" w:lineRule="auto"/>
            </w:pPr>
            <w:r>
              <w:rPr>
                <w:sz w:val="17"/>
              </w:rPr>
              <w:t>Solo 11%, SME 14%</w:t>
            </w:r>
          </w:p>
        </w:tc>
      </w:tr>
      <w:tr>
        <w:trPr>
          <w:cantSplit/>
        </w:trPr>
        <w:tc>
          <w:tcPr>
            <w:tcW w:type="dxa" w:w="2494"/>
            <w:vAlign w:val="center"/>
          </w:tcPr>
          <w:p>
            <w:pPr>
              <w:spacing w:after="20" w:line="252" w:lineRule="auto"/>
            </w:pPr>
            <w:r>
              <w:rPr>
                <w:b/>
                <w:sz w:val="17"/>
              </w:rPr>
              <w:t>New paying workspaces and total paying workspaces</w:t>
            </w:r>
          </w:p>
        </w:tc>
        <w:tc>
          <w:tcPr>
            <w:tcW w:type="dxa" w:w="2835"/>
            <w:vAlign w:val="center"/>
          </w:tcPr>
          <w:p>
            <w:pPr>
              <w:spacing w:after="20" w:line="252" w:lineRule="auto"/>
            </w:pPr>
            <w:r>
              <w:rPr>
                <w:sz w:val="17"/>
              </w:rPr>
              <w:t>The headline growth number</w:t>
            </w:r>
          </w:p>
        </w:tc>
        <w:tc>
          <w:tcPr>
            <w:tcW w:type="dxa" w:w="4309"/>
            <w:vAlign w:val="center"/>
          </w:tcPr>
          <w:p>
            <w:pPr>
              <w:spacing w:after="20" w:line="252" w:lineRule="auto"/>
            </w:pPr>
            <w:r>
              <w:rPr>
                <w:sz w:val="17"/>
              </w:rPr>
              <w:t>421 at the end of FY1</w:t>
            </w:r>
          </w:p>
        </w:tc>
      </w:tr>
      <w:tr>
        <w:trPr>
          <w:cantSplit/>
        </w:trPr>
        <w:tc>
          <w:tcPr>
            <w:tcW w:type="dxa" w:w="2494"/>
            <w:shd w:val="clear" w:color="auto" w:fill="FAFAFB"/>
            <w:vAlign w:val="center"/>
          </w:tcPr>
          <w:p>
            <w:pPr>
              <w:spacing w:after="20" w:line="252" w:lineRule="auto"/>
            </w:pPr>
            <w:r>
              <w:rPr>
                <w:b/>
                <w:sz w:val="17"/>
              </w:rPr>
              <w:t>Net subscription MRR</w:t>
            </w:r>
          </w:p>
        </w:tc>
        <w:tc>
          <w:tcPr>
            <w:tcW w:type="dxa" w:w="2835"/>
            <w:shd w:val="clear" w:color="auto" w:fill="FAFAFB"/>
            <w:vAlign w:val="center"/>
          </w:tcPr>
          <w:p>
            <w:pPr>
              <w:spacing w:after="20" w:line="252" w:lineRule="auto"/>
            </w:pPr>
            <w:r>
              <w:rPr>
                <w:sz w:val="17"/>
              </w:rPr>
              <w:t>Drives every hiring and launch gate</w:t>
            </w:r>
          </w:p>
        </w:tc>
        <w:tc>
          <w:tcPr>
            <w:tcW w:type="dxa" w:w="4309"/>
            <w:shd w:val="clear" w:color="auto" w:fill="FAFAFB"/>
            <w:vAlign w:val="center"/>
          </w:tcPr>
          <w:p>
            <w:pPr>
              <w:spacing w:after="20" w:line="252" w:lineRule="auto"/>
            </w:pPr>
            <w:r>
              <w:rPr>
                <w:sz w:val="17"/>
              </w:rPr>
              <w:t>R678,201 in September 2027</w:t>
            </w:r>
          </w:p>
        </w:tc>
      </w:tr>
      <w:tr>
        <w:trPr>
          <w:cantSplit/>
        </w:trPr>
        <w:tc>
          <w:tcPr>
            <w:tcW w:type="dxa" w:w="2494"/>
            <w:vAlign w:val="center"/>
          </w:tcPr>
          <w:p>
            <w:pPr>
              <w:spacing w:after="20" w:line="252" w:lineRule="auto"/>
            </w:pPr>
            <w:r>
              <w:rPr>
                <w:b/>
                <w:sz w:val="17"/>
              </w:rPr>
              <w:t>Monthly logo churn by segment and tier</w:t>
            </w:r>
          </w:p>
        </w:tc>
        <w:tc>
          <w:tcPr>
            <w:tcW w:type="dxa" w:w="2835"/>
            <w:vAlign w:val="center"/>
          </w:tcPr>
          <w:p>
            <w:pPr>
              <w:spacing w:after="20" w:line="252" w:lineRule="auto"/>
            </w:pPr>
            <w:r>
              <w:rPr>
                <w:sz w:val="17"/>
              </w:rPr>
              <w:t>Solo Starter churn sets solo LTV:CAC</w:t>
            </w:r>
          </w:p>
        </w:tc>
        <w:tc>
          <w:tcPr>
            <w:tcW w:type="dxa" w:w="4309"/>
            <w:vAlign w:val="center"/>
          </w:tcPr>
          <w:p>
            <w:pPr>
              <w:spacing w:after="20" w:line="252" w:lineRule="auto"/>
            </w:pPr>
            <w:r>
              <w:rPr>
                <w:sz w:val="17"/>
              </w:rPr>
              <w:t>Solo Starter 6.5%, SME Growth 3.0%, agency 2.0%</w:t>
            </w:r>
          </w:p>
        </w:tc>
      </w:tr>
      <w:tr>
        <w:trPr>
          <w:cantSplit/>
        </w:trPr>
        <w:tc>
          <w:tcPr>
            <w:tcW w:type="dxa" w:w="2494"/>
            <w:shd w:val="clear" w:color="auto" w:fill="FAFAFB"/>
            <w:vAlign w:val="center"/>
          </w:tcPr>
          <w:p>
            <w:pPr>
              <w:spacing w:after="20" w:line="252" w:lineRule="auto"/>
            </w:pPr>
            <w:r>
              <w:rPr>
                <w:b/>
                <w:sz w:val="17"/>
              </w:rPr>
              <w:t>CAC and CAC payback by segment</w:t>
            </w:r>
          </w:p>
        </w:tc>
        <w:tc>
          <w:tcPr>
            <w:tcW w:type="dxa" w:w="2835"/>
            <w:shd w:val="clear" w:color="auto" w:fill="FAFAFB"/>
            <w:vAlign w:val="center"/>
          </w:tcPr>
          <w:p>
            <w:pPr>
              <w:spacing w:after="20" w:line="252" w:lineRule="auto"/>
            </w:pPr>
            <w:r>
              <w:rPr>
                <w:sz w:val="17"/>
              </w:rPr>
              <w:t>The paid-spend switch is set on payback</w:t>
            </w:r>
          </w:p>
        </w:tc>
        <w:tc>
          <w:tcPr>
            <w:tcW w:type="dxa" w:w="4309"/>
            <w:shd w:val="clear" w:color="auto" w:fill="FAFAFB"/>
            <w:vAlign w:val="center"/>
          </w:tcPr>
          <w:p>
            <w:pPr>
              <w:spacing w:after="20" w:line="252" w:lineRule="auto"/>
            </w:pPr>
            <w:r>
              <w:rPr>
                <w:sz w:val="17"/>
              </w:rPr>
              <w:t>FY3 blended CAC R5,604, payback 3.8 months</w:t>
            </w:r>
          </w:p>
        </w:tc>
      </w:tr>
      <w:tr>
        <w:trPr>
          <w:cantSplit/>
        </w:trPr>
        <w:tc>
          <w:tcPr>
            <w:tcW w:type="dxa" w:w="2494"/>
            <w:vAlign w:val="center"/>
          </w:tcPr>
          <w:p>
            <w:pPr>
              <w:spacing w:after="20" w:line="252" w:lineRule="auto"/>
            </w:pPr>
            <w:r>
              <w:rPr>
                <w:b/>
                <w:sz w:val="17"/>
              </w:rPr>
              <w:t>LTV:CAC by segment</w:t>
            </w:r>
          </w:p>
        </w:tc>
        <w:tc>
          <w:tcPr>
            <w:tcW w:type="dxa" w:w="2835"/>
            <w:vAlign w:val="center"/>
          </w:tcPr>
          <w:p>
            <w:pPr>
              <w:spacing w:after="20" w:line="252" w:lineRule="auto"/>
            </w:pPr>
            <w:r>
              <w:rPr>
                <w:sz w:val="17"/>
              </w:rPr>
              <w:t>Where to put the next rand</w:t>
            </w:r>
          </w:p>
        </w:tc>
        <w:tc>
          <w:tcPr>
            <w:tcW w:type="dxa" w:w="4309"/>
            <w:vAlign w:val="center"/>
          </w:tcPr>
          <w:p>
            <w:pPr>
              <w:spacing w:after="20" w:line="252" w:lineRule="auto"/>
            </w:pPr>
            <w:r>
              <w:rPr>
                <w:sz w:val="17"/>
              </w:rPr>
              <w:t>FY3 blended 5.6×</w:t>
            </w:r>
          </w:p>
        </w:tc>
      </w:tr>
      <w:tr>
        <w:trPr>
          <w:cantSplit/>
        </w:trPr>
        <w:tc>
          <w:tcPr>
            <w:tcW w:type="dxa" w:w="2494"/>
            <w:shd w:val="clear" w:color="auto" w:fill="FAFAFB"/>
            <w:vAlign w:val="center"/>
          </w:tcPr>
          <w:p>
            <w:pPr>
              <w:spacing w:after="20" w:line="252" w:lineRule="auto"/>
            </w:pPr>
            <w:r>
              <w:rPr>
                <w:b/>
                <w:sz w:val="17"/>
              </w:rPr>
              <w:t>Paid acquisition spend against the cap</w:t>
            </w:r>
          </w:p>
        </w:tc>
        <w:tc>
          <w:tcPr>
            <w:tcW w:type="dxa" w:w="2835"/>
            <w:shd w:val="clear" w:color="auto" w:fill="FAFAFB"/>
            <w:vAlign w:val="center"/>
          </w:tcPr>
          <w:p>
            <w:pPr>
              <w:spacing w:after="20" w:line="252" w:lineRule="auto"/>
            </w:pPr>
            <w:r>
              <w:rPr>
                <w:sz w:val="17"/>
              </w:rPr>
              <w:t>Shows growth is still self-financing</w:t>
            </w:r>
          </w:p>
        </w:tc>
        <w:tc>
          <w:tcPr>
            <w:tcW w:type="dxa" w:w="4309"/>
            <w:shd w:val="clear" w:color="auto" w:fill="FAFAFB"/>
            <w:vAlign w:val="center"/>
          </w:tcPr>
          <w:p>
            <w:pPr>
              <w:spacing w:after="20" w:line="252" w:lineRule="auto"/>
            </w:pPr>
            <w:r>
              <w:rPr>
                <w:sz w:val="17"/>
              </w:rPr>
              <w:t>77% of desired spend funded in FY1</w:t>
            </w:r>
          </w:p>
        </w:tc>
      </w:tr>
      <w:tr>
        <w:trPr>
          <w:cantSplit/>
        </w:trPr>
        <w:tc>
          <w:tcPr>
            <w:tcW w:type="dxa" w:w="2494"/>
            <w:vAlign w:val="center"/>
          </w:tcPr>
          <w:p>
            <w:pPr>
              <w:spacing w:after="20" w:line="252" w:lineRule="auto"/>
            </w:pPr>
            <w:r>
              <w:rPr>
                <w:b/>
                <w:sz w:val="17"/>
              </w:rPr>
              <w:t>Gross margin and software gross margin</w:t>
            </w:r>
          </w:p>
        </w:tc>
        <w:tc>
          <w:tcPr>
            <w:tcW w:type="dxa" w:w="2835"/>
            <w:vAlign w:val="center"/>
          </w:tcPr>
          <w:p>
            <w:pPr>
              <w:spacing w:after="20" w:line="252" w:lineRule="auto"/>
            </w:pPr>
            <w:r>
              <w:rPr>
                <w:sz w:val="17"/>
              </w:rPr>
              <w:t>AI and messaging cost control</w:t>
            </w:r>
          </w:p>
        </w:tc>
        <w:tc>
          <w:tcPr>
            <w:tcW w:type="dxa" w:w="4309"/>
            <w:vAlign w:val="center"/>
          </w:tcPr>
          <w:p>
            <w:pPr>
              <w:spacing w:after="20" w:line="252" w:lineRule="auto"/>
            </w:pPr>
            <w:r>
              <w:rPr>
                <w:sz w:val="17"/>
              </w:rPr>
              <w:t>FY1 47% / 50%</w:t>
            </w:r>
          </w:p>
        </w:tc>
      </w:tr>
      <w:tr>
        <w:trPr>
          <w:cantSplit/>
        </w:trPr>
        <w:tc>
          <w:tcPr>
            <w:tcW w:type="dxa" w:w="2494"/>
            <w:shd w:val="clear" w:color="auto" w:fill="FAFAFB"/>
            <w:vAlign w:val="center"/>
          </w:tcPr>
          <w:p>
            <w:pPr>
              <w:spacing w:after="20" w:line="252" w:lineRule="auto"/>
            </w:pPr>
            <w:r>
              <w:rPr>
                <w:b/>
                <w:sz w:val="17"/>
              </w:rPr>
              <w:t>EBITDA and operating cash flow</w:t>
            </w:r>
          </w:p>
        </w:tc>
        <w:tc>
          <w:tcPr>
            <w:tcW w:type="dxa" w:w="2835"/>
            <w:shd w:val="clear" w:color="auto" w:fill="FAFAFB"/>
            <w:vAlign w:val="center"/>
          </w:tcPr>
          <w:p>
            <w:pPr>
              <w:spacing w:after="20" w:line="252" w:lineRule="auto"/>
            </w:pPr>
            <w:r>
              <w:rPr>
                <w:sz w:val="17"/>
              </w:rPr>
              <w:t>Progress to break-even</w:t>
            </w:r>
          </w:p>
        </w:tc>
        <w:tc>
          <w:tcPr>
            <w:tcW w:type="dxa" w:w="4309"/>
            <w:shd w:val="clear" w:color="auto" w:fill="FAFAFB"/>
            <w:vAlign w:val="center"/>
          </w:tcPr>
          <w:p>
            <w:pPr>
              <w:spacing w:after="20" w:line="252" w:lineRule="auto"/>
            </w:pPr>
            <w:r>
              <w:rPr>
                <w:sz w:val="17"/>
              </w:rPr>
              <w:t>Break-even March 2029</w:t>
            </w:r>
          </w:p>
        </w:tc>
      </w:tr>
      <w:tr>
        <w:trPr>
          <w:cantSplit/>
        </w:trPr>
        <w:tc>
          <w:tcPr>
            <w:tcW w:type="dxa" w:w="2494"/>
            <w:vAlign w:val="center"/>
          </w:tcPr>
          <w:p>
            <w:pPr>
              <w:spacing w:after="20" w:line="252" w:lineRule="auto"/>
            </w:pPr>
            <w:r>
              <w:rPr>
                <w:b/>
                <w:sz w:val="17"/>
              </w:rPr>
              <w:t>Closing cash against the R3.0m buffer</w:t>
            </w:r>
          </w:p>
        </w:tc>
        <w:tc>
          <w:tcPr>
            <w:tcW w:type="dxa" w:w="2835"/>
            <w:vAlign w:val="center"/>
          </w:tcPr>
          <w:p>
            <w:pPr>
              <w:spacing w:after="20" w:line="252" w:lineRule="auto"/>
            </w:pPr>
            <w:r>
              <w:rPr>
                <w:sz w:val="17"/>
              </w:rPr>
              <w:t>The constraint the whole plan is built around</w:t>
            </w:r>
          </w:p>
        </w:tc>
        <w:tc>
          <w:tcPr>
            <w:tcW w:type="dxa" w:w="4309"/>
            <w:vAlign w:val="center"/>
          </w:tcPr>
          <w:p>
            <w:pPr>
              <w:spacing w:after="20" w:line="252" w:lineRule="auto"/>
            </w:pPr>
            <w:r>
              <w:rPr>
                <w:sz w:val="17"/>
              </w:rPr>
              <w:t>Low of R7.96m in Sep 2028</w:t>
            </w:r>
          </w:p>
        </w:tc>
      </w:tr>
      <w:tr>
        <w:trPr>
          <w:cantSplit/>
        </w:trPr>
        <w:tc>
          <w:tcPr>
            <w:tcW w:type="dxa" w:w="2494"/>
            <w:shd w:val="clear" w:color="auto" w:fill="FAFAFB"/>
            <w:vAlign w:val="center"/>
          </w:tcPr>
          <w:p>
            <w:pPr>
              <w:spacing w:after="20" w:line="252" w:lineRule="auto"/>
            </w:pPr>
            <w:r>
              <w:rPr>
                <w:b/>
                <w:sz w:val="17"/>
              </w:rPr>
              <w:t>Headcount against the MRR gates</w:t>
            </w:r>
          </w:p>
        </w:tc>
        <w:tc>
          <w:tcPr>
            <w:tcW w:type="dxa" w:w="2835"/>
            <w:shd w:val="clear" w:color="auto" w:fill="FAFAFB"/>
            <w:vAlign w:val="center"/>
          </w:tcPr>
          <w:p>
            <w:pPr>
              <w:spacing w:after="20" w:line="252" w:lineRule="auto"/>
            </w:pPr>
            <w:r>
              <w:rPr>
                <w:sz w:val="17"/>
              </w:rPr>
              <w:t>Confirms cost discipline is holding</w:t>
            </w:r>
          </w:p>
        </w:tc>
        <w:tc>
          <w:tcPr>
            <w:tcW w:type="dxa" w:w="4309"/>
            <w:shd w:val="clear" w:color="auto" w:fill="FAFAFB"/>
            <w:vAlign w:val="center"/>
          </w:tcPr>
          <w:p>
            <w:pPr>
              <w:spacing w:after="20" w:line="252" w:lineRule="auto"/>
            </w:pPr>
            <w:r>
              <w:rPr>
                <w:sz w:val="17"/>
              </w:rPr>
              <w:t>18 at the end of FY1</w:t>
            </w:r>
          </w:p>
        </w:tc>
      </w:tr>
      <w:tr>
        <w:trPr>
          <w:cantSplit/>
        </w:trPr>
        <w:tc>
          <w:tcPr>
            <w:tcW w:type="dxa" w:w="2494"/>
            <w:vAlign w:val="center"/>
          </w:tcPr>
          <w:p>
            <w:pPr>
              <w:spacing w:after="20" w:line="252" w:lineRule="auto"/>
            </w:pPr>
            <w:r>
              <w:rPr>
                <w:b/>
                <w:sz w:val="17"/>
              </w:rPr>
              <w:t>Agency partners signed and their client sub-accounts</w:t>
            </w:r>
          </w:p>
        </w:tc>
        <w:tc>
          <w:tcPr>
            <w:tcW w:type="dxa" w:w="2835"/>
            <w:vAlign w:val="center"/>
          </w:tcPr>
          <w:p>
            <w:pPr>
              <w:spacing w:after="20" w:line="252" w:lineRule="auto"/>
            </w:pPr>
            <w:r>
              <w:rPr>
                <w:sz w:val="17"/>
              </w:rPr>
              <w:t>Channel health</w:t>
            </w:r>
          </w:p>
        </w:tc>
        <w:tc>
          <w:tcPr>
            <w:tcW w:type="dxa" w:w="4309"/>
            <w:vAlign w:val="center"/>
          </w:tcPr>
          <w:p>
            <w:pPr>
              <w:spacing w:after="20" w:line="252" w:lineRule="auto"/>
            </w:pPr>
            <w:r>
              <w:rPr>
                <w:sz w:val="17"/>
              </w:rPr>
              <w:t>17 agencies by the end of FY1</w:t>
            </w:r>
          </w:p>
        </w:tc>
      </w:tr>
      <w:tr>
        <w:trPr>
          <w:cantSplit/>
        </w:trPr>
        <w:tc>
          <w:tcPr>
            <w:tcW w:type="dxa" w:w="2494"/>
            <w:shd w:val="clear" w:color="auto" w:fill="FAFAFB"/>
            <w:vAlign w:val="center"/>
          </w:tcPr>
          <w:p>
            <w:pPr>
              <w:spacing w:after="20" w:line="252" w:lineRule="auto"/>
            </w:pPr>
            <w:r>
              <w:rPr>
                <w:b/>
                <w:sz w:val="17"/>
              </w:rPr>
              <w:t>WhatsApp conversations, orders and GMV on the platform</w:t>
            </w:r>
          </w:p>
        </w:tc>
        <w:tc>
          <w:tcPr>
            <w:tcW w:type="dxa" w:w="2835"/>
            <w:shd w:val="clear" w:color="auto" w:fill="FAFAFB"/>
            <w:vAlign w:val="center"/>
          </w:tcPr>
          <w:p>
            <w:pPr>
              <w:spacing w:after="20" w:line="252" w:lineRule="auto"/>
            </w:pPr>
            <w:r>
              <w:rPr>
                <w:sz w:val="17"/>
              </w:rPr>
              <w:t>Proves the commerce claim</w:t>
            </w:r>
          </w:p>
        </w:tc>
        <w:tc>
          <w:tcPr>
            <w:tcW w:type="dxa" w:w="4309"/>
            <w:shd w:val="clear" w:color="auto" w:fill="FAFAFB"/>
            <w:vAlign w:val="center"/>
          </w:tcPr>
          <w:p>
            <w:pPr>
              <w:spacing w:after="20" w:line="252" w:lineRule="auto"/>
            </w:pPr>
            <w:r>
              <w:rPr>
                <w:sz w:val="17"/>
              </w:rPr>
              <w:t>Pilot KPIs from December 2026</w:t>
            </w:r>
          </w:p>
        </w:tc>
      </w:tr>
      <w:tr>
        <w:trPr>
          <w:cantSplit/>
        </w:trPr>
        <w:tc>
          <w:tcPr>
            <w:tcW w:type="dxa" w:w="2494"/>
            <w:vAlign w:val="center"/>
          </w:tcPr>
          <w:p>
            <w:pPr>
              <w:spacing w:after="20" w:line="252" w:lineRule="auto"/>
            </w:pPr>
            <w:r>
              <w:rPr>
                <w:b/>
                <w:sz w:val="17"/>
              </w:rPr>
              <w:t>Meta App Review status</w:t>
            </w:r>
          </w:p>
        </w:tc>
        <w:tc>
          <w:tcPr>
            <w:tcW w:type="dxa" w:w="2835"/>
            <w:vAlign w:val="center"/>
          </w:tcPr>
          <w:p>
            <w:pPr>
              <w:spacing w:after="20" w:line="252" w:lineRule="auto"/>
            </w:pPr>
            <w:r>
              <w:rPr>
                <w:sz w:val="17"/>
              </w:rPr>
              <w:t>The largest platform dependency</w:t>
            </w:r>
          </w:p>
        </w:tc>
        <w:tc>
          <w:tcPr>
            <w:tcW w:type="dxa" w:w="4309"/>
            <w:vAlign w:val="center"/>
          </w:tcPr>
          <w:p>
            <w:pPr>
              <w:spacing w:after="20" w:line="252" w:lineRule="auto"/>
            </w:pPr>
            <w:r>
              <w:rPr>
                <w:sz w:val="17"/>
              </w:rPr>
              <w:t>Stage 1 of the roadmap</w:t>
            </w:r>
          </w:p>
        </w:tc>
      </w:tr>
    </w:tbl>
    <w:p>
      <w:pPr>
        <w:spacing w:after="0" w:line="120" w:lineRule="exact"/>
      </w:pPr>
    </w:p>
    <w:p>
      <w:pPr>
        <w:pStyle w:val="Heading1"/>
        <w:pageBreakBefore/>
      </w:pPr>
      <w:r>
        <w:rPr/>
        <w:t>16. Social and economic impact</w:t>
      </w:r>
    </w:p>
    <w:p>
      <w:r>
        <w:rPr/>
        <w:t xml:space="preserve">This section is written for development-finance funders. </w:t>
      </w:r>
      <w:r>
        <w:rPr>
          <w:b/>
        </w:rPr>
        <w:t>Every claim below is either a modelled figure or a measurement commitment.</w:t>
      </w:r>
      <w:r>
        <w:rPr/>
        <w:t xml:space="preserve"> Where we cannot yet measure something, the plan says so and states how it will be measured, rather than asserting an outcome.</w:t>
      </w:r>
    </w:p>
    <w:p>
      <w:pPr>
        <w:pStyle w:val="Heading2"/>
      </w:pPr>
      <w:r>
        <w:rPr/>
        <w:t>SMME enablement</w:t>
      </w:r>
    </w:p>
    <w:p>
      <w:pPr>
        <w:pStyle w:val="ListBullet"/>
      </w:pPr>
      <w:r>
        <w:rPr/>
        <w:t xml:space="preserve">The Base case puts </w:t>
      </w:r>
      <w:r>
        <w:rPr>
          <w:b/>
        </w:rPr>
        <w:t>8,816 small and medium businesses</w:t>
      </w:r>
      <w:r>
        <w:rPr/>
        <w:t xml:space="preserve"> on the platform by FY5, of which 4,173 are solo entrepreneurs on the entry tier.</w:t>
      </w:r>
    </w:p>
    <w:p>
      <w:pPr>
        <w:pStyle w:val="ListBullet"/>
      </w:pPr>
      <w:r>
        <w:rPr/>
        <w:t xml:space="preserve">The entry price is </w:t>
      </w:r>
      <w:r>
        <w:rPr>
          <w:b/>
        </w:rPr>
        <w:t>R499 a month</w:t>
      </w:r>
      <w:r>
        <w:rPr/>
        <w:t>, with a 14-day free trial and no card required, which puts a marketing capability inside the reach of a business that could never fund an agency retainer.</w:t>
      </w:r>
    </w:p>
    <w:p>
      <w:pPr>
        <w:pStyle w:val="ListBullet"/>
      </w:pPr>
      <w:r>
        <w:rPr/>
        <w:t xml:space="preserve">The measurable outcomes for a customer are orders, GMV and hours saved, tracked per workspace in the product. </w:t>
      </w:r>
      <w:r>
        <w:rPr>
          <w:b/>
          <w:color w:val="20242B"/>
          <w:shd w:val="clear" w:color="auto" w:fill="FFF1A8"/>
        </w:rPr>
        <w:t>[[BASELINE AND TARGET FOR AVERAGE REVENUE UPLIFT PER CUSTOMER: TO BE MEASURED FROM PILOT DATA, DECEMBER 2026]]</w:t>
      </w:r>
    </w:p>
    <w:p>
      <w:pPr>
        <w:pStyle w:val="Heading2"/>
      </w:pPr>
      <w:r>
        <w:rPr/>
        <w:t>Digital and financial inclusion</w:t>
      </w:r>
    </w:p>
    <w:p>
      <w:pPr>
        <w:pStyle w:val="ListBullet"/>
      </w:pPr>
      <w:r>
        <w:rPr/>
        <w:t xml:space="preserve">Customers sell and get paid inside </w:t>
      </w:r>
      <w:r>
        <w:rPr>
          <w:b/>
        </w:rPr>
        <w:t>WhatsApp</w:t>
      </w:r>
      <w:r>
        <w:rPr/>
        <w:t>, on the phone they already own, without needing a website, a card machine or a storefront.</w:t>
      </w:r>
    </w:p>
    <w:p>
      <w:pPr>
        <w:pStyle w:val="ListBullet"/>
      </w:pPr>
      <w:r>
        <w:rPr>
          <w:b/>
        </w:rPr>
        <w:t>Five payment rails across 23 countries</w:t>
      </w:r>
      <w:r>
        <w:rPr/>
        <w:t>, including mobile money in 20 of them, bring instant EFT, cards, bank transfer, USSD and mobile money into reach for informal and semi-formal traders.</w:t>
      </w:r>
    </w:p>
    <w:p>
      <w:pPr>
        <w:pStyle w:val="ListBullet"/>
      </w:pPr>
      <w:r>
        <w:rPr>
          <w:b/>
        </w:rPr>
        <w:t>USSD and SMS</w:t>
      </w:r>
      <w:r>
        <w:rPr/>
        <w:t xml:space="preserve"> channels reach customers who are not on smartphones.</w:t>
      </w:r>
    </w:p>
    <w:p>
      <w:pPr>
        <w:pStyle w:val="ListBullet"/>
      </w:pPr>
      <w:r>
        <w:rPr/>
        <w:t>Coverage deliberately follows what a rail can actually collect, so no business is sold a service it cannot pay for.</w:t>
      </w:r>
    </w:p>
    <w:p>
      <w:pPr>
        <w:pStyle w:val="Heading2"/>
      </w:pPr>
      <w:r>
        <w:rPr/>
        <w:t>Local languages</w:t>
      </w:r>
    </w:p>
    <w:p>
      <w:r>
        <w:rPr/>
        <w:t xml:space="preserve">The Creator agent produces content in </w:t>
      </w:r>
      <w:r>
        <w:rPr>
          <w:b/>
        </w:rPr>
        <w:t>isiZulu, Pidgin, Swahili, Afrikaans and English, among others</w:t>
      </w:r>
      <w:r>
        <w:rPr/>
        <w:t>. For a township or market business, marketing in the language its customers speak is the difference between a post that works and one that does not. This is a product capability today, not a roadmap item.</w:t>
      </w:r>
    </w:p>
    <w:p>
      <w:pPr>
        <w:pStyle w:val="Heading2"/>
      </w:pPr>
      <w:r>
        <w:rPr/>
        <w:t>Jobs created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Direct jobs in the plan, at each year end (Base case)"/>
      </w:tblPr>
      <w:tblGrid>
        <w:gridCol w:w="2607"/>
        <w:gridCol w:w="1405"/>
        <w:gridCol w:w="1405"/>
        <w:gridCol w:w="1405"/>
        <w:gridCol w:w="1405"/>
        <w:gridCol w:w="1405"/>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9"/>
              </w:rPr>
              <w:t>Department</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FY1</w:t>
            </w:r>
          </w:p>
          <w:p>
            <w:pPr>
              <w:keepNext/>
              <w:spacing w:after="20" w:line="252" w:lineRule="auto"/>
              <w:jc w:val="right"/>
            </w:pPr>
            <w:r>
              <w:rPr>
                <w:rFonts w:ascii="Poppins" w:hAnsi="Poppins" w:cs="Poppins" w:eastAsia="Poppins"/>
                <w:b/>
                <w:color w:val="20242B"/>
                <w:sz w:val="19"/>
              </w:rPr>
              <w:t>Oct 2026–Sep 2027</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FY2</w:t>
            </w:r>
          </w:p>
          <w:p>
            <w:pPr>
              <w:keepNext/>
              <w:spacing w:after="20" w:line="252" w:lineRule="auto"/>
              <w:jc w:val="right"/>
            </w:pPr>
            <w:r>
              <w:rPr>
                <w:rFonts w:ascii="Poppins" w:hAnsi="Poppins" w:cs="Poppins" w:eastAsia="Poppins"/>
                <w:b/>
                <w:color w:val="20242B"/>
                <w:sz w:val="19"/>
              </w:rPr>
              <w:t>Oct 2027–Sep 2028</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FY3</w:t>
            </w:r>
          </w:p>
          <w:p>
            <w:pPr>
              <w:keepNext/>
              <w:spacing w:after="20" w:line="252" w:lineRule="auto"/>
              <w:jc w:val="right"/>
            </w:pPr>
            <w:r>
              <w:rPr>
                <w:rFonts w:ascii="Poppins" w:hAnsi="Poppins" w:cs="Poppins" w:eastAsia="Poppins"/>
                <w:b/>
                <w:color w:val="20242B"/>
                <w:sz w:val="19"/>
              </w:rPr>
              <w:t>Oct 2028–Sep 2029</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FY4</w:t>
            </w:r>
          </w:p>
          <w:p>
            <w:pPr>
              <w:keepNext/>
              <w:spacing w:after="20" w:line="252" w:lineRule="auto"/>
              <w:jc w:val="right"/>
            </w:pPr>
            <w:r>
              <w:rPr>
                <w:rFonts w:ascii="Poppins" w:hAnsi="Poppins" w:cs="Poppins" w:eastAsia="Poppins"/>
                <w:b/>
                <w:color w:val="20242B"/>
                <w:sz w:val="19"/>
              </w:rPr>
              <w:t>Oct 2029–Sep 2030</w:t>
            </w:r>
          </w:p>
        </w:tc>
        <w:tc>
          <w:tcPr>
            <w:tcW w:type="dxa" w:w="1406"/>
            <w:shd w:val="clear" w:color="auto" w:fill="FF6A00"/>
            <w:vAlign w:val="center"/>
          </w:tcPr>
          <w:p>
            <w:pPr>
              <w:keepNext/>
              <w:spacing w:after="20" w:line="252" w:lineRule="auto"/>
              <w:jc w:val="right"/>
            </w:pPr>
            <w:r>
              <w:rPr>
                <w:rFonts w:ascii="Poppins" w:hAnsi="Poppins" w:cs="Poppins" w:eastAsia="Poppins"/>
                <w:b/>
                <w:color w:val="20242B"/>
                <w:sz w:val="19"/>
              </w:rPr>
              <w:t>FY5</w:t>
            </w:r>
          </w:p>
          <w:p>
            <w:pPr>
              <w:keepNext/>
              <w:spacing w:after="20" w:line="252" w:lineRule="auto"/>
              <w:jc w:val="right"/>
            </w:pPr>
            <w:r>
              <w:rPr>
                <w:rFonts w:ascii="Poppins" w:hAnsi="Poppins" w:cs="Poppins" w:eastAsia="Poppins"/>
                <w:b/>
                <w:color w:val="20242B"/>
                <w:sz w:val="19"/>
              </w:rPr>
              <w:t>Oct 2030–Sep 2031</w:t>
            </w:r>
          </w:p>
        </w:tc>
      </w:tr>
      <w:tr>
        <w:trPr>
          <w:cantSplit/>
        </w:trPr>
        <w:tc>
          <w:tcPr>
            <w:tcW w:type="dxa" w:w="2608"/>
            <w:vAlign w:val="center"/>
          </w:tcPr>
          <w:p>
            <w:pPr>
              <w:spacing w:after="20" w:line="252" w:lineRule="auto"/>
            </w:pPr>
            <w:r>
              <w:rPr>
                <w:b/>
                <w:sz w:val="19"/>
              </w:rPr>
              <w:t>Leadership</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c>
          <w:tcPr>
            <w:tcW w:type="dxa" w:w="1406"/>
            <w:vAlign w:val="center"/>
          </w:tcPr>
          <w:p>
            <w:pPr>
              <w:spacing w:after="20" w:line="252" w:lineRule="auto"/>
              <w:jc w:val="right"/>
            </w:pPr>
            <w:r>
              <w:rPr>
                <w:sz w:val="19"/>
              </w:rPr>
              <w:t>2</w:t>
            </w:r>
          </w:p>
        </w:tc>
      </w:tr>
      <w:tr>
        <w:trPr>
          <w:cantSplit/>
        </w:trPr>
        <w:tc>
          <w:tcPr>
            <w:tcW w:type="dxa" w:w="2608"/>
            <w:shd w:val="clear" w:color="auto" w:fill="FAFAFB"/>
            <w:vAlign w:val="center"/>
          </w:tcPr>
          <w:p>
            <w:pPr>
              <w:spacing w:after="20" w:line="252" w:lineRule="auto"/>
            </w:pPr>
            <w:r>
              <w:rPr>
                <w:b/>
                <w:sz w:val="19"/>
              </w:rPr>
              <w:t>Engineering &amp; product</w:t>
            </w:r>
          </w:p>
        </w:tc>
        <w:tc>
          <w:tcPr>
            <w:tcW w:type="dxa" w:w="1406"/>
            <w:shd w:val="clear" w:color="auto" w:fill="FAFAFB"/>
            <w:vAlign w:val="center"/>
          </w:tcPr>
          <w:p>
            <w:pPr>
              <w:spacing w:after="20" w:line="252" w:lineRule="auto"/>
              <w:jc w:val="right"/>
            </w:pPr>
            <w:r>
              <w:rPr>
                <w:sz w:val="19"/>
              </w:rPr>
              <w:t>6</w:t>
            </w:r>
          </w:p>
        </w:tc>
        <w:tc>
          <w:tcPr>
            <w:tcW w:type="dxa" w:w="1406"/>
            <w:shd w:val="clear" w:color="auto" w:fill="FAFAFB"/>
            <w:vAlign w:val="center"/>
          </w:tcPr>
          <w:p>
            <w:pPr>
              <w:spacing w:after="20" w:line="252" w:lineRule="auto"/>
              <w:jc w:val="right"/>
            </w:pPr>
            <w:r>
              <w:rPr>
                <w:sz w:val="19"/>
              </w:rPr>
              <w:t>11</w:t>
            </w:r>
          </w:p>
        </w:tc>
        <w:tc>
          <w:tcPr>
            <w:tcW w:type="dxa" w:w="1406"/>
            <w:shd w:val="clear" w:color="auto" w:fill="FAFAFB"/>
            <w:vAlign w:val="center"/>
          </w:tcPr>
          <w:p>
            <w:pPr>
              <w:spacing w:after="20" w:line="252" w:lineRule="auto"/>
              <w:jc w:val="right"/>
            </w:pPr>
            <w:r>
              <w:rPr>
                <w:sz w:val="19"/>
              </w:rPr>
              <w:t>17</w:t>
            </w:r>
          </w:p>
        </w:tc>
        <w:tc>
          <w:tcPr>
            <w:tcW w:type="dxa" w:w="1406"/>
            <w:shd w:val="clear" w:color="auto" w:fill="FAFAFB"/>
            <w:vAlign w:val="center"/>
          </w:tcPr>
          <w:p>
            <w:pPr>
              <w:spacing w:after="20" w:line="252" w:lineRule="auto"/>
              <w:jc w:val="right"/>
            </w:pPr>
            <w:r>
              <w:rPr>
                <w:sz w:val="19"/>
              </w:rPr>
              <w:t>24</w:t>
            </w:r>
          </w:p>
        </w:tc>
        <w:tc>
          <w:tcPr>
            <w:tcW w:type="dxa" w:w="1406"/>
            <w:shd w:val="clear" w:color="auto" w:fill="FAFAFB"/>
            <w:vAlign w:val="center"/>
          </w:tcPr>
          <w:p>
            <w:pPr>
              <w:spacing w:after="20" w:line="252" w:lineRule="auto"/>
              <w:jc w:val="right"/>
            </w:pPr>
            <w:r>
              <w:rPr>
                <w:sz w:val="19"/>
              </w:rPr>
              <w:t>36</w:t>
            </w:r>
          </w:p>
        </w:tc>
      </w:tr>
      <w:tr>
        <w:trPr>
          <w:cantSplit/>
        </w:trPr>
        <w:tc>
          <w:tcPr>
            <w:tcW w:type="dxa" w:w="2608"/>
            <w:vAlign w:val="center"/>
          </w:tcPr>
          <w:p>
            <w:pPr>
              <w:spacing w:after="20" w:line="252" w:lineRule="auto"/>
            </w:pPr>
            <w:r>
              <w:rPr>
                <w:b/>
                <w:sz w:val="19"/>
              </w:rPr>
              <w:t>Marketing</w:t>
            </w:r>
          </w:p>
        </w:tc>
        <w:tc>
          <w:tcPr>
            <w:tcW w:type="dxa" w:w="1406"/>
            <w:vAlign w:val="center"/>
          </w:tcPr>
          <w:p>
            <w:pPr>
              <w:spacing w:after="20" w:line="252" w:lineRule="auto"/>
              <w:jc w:val="right"/>
            </w:pPr>
            <w:r>
              <w:rPr>
                <w:sz w:val="19"/>
              </w:rPr>
              <w:t>4</w:t>
            </w:r>
          </w:p>
        </w:tc>
        <w:tc>
          <w:tcPr>
            <w:tcW w:type="dxa" w:w="1406"/>
            <w:vAlign w:val="center"/>
          </w:tcPr>
          <w:p>
            <w:pPr>
              <w:spacing w:after="20" w:line="252" w:lineRule="auto"/>
              <w:jc w:val="right"/>
            </w:pPr>
            <w:r>
              <w:rPr>
                <w:sz w:val="19"/>
              </w:rPr>
              <w:t>6</w:t>
            </w:r>
          </w:p>
        </w:tc>
        <w:tc>
          <w:tcPr>
            <w:tcW w:type="dxa" w:w="1406"/>
            <w:vAlign w:val="center"/>
          </w:tcPr>
          <w:p>
            <w:pPr>
              <w:spacing w:after="20" w:line="252" w:lineRule="auto"/>
              <w:jc w:val="right"/>
            </w:pPr>
            <w:r>
              <w:rPr>
                <w:sz w:val="19"/>
              </w:rPr>
              <w:t>9</w:t>
            </w:r>
          </w:p>
        </w:tc>
        <w:tc>
          <w:tcPr>
            <w:tcW w:type="dxa" w:w="1406"/>
            <w:vAlign w:val="center"/>
          </w:tcPr>
          <w:p>
            <w:pPr>
              <w:spacing w:after="20" w:line="252" w:lineRule="auto"/>
              <w:jc w:val="right"/>
            </w:pPr>
            <w:r>
              <w:rPr>
                <w:sz w:val="19"/>
              </w:rPr>
              <w:t>12</w:t>
            </w:r>
          </w:p>
        </w:tc>
        <w:tc>
          <w:tcPr>
            <w:tcW w:type="dxa" w:w="1406"/>
            <w:vAlign w:val="center"/>
          </w:tcPr>
          <w:p>
            <w:pPr>
              <w:spacing w:after="20" w:line="252" w:lineRule="auto"/>
              <w:jc w:val="right"/>
            </w:pPr>
            <w:r>
              <w:rPr>
                <w:sz w:val="19"/>
              </w:rPr>
              <w:t>16</w:t>
            </w:r>
          </w:p>
        </w:tc>
      </w:tr>
      <w:tr>
        <w:trPr>
          <w:cantSplit/>
        </w:trPr>
        <w:tc>
          <w:tcPr>
            <w:tcW w:type="dxa" w:w="2608"/>
            <w:shd w:val="clear" w:color="auto" w:fill="FAFAFB"/>
            <w:vAlign w:val="center"/>
          </w:tcPr>
          <w:p>
            <w:pPr>
              <w:spacing w:after="20" w:line="252" w:lineRule="auto"/>
            </w:pPr>
            <w:r>
              <w:rPr>
                <w:b/>
                <w:sz w:val="19"/>
              </w:rPr>
              <w:t>Sales &amp; partnerships</w:t>
            </w:r>
          </w:p>
        </w:tc>
        <w:tc>
          <w:tcPr>
            <w:tcW w:type="dxa" w:w="1406"/>
            <w:shd w:val="clear" w:color="auto" w:fill="FAFAFB"/>
            <w:vAlign w:val="center"/>
          </w:tcPr>
          <w:p>
            <w:pPr>
              <w:spacing w:after="20" w:line="252" w:lineRule="auto"/>
              <w:jc w:val="right"/>
            </w:pPr>
            <w:r>
              <w:rPr>
                <w:sz w:val="19"/>
              </w:rPr>
              <w:t>1</w:t>
            </w:r>
          </w:p>
        </w:tc>
        <w:tc>
          <w:tcPr>
            <w:tcW w:type="dxa" w:w="1406"/>
            <w:shd w:val="clear" w:color="auto" w:fill="FAFAFB"/>
            <w:vAlign w:val="center"/>
          </w:tcPr>
          <w:p>
            <w:pPr>
              <w:spacing w:after="20" w:line="252" w:lineRule="auto"/>
              <w:jc w:val="right"/>
            </w:pPr>
            <w:r>
              <w:rPr>
                <w:sz w:val="19"/>
              </w:rPr>
              <w:t>4</w:t>
            </w:r>
          </w:p>
        </w:tc>
        <w:tc>
          <w:tcPr>
            <w:tcW w:type="dxa" w:w="1406"/>
            <w:shd w:val="clear" w:color="auto" w:fill="FAFAFB"/>
            <w:vAlign w:val="center"/>
          </w:tcPr>
          <w:p>
            <w:pPr>
              <w:spacing w:after="20" w:line="252" w:lineRule="auto"/>
              <w:jc w:val="right"/>
            </w:pPr>
            <w:r>
              <w:rPr>
                <w:sz w:val="19"/>
              </w:rPr>
              <w:t>7</w:t>
            </w:r>
          </w:p>
        </w:tc>
        <w:tc>
          <w:tcPr>
            <w:tcW w:type="dxa" w:w="1406"/>
            <w:shd w:val="clear" w:color="auto" w:fill="FAFAFB"/>
            <w:vAlign w:val="center"/>
          </w:tcPr>
          <w:p>
            <w:pPr>
              <w:spacing w:after="20" w:line="252" w:lineRule="auto"/>
              <w:jc w:val="right"/>
            </w:pPr>
            <w:r>
              <w:rPr>
                <w:sz w:val="19"/>
              </w:rPr>
              <w:t>12</w:t>
            </w:r>
          </w:p>
        </w:tc>
        <w:tc>
          <w:tcPr>
            <w:tcW w:type="dxa" w:w="1406"/>
            <w:shd w:val="clear" w:color="auto" w:fill="FAFAFB"/>
            <w:vAlign w:val="center"/>
          </w:tcPr>
          <w:p>
            <w:pPr>
              <w:spacing w:after="20" w:line="252" w:lineRule="auto"/>
              <w:jc w:val="right"/>
            </w:pPr>
            <w:r>
              <w:rPr>
                <w:sz w:val="19"/>
              </w:rPr>
              <w:t>18</w:t>
            </w:r>
          </w:p>
        </w:tc>
      </w:tr>
      <w:tr>
        <w:trPr>
          <w:cantSplit/>
        </w:trPr>
        <w:tc>
          <w:tcPr>
            <w:tcW w:type="dxa" w:w="2608"/>
            <w:vAlign w:val="center"/>
          </w:tcPr>
          <w:p>
            <w:pPr>
              <w:spacing w:after="20" w:line="252" w:lineRule="auto"/>
            </w:pPr>
            <w:r>
              <w:rPr>
                <w:b/>
                <w:sz w:val="19"/>
              </w:rPr>
              <w:t>Customer success</w:t>
            </w:r>
          </w:p>
        </w:tc>
        <w:tc>
          <w:tcPr>
            <w:tcW w:type="dxa" w:w="1406"/>
            <w:vAlign w:val="center"/>
          </w:tcPr>
          <w:p>
            <w:pPr>
              <w:spacing w:after="20" w:line="252" w:lineRule="auto"/>
              <w:jc w:val="right"/>
            </w:pPr>
            <w:r>
              <w:rPr>
                <w:sz w:val="19"/>
              </w:rPr>
              <w:t>3</w:t>
            </w:r>
          </w:p>
        </w:tc>
        <w:tc>
          <w:tcPr>
            <w:tcW w:type="dxa" w:w="1406"/>
            <w:vAlign w:val="center"/>
          </w:tcPr>
          <w:p>
            <w:pPr>
              <w:spacing w:after="20" w:line="252" w:lineRule="auto"/>
              <w:jc w:val="right"/>
            </w:pPr>
            <w:r>
              <w:rPr>
                <w:sz w:val="19"/>
              </w:rPr>
              <w:t>7</w:t>
            </w:r>
          </w:p>
        </w:tc>
        <w:tc>
          <w:tcPr>
            <w:tcW w:type="dxa" w:w="1406"/>
            <w:vAlign w:val="center"/>
          </w:tcPr>
          <w:p>
            <w:pPr>
              <w:spacing w:after="20" w:line="252" w:lineRule="auto"/>
              <w:jc w:val="right"/>
            </w:pPr>
            <w:r>
              <w:rPr>
                <w:sz w:val="19"/>
              </w:rPr>
              <w:t>13</w:t>
            </w:r>
          </w:p>
        </w:tc>
        <w:tc>
          <w:tcPr>
            <w:tcW w:type="dxa" w:w="1406"/>
            <w:vAlign w:val="center"/>
          </w:tcPr>
          <w:p>
            <w:pPr>
              <w:spacing w:after="20" w:line="252" w:lineRule="auto"/>
              <w:jc w:val="right"/>
            </w:pPr>
            <w:r>
              <w:rPr>
                <w:sz w:val="19"/>
              </w:rPr>
              <w:t>21</w:t>
            </w:r>
          </w:p>
        </w:tc>
        <w:tc>
          <w:tcPr>
            <w:tcW w:type="dxa" w:w="1406"/>
            <w:vAlign w:val="center"/>
          </w:tcPr>
          <w:p>
            <w:pPr>
              <w:spacing w:after="20" w:line="252" w:lineRule="auto"/>
              <w:jc w:val="right"/>
            </w:pPr>
            <w:r>
              <w:rPr>
                <w:sz w:val="19"/>
              </w:rPr>
              <w:t>39</w:t>
            </w:r>
          </w:p>
        </w:tc>
      </w:tr>
      <w:tr>
        <w:trPr>
          <w:cantSplit/>
        </w:trPr>
        <w:tc>
          <w:tcPr>
            <w:tcW w:type="dxa" w:w="2608"/>
            <w:shd w:val="clear" w:color="auto" w:fill="FAFAFB"/>
            <w:vAlign w:val="center"/>
          </w:tcPr>
          <w:p>
            <w:pPr>
              <w:spacing w:after="20" w:line="252" w:lineRule="auto"/>
            </w:pPr>
            <w:r>
              <w:rPr>
                <w:b/>
                <w:sz w:val="19"/>
              </w:rPr>
              <w:t>G&amp;A &amp; compliance</w:t>
            </w:r>
          </w:p>
        </w:tc>
        <w:tc>
          <w:tcPr>
            <w:tcW w:type="dxa" w:w="1406"/>
            <w:shd w:val="clear" w:color="auto" w:fill="FAFAFB"/>
            <w:vAlign w:val="center"/>
          </w:tcPr>
          <w:p>
            <w:pPr>
              <w:spacing w:after="20" w:line="252" w:lineRule="auto"/>
              <w:jc w:val="right"/>
            </w:pPr>
            <w:r>
              <w:rPr>
                <w:sz w:val="19"/>
              </w:rPr>
              <w:t>2</w:t>
            </w:r>
          </w:p>
        </w:tc>
        <w:tc>
          <w:tcPr>
            <w:tcW w:type="dxa" w:w="1406"/>
            <w:shd w:val="clear" w:color="auto" w:fill="FAFAFB"/>
            <w:vAlign w:val="center"/>
          </w:tcPr>
          <w:p>
            <w:pPr>
              <w:spacing w:after="20" w:line="252" w:lineRule="auto"/>
              <w:jc w:val="right"/>
            </w:pPr>
            <w:r>
              <w:rPr>
                <w:sz w:val="19"/>
              </w:rPr>
              <w:t>3</w:t>
            </w:r>
          </w:p>
        </w:tc>
        <w:tc>
          <w:tcPr>
            <w:tcW w:type="dxa" w:w="1406"/>
            <w:shd w:val="clear" w:color="auto" w:fill="FAFAFB"/>
            <w:vAlign w:val="center"/>
          </w:tcPr>
          <w:p>
            <w:pPr>
              <w:spacing w:after="20" w:line="252" w:lineRule="auto"/>
              <w:jc w:val="right"/>
            </w:pPr>
            <w:r>
              <w:rPr>
                <w:sz w:val="19"/>
              </w:rPr>
              <w:t>5</w:t>
            </w:r>
          </w:p>
        </w:tc>
        <w:tc>
          <w:tcPr>
            <w:tcW w:type="dxa" w:w="1406"/>
            <w:shd w:val="clear" w:color="auto" w:fill="FAFAFB"/>
            <w:vAlign w:val="center"/>
          </w:tcPr>
          <w:p>
            <w:pPr>
              <w:spacing w:after="20" w:line="252" w:lineRule="auto"/>
              <w:jc w:val="right"/>
            </w:pPr>
            <w:r>
              <w:rPr>
                <w:sz w:val="19"/>
              </w:rPr>
              <w:t>6</w:t>
            </w:r>
          </w:p>
        </w:tc>
        <w:tc>
          <w:tcPr>
            <w:tcW w:type="dxa" w:w="1406"/>
            <w:shd w:val="clear" w:color="auto" w:fill="FAFAFB"/>
            <w:vAlign w:val="center"/>
          </w:tcPr>
          <w:p>
            <w:pPr>
              <w:spacing w:after="20" w:line="252" w:lineRule="auto"/>
              <w:jc w:val="right"/>
            </w:pPr>
            <w:r>
              <w:rPr>
                <w:sz w:val="19"/>
              </w:rPr>
              <w:t>9</w:t>
            </w:r>
          </w:p>
        </w:tc>
      </w:tr>
      <w:tr>
        <w:trPr>
          <w:cantSplit/>
        </w:trPr>
        <w:tc>
          <w:tcPr>
            <w:tcW w:type="dxa" w:w="2608"/>
            <w:vAlign w:val="center"/>
          </w:tcPr>
          <w:p>
            <w:pPr>
              <w:spacing w:after="20" w:line="252" w:lineRule="auto"/>
            </w:pPr>
            <w:r>
              <w:rPr>
                <w:b/>
                <w:sz w:val="19"/>
              </w:rPr>
              <w:t>Country teams</w:t>
            </w:r>
          </w:p>
        </w:tc>
        <w:tc>
          <w:tcPr>
            <w:tcW w:type="dxa" w:w="1406"/>
            <w:vAlign w:val="center"/>
          </w:tcPr>
          <w:p>
            <w:pPr>
              <w:spacing w:after="20" w:line="252" w:lineRule="auto"/>
              <w:jc w:val="right"/>
            </w:pPr>
            <w:r>
              <w:rPr>
                <w:sz w:val="19"/>
              </w:rPr>
              <w:t>0</w:t>
            </w:r>
          </w:p>
        </w:tc>
        <w:tc>
          <w:tcPr>
            <w:tcW w:type="dxa" w:w="1406"/>
            <w:vAlign w:val="center"/>
          </w:tcPr>
          <w:p>
            <w:pPr>
              <w:spacing w:after="20" w:line="252" w:lineRule="auto"/>
              <w:jc w:val="right"/>
            </w:pPr>
            <w:r>
              <w:rPr>
                <w:sz w:val="19"/>
              </w:rPr>
              <w:t>8</w:t>
            </w:r>
          </w:p>
        </w:tc>
        <w:tc>
          <w:tcPr>
            <w:tcW w:type="dxa" w:w="1406"/>
            <w:vAlign w:val="center"/>
          </w:tcPr>
          <w:p>
            <w:pPr>
              <w:spacing w:after="20" w:line="252" w:lineRule="auto"/>
              <w:jc w:val="right"/>
            </w:pPr>
            <w:r>
              <w:rPr>
                <w:sz w:val="19"/>
              </w:rPr>
              <w:t>15</w:t>
            </w:r>
          </w:p>
        </w:tc>
        <w:tc>
          <w:tcPr>
            <w:tcW w:type="dxa" w:w="1406"/>
            <w:vAlign w:val="center"/>
          </w:tcPr>
          <w:p>
            <w:pPr>
              <w:spacing w:after="20" w:line="252" w:lineRule="auto"/>
              <w:jc w:val="right"/>
            </w:pPr>
            <w:r>
              <w:rPr>
                <w:sz w:val="19"/>
              </w:rPr>
              <w:t>15</w:t>
            </w:r>
          </w:p>
        </w:tc>
        <w:tc>
          <w:tcPr>
            <w:tcW w:type="dxa" w:w="1406"/>
            <w:vAlign w:val="center"/>
          </w:tcPr>
          <w:p>
            <w:pPr>
              <w:spacing w:after="20" w:line="252" w:lineRule="auto"/>
              <w:jc w:val="right"/>
            </w:pPr>
            <w:r>
              <w:rPr>
                <w:sz w:val="19"/>
              </w:rPr>
              <w:t>15</w:t>
            </w:r>
          </w:p>
        </w:tc>
      </w:tr>
      <w:tr>
        <w:trPr>
          <w:cantSplit/>
        </w:trPr>
        <w:tc>
          <w:tcPr>
            <w:tcW w:type="dxa" w:w="2608"/>
            <w:shd w:val="clear" w:color="auto" w:fill="FFF4EB"/>
            <w:vAlign w:val="center"/>
          </w:tcPr>
          <w:p>
            <w:pPr>
              <w:spacing w:after="20" w:line="252" w:lineRule="auto"/>
            </w:pPr>
            <w:r>
              <w:rPr>
                <w:b/>
                <w:sz w:val="19"/>
              </w:rPr>
              <w:t>Total direct jobs</w:t>
            </w:r>
          </w:p>
        </w:tc>
        <w:tc>
          <w:tcPr>
            <w:tcW w:type="dxa" w:w="1406"/>
            <w:shd w:val="clear" w:color="auto" w:fill="FFF4EB"/>
            <w:vAlign w:val="center"/>
          </w:tcPr>
          <w:p>
            <w:pPr>
              <w:spacing w:after="20" w:line="252" w:lineRule="auto"/>
              <w:jc w:val="right"/>
            </w:pPr>
            <w:r>
              <w:rPr>
                <w:b/>
                <w:sz w:val="19"/>
              </w:rPr>
              <w:t>18</w:t>
            </w:r>
          </w:p>
        </w:tc>
        <w:tc>
          <w:tcPr>
            <w:tcW w:type="dxa" w:w="1406"/>
            <w:shd w:val="clear" w:color="auto" w:fill="FFF4EB"/>
            <w:vAlign w:val="center"/>
          </w:tcPr>
          <w:p>
            <w:pPr>
              <w:spacing w:after="20" w:line="252" w:lineRule="auto"/>
              <w:jc w:val="right"/>
            </w:pPr>
            <w:r>
              <w:rPr>
                <w:b/>
                <w:sz w:val="19"/>
              </w:rPr>
              <w:t>41</w:t>
            </w:r>
          </w:p>
        </w:tc>
        <w:tc>
          <w:tcPr>
            <w:tcW w:type="dxa" w:w="1406"/>
            <w:shd w:val="clear" w:color="auto" w:fill="FFF4EB"/>
            <w:vAlign w:val="center"/>
          </w:tcPr>
          <w:p>
            <w:pPr>
              <w:spacing w:after="20" w:line="252" w:lineRule="auto"/>
              <w:jc w:val="right"/>
            </w:pPr>
            <w:r>
              <w:rPr>
                <w:b/>
                <w:sz w:val="19"/>
              </w:rPr>
              <w:t>68</w:t>
            </w:r>
          </w:p>
        </w:tc>
        <w:tc>
          <w:tcPr>
            <w:tcW w:type="dxa" w:w="1406"/>
            <w:shd w:val="clear" w:color="auto" w:fill="FFF4EB"/>
            <w:vAlign w:val="center"/>
          </w:tcPr>
          <w:p>
            <w:pPr>
              <w:spacing w:after="20" w:line="252" w:lineRule="auto"/>
              <w:jc w:val="right"/>
            </w:pPr>
            <w:r>
              <w:rPr>
                <w:b/>
                <w:sz w:val="19"/>
              </w:rPr>
              <w:t>92</w:t>
            </w:r>
          </w:p>
        </w:tc>
        <w:tc>
          <w:tcPr>
            <w:tcW w:type="dxa" w:w="1406"/>
            <w:shd w:val="clear" w:color="auto" w:fill="FFF4EB"/>
            <w:vAlign w:val="center"/>
          </w:tcPr>
          <w:p>
            <w:pPr>
              <w:spacing w:after="20" w:line="252" w:lineRule="auto"/>
              <w:jc w:val="right"/>
            </w:pPr>
            <w:r>
              <w:rPr>
                <w:b/>
                <w:sz w:val="19"/>
              </w:rPr>
              <w:t>135</w:t>
            </w:r>
          </w:p>
        </w:tc>
      </w:tr>
    </w:tbl>
    <w:p>
      <w:pPr>
        <w:spacing w:after="0" w:line="120" w:lineRule="exact"/>
      </w:pPr>
    </w:p>
    <w:p>
      <w:pPr>
        <w:spacing w:after="200"/>
      </w:pPr>
      <w:r>
        <w:rPr>
          <w:color w:val="5B6570"/>
          <w:sz w:val="17"/>
        </w:rPr>
        <w:t>Source: FluxMuse Financial Model v2 (Base case), 11 September 2026.</w:t>
      </w:r>
    </w:p>
    <w:p>
      <w:pPr>
        <w:pStyle w:val="ListBullet"/>
      </w:pPr>
      <w:r>
        <w:rPr>
          <w:b/>
        </w:rPr>
        <w:t>18 jobs by the end of FY1</w:t>
      </w:r>
      <w:r>
        <w:rPr/>
        <w:t xml:space="preserve"> and </w:t>
      </w:r>
      <w:r>
        <w:rPr>
          <w:b/>
        </w:rPr>
        <w:t>135 by FY5</w:t>
      </w:r>
      <w:r>
        <w:rPr/>
        <w:t>, from a base of two founders.</w:t>
      </w:r>
    </w:p>
    <w:p>
      <w:pPr>
        <w:pStyle w:val="ListBullet"/>
      </w:pPr>
      <w:r>
        <w:rPr>
          <w:b/>
        </w:rPr>
        <w:t>39 customer-success roles</w:t>
      </w:r>
      <w:r>
        <w:rPr/>
        <w:t xml:space="preserve"> by FY5: the most accessible entry-level positions in the plan, and the natural route into the technology sector for young people without a degree.</w:t>
      </w:r>
    </w:p>
    <w:p>
      <w:pPr>
        <w:pStyle w:val="ListBullet"/>
      </w:pPr>
      <w:r>
        <w:rPr>
          <w:b/>
        </w:rPr>
        <w:t>15 country-team roles</w:t>
      </w:r>
      <w:r>
        <w:rPr/>
        <w:t xml:space="preserve"> in Nigeria, Kenya and Ghana, all hired locally.</w:t>
      </w:r>
    </w:p>
    <w:p>
      <w:pPr>
        <w:pStyle w:val="ListBullet"/>
      </w:pPr>
      <w:r>
        <w:rPr>
          <w:b/>
        </w:rPr>
        <w:t>Indirect employment</w:t>
      </w:r>
      <w:r>
        <w:rPr/>
        <w:t xml:space="preserve"> through agency partners, who serve more clients with the same team, is not counted here. </w:t>
      </w:r>
      <w:r>
        <w:rPr>
          <w:b/>
          <w:color w:val="20242B"/>
          <w:shd w:val="clear" w:color="auto" w:fill="FFF1A8"/>
        </w:rPr>
        <w:t>[[MEASUREMENT PLAN FOR INDIRECT JOBS THROUGH PARTNERS]]</w:t>
      </w:r>
    </w:p>
    <w:p>
      <w:pPr>
        <w:pStyle w:val="Heading2"/>
      </w:pPr>
      <w:r>
        <w:rPr/>
        <w:t>Women- and youth-owned businesses</w:t>
      </w:r>
    </w:p>
    <w:p>
      <w:r>
        <w:rPr/>
        <w:t>The launch segments are weighted towards categories in which women- and youth-owned businesses are strongly represented in South Africa: beauty and braiding, fashion resale, home baking, nails and lashes, and personal training. The lead pilot case study is a braiding and hair studio.</w:t>
      </w:r>
    </w:p>
    <w:p>
      <w:r>
        <w:rPr>
          <w:b/>
        </w:rPr>
        <w:t>We do not yet have data, and will not claim any.</w:t>
      </w:r>
      <w:r>
        <w:rPr/>
        <w:t xml:space="preserve"> From the pilot onward we will measure reach with a voluntary, POPIA-compliant question at onboarding, and report: </w:t>
      </w:r>
      <w:r>
        <w:rPr>
          <w:b/>
          <w:color w:val="20242B"/>
          <w:shd w:val="clear" w:color="auto" w:fill="FFF1A8"/>
        </w:rPr>
        <w:t>[[MEASURE: % OF WORKSPACES THAT ARE WOMEN-OWNED]]</w:t>
      </w:r>
      <w:r>
        <w:rPr/>
        <w:t xml:space="preserve">, </w:t>
      </w:r>
      <w:r>
        <w:rPr>
          <w:b/>
          <w:color w:val="20242B"/>
          <w:shd w:val="clear" w:color="auto" w:fill="FFF1A8"/>
        </w:rPr>
        <w:t>[[MEASURE: % YOUTH-OWNED (OWNER UNDER 35)]]</w:t>
      </w:r>
      <w:r>
        <w:rPr/>
        <w:t xml:space="preserve">, </w:t>
      </w:r>
      <w:r>
        <w:rPr>
          <w:b/>
          <w:color w:val="20242B"/>
          <w:shd w:val="clear" w:color="auto" w:fill="FFF1A8"/>
        </w:rPr>
        <w:t>[[MEASURE: % IN TOWNSHIP OR RURAL AREAS]]</w:t>
      </w:r>
      <w:r>
        <w:rPr/>
        <w:t xml:space="preserve">, and </w:t>
      </w:r>
      <w:r>
        <w:rPr>
          <w:b/>
          <w:color w:val="20242B"/>
          <w:shd w:val="clear" w:color="auto" w:fill="FFF1A8"/>
        </w:rPr>
        <w:t>[[TARGETS AGREED WITH THE FUNDER]]</w:t>
      </w:r>
      <w:r>
        <w:rPr/>
        <w:t>.</w:t>
      </w:r>
    </w:p>
    <w:p>
      <w:pPr>
        <w:pStyle w:val="Heading2"/>
      </w:pPr>
      <w:r>
        <w:rPr/>
        <w:t>Transformation and B-BBEE</w:t>
      </w: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transformation details"/>
      </w:tblPr>
      <w:tblGrid>
        <w:gridCol w:w="3061"/>
        <w:gridCol w:w="6576"/>
      </w:tblGrid>
      <w:tr>
        <w:trPr>
          <w:cantSplit/>
        </w:trPr>
        <w:tc>
          <w:tcPr>
            <w:tcW w:type="dxa" w:w="3061"/>
            <w:shd w:val="clear" w:color="auto" w:fill="F3F4F6"/>
            <w:vAlign w:val="center"/>
          </w:tcPr>
          <w:p>
            <w:pPr>
              <w:spacing w:after="20" w:line="252" w:lineRule="auto"/>
            </w:pPr>
            <w:r>
              <w:rPr>
                <w:b/>
                <w:sz w:val="20"/>
              </w:rPr>
              <w:t>B-BBEE level</w:t>
            </w:r>
          </w:p>
        </w:tc>
        <w:tc>
          <w:tcPr>
            <w:tcW w:type="dxa" w:w="6576"/>
            <w:vAlign w:val="center"/>
          </w:tcPr>
          <w:p>
            <w:pPr>
              <w:spacing w:after="20" w:line="252" w:lineRule="auto"/>
            </w:pPr>
            <w:r>
              <w:rPr>
                <w:b/>
                <w:color w:val="20242B"/>
                <w:sz w:val="20"/>
                <w:shd w:val="clear" w:color="auto" w:fill="FFF1A8"/>
              </w:rPr>
              <w:t>[[B-BBEE LEVEL AND VERIFICATION DATE]]</w:t>
            </w:r>
          </w:p>
        </w:tc>
      </w:tr>
      <w:tr>
        <w:trPr>
          <w:cantSplit/>
        </w:trPr>
        <w:tc>
          <w:tcPr>
            <w:tcW w:type="dxa" w:w="3061"/>
            <w:shd w:val="clear" w:color="auto" w:fill="F3F4F6"/>
            <w:vAlign w:val="center"/>
          </w:tcPr>
          <w:p>
            <w:pPr>
              <w:spacing w:after="20" w:line="252" w:lineRule="auto"/>
            </w:pPr>
            <w:r>
              <w:rPr>
                <w:b/>
                <w:sz w:val="20"/>
              </w:rPr>
              <w:t>Ownership</w:t>
            </w:r>
          </w:p>
        </w:tc>
        <w:tc>
          <w:tcPr>
            <w:tcW w:type="dxa" w:w="6576"/>
            <w:vAlign w:val="center"/>
          </w:tcPr>
          <w:p>
            <w:pPr>
              <w:spacing w:after="20" w:line="252" w:lineRule="auto"/>
            </w:pPr>
            <w:r>
              <w:rPr>
                <w:b/>
                <w:color w:val="20242B"/>
                <w:sz w:val="20"/>
                <w:shd w:val="clear" w:color="auto" w:fill="FFF1A8"/>
              </w:rPr>
              <w:t>[[BLACK OWNERSHIP %, BLACK WOMEN OWNERSHIP %]]</w:t>
            </w:r>
          </w:p>
        </w:tc>
      </w:tr>
      <w:tr>
        <w:trPr>
          <w:cantSplit/>
        </w:trPr>
        <w:tc>
          <w:tcPr>
            <w:tcW w:type="dxa" w:w="3061"/>
            <w:shd w:val="clear" w:color="auto" w:fill="F3F4F6"/>
            <w:vAlign w:val="center"/>
          </w:tcPr>
          <w:p>
            <w:pPr>
              <w:spacing w:after="20" w:line="252" w:lineRule="auto"/>
            </w:pPr>
            <w:r>
              <w:rPr>
                <w:b/>
                <w:sz w:val="20"/>
              </w:rPr>
              <w:t>Employment equity</w:t>
            </w:r>
          </w:p>
        </w:tc>
        <w:tc>
          <w:tcPr>
            <w:tcW w:type="dxa" w:w="6576"/>
            <w:vAlign w:val="center"/>
          </w:tcPr>
          <w:p>
            <w:pPr>
              <w:spacing w:after="20" w:line="252" w:lineRule="auto"/>
            </w:pPr>
            <w:r>
              <w:rPr>
                <w:b/>
                <w:color w:val="20242B"/>
                <w:sz w:val="20"/>
                <w:shd w:val="clear" w:color="auto" w:fill="FFF1A8"/>
              </w:rPr>
              <w:t>[[EMPLOYMENT EQUITY PROFILE AND TARGETS FOR THE HIRING PLAN]]</w:t>
            </w:r>
          </w:p>
        </w:tc>
      </w:tr>
      <w:tr>
        <w:trPr>
          <w:cantSplit/>
        </w:trPr>
        <w:tc>
          <w:tcPr>
            <w:tcW w:type="dxa" w:w="3061"/>
            <w:shd w:val="clear" w:color="auto" w:fill="F3F4F6"/>
            <w:vAlign w:val="center"/>
          </w:tcPr>
          <w:p>
            <w:pPr>
              <w:spacing w:after="20" w:line="252" w:lineRule="auto"/>
            </w:pPr>
            <w:r>
              <w:rPr>
                <w:b/>
                <w:sz w:val="20"/>
              </w:rPr>
              <w:t>Skills development</w:t>
            </w:r>
          </w:p>
        </w:tc>
        <w:tc>
          <w:tcPr>
            <w:tcW w:type="dxa" w:w="6576"/>
            <w:vAlign w:val="center"/>
          </w:tcPr>
          <w:p>
            <w:pPr>
              <w:spacing w:after="20" w:line="252" w:lineRule="auto"/>
            </w:pPr>
            <w:r>
              <w:rPr>
                <w:b/>
                <w:color w:val="20242B"/>
                <w:sz w:val="20"/>
                <w:shd w:val="clear" w:color="auto" w:fill="FFF1A8"/>
              </w:rPr>
              <w:t>[[SKILLS DEVELOPMENT / LEARNERSHIP PLAN, IF ANY]]</w:t>
            </w:r>
          </w:p>
        </w:tc>
      </w:tr>
      <w:tr>
        <w:trPr>
          <w:cantSplit/>
        </w:trPr>
        <w:tc>
          <w:tcPr>
            <w:tcW w:type="dxa" w:w="3061"/>
            <w:shd w:val="clear" w:color="auto" w:fill="F3F4F6"/>
            <w:vAlign w:val="center"/>
          </w:tcPr>
          <w:p>
            <w:pPr>
              <w:spacing w:after="20" w:line="252" w:lineRule="auto"/>
            </w:pPr>
            <w:r>
              <w:rPr>
                <w:b/>
                <w:sz w:val="20"/>
              </w:rPr>
              <w:t>Enterprise and supplier development</w:t>
            </w:r>
          </w:p>
        </w:tc>
        <w:tc>
          <w:tcPr>
            <w:tcW w:type="dxa" w:w="6576"/>
            <w:vAlign w:val="center"/>
          </w:tcPr>
          <w:p>
            <w:pPr>
              <w:spacing w:after="20" w:line="252" w:lineRule="auto"/>
            </w:pPr>
            <w:r>
              <w:rPr>
                <w:b/>
                <w:color w:val="20242B"/>
                <w:sz w:val="20"/>
                <w:shd w:val="clear" w:color="auto" w:fill="FFF1A8"/>
              </w:rPr>
              <w:t>[[WHETHER THE PLATFORM QUALIFIES AS AN ESD CONTRIBUTION FOR CORPORATE PARTNERS]]</w:t>
            </w:r>
          </w:p>
        </w:tc>
      </w:tr>
    </w:tbl>
    <w:p>
      <w:pPr>
        <w:spacing w:after="0" w:line="120" w:lineRule="exact"/>
      </w:pPr>
    </w:p>
    <w:p>
      <w:pPr>
        <w:spacing w:after="160"/>
      </w:pPr>
      <w:r>
        <w:rPr>
          <w:i/>
          <w:color w:val="5B6570"/>
          <w:sz w:val="18"/>
        </w:rPr>
        <w:t>These fields must be completed from verified records. Do not estimate a B-BBEE level.</w:t>
      </w:r>
    </w:p>
    <w:p>
      <w:pPr>
        <w:pStyle w:val="Heading2"/>
      </w:pPr>
      <w:r>
        <w:rPr/>
        <w:t>How impact will be reported</w:t>
      </w:r>
    </w:p>
    <w:p>
      <w:pPr>
        <w:pStyle w:val="ListBullet"/>
      </w:pPr>
      <w:r>
        <w:rPr/>
        <w:t xml:space="preserve">Impact metrics reported </w:t>
      </w:r>
      <w:r>
        <w:rPr>
          <w:b/>
        </w:rPr>
        <w:t>quarterly</w:t>
      </w:r>
      <w:r>
        <w:rPr/>
        <w:t xml:space="preserve"> alongside the monthly KPI dashboard.</w:t>
      </w:r>
    </w:p>
    <w:p>
      <w:pPr>
        <w:pStyle w:val="ListBullet"/>
      </w:pPr>
      <w:r>
        <w:rPr/>
        <w:t>Customer-level figures aggregated and anonymised; no brand named without written consent; customer names and phone numbers blurred in any screenshot (POPIA).</w:t>
      </w:r>
    </w:p>
    <w:p>
      <w:pPr>
        <w:pStyle w:val="ListBullet"/>
      </w:pPr>
      <w:r>
        <w:rPr/>
        <w:t>Aggregate pilot results reported only where at least 8 of the 12 brands provide data, stating the period and how each figure was measured.</w:t>
      </w:r>
    </w:p>
    <w:p>
      <w:pPr>
        <w:pStyle w:val="ListBullet"/>
      </w:pPr>
      <w:r>
        <w:rPr>
          <w:b/>
          <w:color w:val="20242B"/>
          <w:shd w:val="clear" w:color="auto" w:fill="FFF1A8"/>
        </w:rPr>
        <w:t>[[IMPACT REPORTING FORMAT AND FREQUENCY AGREED WITH THE FUNDER]]</w:t>
      </w:r>
    </w:p>
    <w:p>
      <w:pPr>
        <w:pStyle w:val="Heading1"/>
        <w:pageBreakBefore/>
      </w:pPr>
      <w:r>
        <w:rPr/>
        <w:t>Appendix A. Pricing tables</w:t>
      </w:r>
    </w:p>
    <w:p>
      <w:pPr>
        <w:pStyle w:val="Heading2"/>
      </w:pPr>
      <w:r>
        <w:rPr/>
        <w:t>Monthly prices by market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Monthly prices by market"/>
      </w:tblPr>
      <w:tblGrid>
        <w:gridCol w:w="1474"/>
        <w:gridCol w:w="1644"/>
        <w:gridCol w:w="1644"/>
        <w:gridCol w:w="1644"/>
        <w:gridCol w:w="1644"/>
        <w:gridCol w:w="1587"/>
      </w:tblGrid>
      <w:tr>
        <w:trPr>
          <w:cantSplit/>
          <w:tblHeader/>
        </w:trPr>
        <w:tc>
          <w:tcPr>
            <w:tcW w:type="dxa" w:w="1474"/>
            <w:shd w:val="clear" w:color="auto" w:fill="FF6A00"/>
            <w:vAlign w:val="center"/>
          </w:tcPr>
          <w:p>
            <w:pPr>
              <w:keepNext/>
              <w:spacing w:after="20" w:line="252" w:lineRule="auto"/>
            </w:pPr>
            <w:r>
              <w:rPr>
                <w:rFonts w:ascii="Poppins" w:hAnsi="Poppins" w:cs="Poppins" w:eastAsia="Poppins"/>
                <w:b/>
                <w:color w:val="20242B"/>
                <w:sz w:val="18"/>
              </w:rPr>
              <w:t>Plan</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South Africa (ZAR)</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Nigeria (NGN)</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Kenya (KES)</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Ghana (GHS)</w:t>
            </w:r>
          </w:p>
        </w:tc>
        <w:tc>
          <w:tcPr>
            <w:tcW w:type="dxa" w:w="1587"/>
            <w:shd w:val="clear" w:color="auto" w:fill="FF6A00"/>
            <w:vAlign w:val="center"/>
          </w:tcPr>
          <w:p>
            <w:pPr>
              <w:keepNext/>
              <w:spacing w:after="20" w:line="252" w:lineRule="auto"/>
              <w:jc w:val="right"/>
            </w:pPr>
            <w:r>
              <w:rPr>
                <w:rFonts w:ascii="Poppins" w:hAnsi="Poppins" w:cs="Poppins" w:eastAsia="Poppins"/>
                <w:b/>
                <w:color w:val="20242B"/>
                <w:sz w:val="18"/>
              </w:rPr>
              <w:t>USD markets</w:t>
            </w:r>
          </w:p>
        </w:tc>
      </w:tr>
      <w:tr>
        <w:trPr>
          <w:cantSplit/>
        </w:trPr>
        <w:tc>
          <w:tcPr>
            <w:tcW w:type="dxa" w:w="1474"/>
            <w:vAlign w:val="center"/>
          </w:tcPr>
          <w:p>
            <w:pPr>
              <w:spacing w:after="20" w:line="252" w:lineRule="auto"/>
            </w:pPr>
            <w:r>
              <w:rPr>
                <w:b/>
                <w:sz w:val="18"/>
              </w:rPr>
              <w:t>Starter</w:t>
            </w:r>
          </w:p>
        </w:tc>
        <w:tc>
          <w:tcPr>
            <w:tcW w:type="dxa" w:w="1644"/>
            <w:vAlign w:val="center"/>
          </w:tcPr>
          <w:p>
            <w:pPr>
              <w:spacing w:after="20" w:line="252" w:lineRule="auto"/>
              <w:jc w:val="right"/>
            </w:pPr>
            <w:r>
              <w:rPr>
                <w:sz w:val="18"/>
              </w:rPr>
              <w:t>R499</w:t>
            </w:r>
          </w:p>
        </w:tc>
        <w:tc>
          <w:tcPr>
            <w:tcW w:type="dxa" w:w="1644"/>
            <w:vAlign w:val="center"/>
          </w:tcPr>
          <w:p>
            <w:pPr>
              <w:spacing w:after="20" w:line="252" w:lineRule="auto"/>
              <w:jc w:val="right"/>
            </w:pPr>
            <w:r>
              <w:rPr>
                <w:sz w:val="18"/>
              </w:rPr>
              <w:t>₦41,000</w:t>
            </w:r>
          </w:p>
        </w:tc>
        <w:tc>
          <w:tcPr>
            <w:tcW w:type="dxa" w:w="1644"/>
            <w:vAlign w:val="center"/>
          </w:tcPr>
          <w:p>
            <w:pPr>
              <w:spacing w:after="20" w:line="252" w:lineRule="auto"/>
              <w:jc w:val="right"/>
            </w:pPr>
            <w:r>
              <w:rPr>
                <w:sz w:val="18"/>
              </w:rPr>
              <w:t>KSh 3,999</w:t>
            </w:r>
          </w:p>
        </w:tc>
        <w:tc>
          <w:tcPr>
            <w:tcW w:type="dxa" w:w="1644"/>
            <w:vAlign w:val="center"/>
          </w:tcPr>
          <w:p>
            <w:pPr>
              <w:spacing w:after="20" w:line="252" w:lineRule="auto"/>
              <w:jc w:val="right"/>
            </w:pPr>
            <w:r>
              <w:rPr>
                <w:sz w:val="18"/>
              </w:rPr>
              <w:t>GH₵ 339</w:t>
            </w:r>
          </w:p>
        </w:tc>
        <w:tc>
          <w:tcPr>
            <w:tcW w:type="dxa" w:w="1587"/>
            <w:vAlign w:val="center"/>
          </w:tcPr>
          <w:p>
            <w:pPr>
              <w:spacing w:after="20" w:line="252" w:lineRule="auto"/>
              <w:jc w:val="right"/>
            </w:pPr>
            <w:r>
              <w:rPr>
                <w:sz w:val="18"/>
              </w:rPr>
              <w:t>$27</w:t>
            </w:r>
          </w:p>
        </w:tc>
      </w:tr>
      <w:tr>
        <w:trPr>
          <w:cantSplit/>
        </w:trPr>
        <w:tc>
          <w:tcPr>
            <w:tcW w:type="dxa" w:w="1474"/>
            <w:shd w:val="clear" w:color="auto" w:fill="FAFAFB"/>
            <w:vAlign w:val="center"/>
          </w:tcPr>
          <w:p>
            <w:pPr>
              <w:spacing w:after="20" w:line="252" w:lineRule="auto"/>
            </w:pPr>
            <w:r>
              <w:rPr>
                <w:b/>
                <w:sz w:val="18"/>
              </w:rPr>
              <w:t>Growth</w:t>
            </w:r>
          </w:p>
        </w:tc>
        <w:tc>
          <w:tcPr>
            <w:tcW w:type="dxa" w:w="1644"/>
            <w:shd w:val="clear" w:color="auto" w:fill="FAFAFB"/>
            <w:vAlign w:val="center"/>
          </w:tcPr>
          <w:p>
            <w:pPr>
              <w:spacing w:after="20" w:line="252" w:lineRule="auto"/>
              <w:jc w:val="right"/>
            </w:pPr>
            <w:r>
              <w:rPr>
                <w:sz w:val="18"/>
              </w:rPr>
              <w:t>R1,999</w:t>
            </w:r>
          </w:p>
        </w:tc>
        <w:tc>
          <w:tcPr>
            <w:tcW w:type="dxa" w:w="1644"/>
            <w:shd w:val="clear" w:color="auto" w:fill="FAFAFB"/>
            <w:vAlign w:val="center"/>
          </w:tcPr>
          <w:p>
            <w:pPr>
              <w:spacing w:after="20" w:line="252" w:lineRule="auto"/>
              <w:jc w:val="right"/>
            </w:pPr>
            <w:r>
              <w:rPr>
                <w:sz w:val="18"/>
              </w:rPr>
              <w:t>₦165,000</w:t>
            </w:r>
          </w:p>
        </w:tc>
        <w:tc>
          <w:tcPr>
            <w:tcW w:type="dxa" w:w="1644"/>
            <w:shd w:val="clear" w:color="auto" w:fill="FAFAFB"/>
            <w:vAlign w:val="center"/>
          </w:tcPr>
          <w:p>
            <w:pPr>
              <w:spacing w:after="20" w:line="252" w:lineRule="auto"/>
              <w:jc w:val="right"/>
            </w:pPr>
            <w:r>
              <w:rPr>
                <w:sz w:val="18"/>
              </w:rPr>
              <w:t>KSh 15,999</w:t>
            </w:r>
          </w:p>
        </w:tc>
        <w:tc>
          <w:tcPr>
            <w:tcW w:type="dxa" w:w="1644"/>
            <w:shd w:val="clear" w:color="auto" w:fill="FAFAFB"/>
            <w:vAlign w:val="center"/>
          </w:tcPr>
          <w:p>
            <w:pPr>
              <w:spacing w:after="20" w:line="252" w:lineRule="auto"/>
              <w:jc w:val="right"/>
            </w:pPr>
            <w:r>
              <w:rPr>
                <w:sz w:val="18"/>
              </w:rPr>
              <w:t>GH₵ 1,359</w:t>
            </w:r>
          </w:p>
        </w:tc>
        <w:tc>
          <w:tcPr>
            <w:tcW w:type="dxa" w:w="1587"/>
            <w:shd w:val="clear" w:color="auto" w:fill="FAFAFB"/>
            <w:vAlign w:val="center"/>
          </w:tcPr>
          <w:p>
            <w:pPr>
              <w:spacing w:after="20" w:line="252" w:lineRule="auto"/>
              <w:jc w:val="right"/>
            </w:pPr>
            <w:r>
              <w:rPr>
                <w:sz w:val="18"/>
              </w:rPr>
              <w:t>$109</w:t>
            </w:r>
          </w:p>
        </w:tc>
      </w:tr>
      <w:tr>
        <w:trPr>
          <w:cantSplit/>
        </w:trPr>
        <w:tc>
          <w:tcPr>
            <w:tcW w:type="dxa" w:w="1474"/>
            <w:vAlign w:val="center"/>
          </w:tcPr>
          <w:p>
            <w:pPr>
              <w:spacing w:after="20" w:line="252" w:lineRule="auto"/>
            </w:pPr>
            <w:r>
              <w:rPr>
                <w:b/>
                <w:sz w:val="18"/>
              </w:rPr>
              <w:t>Scale</w:t>
            </w:r>
          </w:p>
        </w:tc>
        <w:tc>
          <w:tcPr>
            <w:tcW w:type="dxa" w:w="1644"/>
            <w:vAlign w:val="center"/>
          </w:tcPr>
          <w:p>
            <w:pPr>
              <w:spacing w:after="20" w:line="252" w:lineRule="auto"/>
              <w:jc w:val="right"/>
            </w:pPr>
            <w:r>
              <w:rPr>
                <w:sz w:val="18"/>
              </w:rPr>
              <w:t>R4,999</w:t>
            </w:r>
          </w:p>
        </w:tc>
        <w:tc>
          <w:tcPr>
            <w:tcW w:type="dxa" w:w="1644"/>
            <w:vAlign w:val="center"/>
          </w:tcPr>
          <w:p>
            <w:pPr>
              <w:spacing w:after="20" w:line="252" w:lineRule="auto"/>
              <w:jc w:val="right"/>
            </w:pPr>
            <w:r>
              <w:rPr>
                <w:sz w:val="18"/>
              </w:rPr>
              <w:t>₦413,000</w:t>
            </w:r>
          </w:p>
        </w:tc>
        <w:tc>
          <w:tcPr>
            <w:tcW w:type="dxa" w:w="1644"/>
            <w:vAlign w:val="center"/>
          </w:tcPr>
          <w:p>
            <w:pPr>
              <w:spacing w:after="20" w:line="252" w:lineRule="auto"/>
              <w:jc w:val="right"/>
            </w:pPr>
            <w:r>
              <w:rPr>
                <w:sz w:val="18"/>
              </w:rPr>
              <w:t>KSh 39,999</w:t>
            </w:r>
          </w:p>
        </w:tc>
        <w:tc>
          <w:tcPr>
            <w:tcW w:type="dxa" w:w="1644"/>
            <w:vAlign w:val="center"/>
          </w:tcPr>
          <w:p>
            <w:pPr>
              <w:spacing w:after="20" w:line="252" w:lineRule="auto"/>
              <w:jc w:val="right"/>
            </w:pPr>
            <w:r>
              <w:rPr>
                <w:sz w:val="18"/>
              </w:rPr>
              <w:t>GH₵ 3,399</w:t>
            </w:r>
          </w:p>
        </w:tc>
        <w:tc>
          <w:tcPr>
            <w:tcW w:type="dxa" w:w="1587"/>
            <w:vAlign w:val="center"/>
          </w:tcPr>
          <w:p>
            <w:pPr>
              <w:spacing w:after="20" w:line="252" w:lineRule="auto"/>
              <w:jc w:val="right"/>
            </w:pPr>
            <w:r>
              <w:rPr>
                <w:sz w:val="18"/>
              </w:rPr>
              <w:t>$269</w:t>
            </w:r>
          </w:p>
        </w:tc>
      </w:tr>
      <w:tr>
        <w:trPr>
          <w:cantSplit/>
        </w:trPr>
        <w:tc>
          <w:tcPr>
            <w:tcW w:type="dxa" w:w="1474"/>
            <w:shd w:val="clear" w:color="auto" w:fill="FAFAFB"/>
            <w:vAlign w:val="center"/>
          </w:tcPr>
          <w:p>
            <w:pPr>
              <w:spacing w:after="20" w:line="252" w:lineRule="auto"/>
            </w:pPr>
            <w:r>
              <w:rPr>
                <w:b/>
                <w:sz w:val="18"/>
              </w:rPr>
              <w:t>Agency</w:t>
            </w:r>
          </w:p>
        </w:tc>
        <w:tc>
          <w:tcPr>
            <w:tcW w:type="dxa" w:w="1644"/>
            <w:shd w:val="clear" w:color="auto" w:fill="FAFAFB"/>
            <w:vAlign w:val="center"/>
          </w:tcPr>
          <w:p>
            <w:pPr>
              <w:spacing w:after="20" w:line="252" w:lineRule="auto"/>
              <w:jc w:val="right"/>
            </w:pPr>
            <w:r>
              <w:rPr>
                <w:sz w:val="18"/>
              </w:rPr>
              <w:t>R7,999</w:t>
            </w:r>
          </w:p>
        </w:tc>
        <w:tc>
          <w:tcPr>
            <w:tcW w:type="dxa" w:w="1644"/>
            <w:shd w:val="clear" w:color="auto" w:fill="FAFAFB"/>
            <w:vAlign w:val="center"/>
          </w:tcPr>
          <w:p>
            <w:pPr>
              <w:spacing w:after="20" w:line="252" w:lineRule="auto"/>
              <w:jc w:val="right"/>
            </w:pPr>
            <w:r>
              <w:rPr>
                <w:sz w:val="18"/>
              </w:rPr>
              <w:t>₦662,000</w:t>
            </w:r>
          </w:p>
        </w:tc>
        <w:tc>
          <w:tcPr>
            <w:tcW w:type="dxa" w:w="1644"/>
            <w:shd w:val="clear" w:color="auto" w:fill="FAFAFB"/>
            <w:vAlign w:val="center"/>
          </w:tcPr>
          <w:p>
            <w:pPr>
              <w:spacing w:after="20" w:line="252" w:lineRule="auto"/>
              <w:jc w:val="right"/>
            </w:pPr>
            <w:r>
              <w:rPr>
                <w:sz w:val="18"/>
              </w:rPr>
              <w:t>KSh 64,499</w:t>
            </w:r>
          </w:p>
        </w:tc>
        <w:tc>
          <w:tcPr>
            <w:tcW w:type="dxa" w:w="1644"/>
            <w:shd w:val="clear" w:color="auto" w:fill="FAFAFB"/>
            <w:vAlign w:val="center"/>
          </w:tcPr>
          <w:p>
            <w:pPr>
              <w:spacing w:after="20" w:line="252" w:lineRule="auto"/>
              <w:jc w:val="right"/>
            </w:pPr>
            <w:r>
              <w:rPr>
                <w:sz w:val="18"/>
              </w:rPr>
              <w:t>GH₵ 5,439</w:t>
            </w:r>
          </w:p>
        </w:tc>
        <w:tc>
          <w:tcPr>
            <w:tcW w:type="dxa" w:w="1587"/>
            <w:shd w:val="clear" w:color="auto" w:fill="FAFAFB"/>
            <w:vAlign w:val="center"/>
          </w:tcPr>
          <w:p>
            <w:pPr>
              <w:spacing w:after="20" w:line="252" w:lineRule="auto"/>
              <w:jc w:val="right"/>
            </w:pPr>
            <w:r>
              <w:rPr>
                <w:sz w:val="18"/>
              </w:rPr>
              <w:t>$429</w:t>
            </w:r>
          </w:p>
        </w:tc>
      </w:tr>
      <w:tr>
        <w:trPr>
          <w:cantSplit/>
        </w:trPr>
        <w:tc>
          <w:tcPr>
            <w:tcW w:type="dxa" w:w="1474"/>
            <w:vAlign w:val="center"/>
          </w:tcPr>
          <w:p>
            <w:pPr>
              <w:spacing w:after="20" w:line="252" w:lineRule="auto"/>
            </w:pPr>
            <w:r>
              <w:rPr>
                <w:b/>
                <w:sz w:val="18"/>
              </w:rPr>
              <w:t>Enterprise (from)</w:t>
            </w:r>
          </w:p>
        </w:tc>
        <w:tc>
          <w:tcPr>
            <w:tcW w:type="dxa" w:w="1644"/>
            <w:vAlign w:val="center"/>
          </w:tcPr>
          <w:p>
            <w:pPr>
              <w:spacing w:after="20" w:line="252" w:lineRule="auto"/>
              <w:jc w:val="right"/>
            </w:pPr>
            <w:r>
              <w:rPr>
                <w:sz w:val="18"/>
              </w:rPr>
              <w:t>R19,999</w:t>
            </w:r>
          </w:p>
        </w:tc>
        <w:tc>
          <w:tcPr>
            <w:tcW w:type="dxa" w:w="1644"/>
            <w:vAlign w:val="center"/>
          </w:tcPr>
          <w:p>
            <w:pPr>
              <w:spacing w:after="20" w:line="252" w:lineRule="auto"/>
              <w:jc w:val="right"/>
            </w:pPr>
            <w:r>
              <w:rPr>
                <w:sz w:val="18"/>
              </w:rPr>
              <w:t>₦1,650,000</w:t>
            </w:r>
          </w:p>
        </w:tc>
        <w:tc>
          <w:tcPr>
            <w:tcW w:type="dxa" w:w="1644"/>
            <w:vAlign w:val="center"/>
          </w:tcPr>
          <w:p>
            <w:pPr>
              <w:spacing w:after="20" w:line="252" w:lineRule="auto"/>
              <w:jc w:val="right"/>
            </w:pPr>
            <w:r>
              <w:rPr>
                <w:sz w:val="18"/>
              </w:rPr>
              <w:t>KSh 161,000</w:t>
            </w:r>
          </w:p>
        </w:tc>
        <w:tc>
          <w:tcPr>
            <w:tcW w:type="dxa" w:w="1644"/>
            <w:vAlign w:val="center"/>
          </w:tcPr>
          <w:p>
            <w:pPr>
              <w:spacing w:after="20" w:line="252" w:lineRule="auto"/>
              <w:jc w:val="right"/>
            </w:pPr>
            <w:r>
              <w:rPr>
                <w:sz w:val="18"/>
              </w:rPr>
              <w:t>GH₵ 13,600</w:t>
            </w:r>
          </w:p>
        </w:tc>
        <w:tc>
          <w:tcPr>
            <w:tcW w:type="dxa" w:w="1587"/>
            <w:vAlign w:val="center"/>
          </w:tcPr>
          <w:p>
            <w:pPr>
              <w:spacing w:after="20" w:line="252" w:lineRule="auto"/>
              <w:jc w:val="right"/>
            </w:pPr>
            <w:r>
              <w:rPr>
                <w:sz w:val="18"/>
              </w:rPr>
              <w:t>$1,099</w:t>
            </w:r>
          </w:p>
        </w:tc>
      </w:tr>
    </w:tbl>
    <w:p>
      <w:pPr>
        <w:spacing w:after="0" w:line="120" w:lineRule="exact"/>
      </w:pPr>
    </w:p>
    <w:p>
      <w:pPr>
        <w:pStyle w:val="Heading2"/>
      </w:pPr>
      <w:r>
        <w:rPr/>
        <w:t>Annual prices (10× monthly)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nnual prices by market"/>
      </w:tblPr>
      <w:tblGrid>
        <w:gridCol w:w="1474"/>
        <w:gridCol w:w="1644"/>
        <w:gridCol w:w="1644"/>
        <w:gridCol w:w="1644"/>
        <w:gridCol w:w="1644"/>
        <w:gridCol w:w="1587"/>
      </w:tblGrid>
      <w:tr>
        <w:trPr>
          <w:cantSplit/>
          <w:tblHeader/>
        </w:trPr>
        <w:tc>
          <w:tcPr>
            <w:tcW w:type="dxa" w:w="1474"/>
            <w:shd w:val="clear" w:color="auto" w:fill="FF6A00"/>
            <w:vAlign w:val="center"/>
          </w:tcPr>
          <w:p>
            <w:pPr>
              <w:keepNext/>
              <w:spacing w:after="20" w:line="252" w:lineRule="auto"/>
            </w:pPr>
            <w:r>
              <w:rPr>
                <w:rFonts w:ascii="Poppins" w:hAnsi="Poppins" w:cs="Poppins" w:eastAsia="Poppins"/>
                <w:b/>
                <w:color w:val="20242B"/>
                <w:sz w:val="18"/>
              </w:rPr>
              <w:t>Plan</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South Africa (ZAR)</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Nigeria (NGN)</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Kenya (KES)</w:t>
            </w:r>
          </w:p>
        </w:tc>
        <w:tc>
          <w:tcPr>
            <w:tcW w:type="dxa" w:w="1644"/>
            <w:shd w:val="clear" w:color="auto" w:fill="FF6A00"/>
            <w:vAlign w:val="center"/>
          </w:tcPr>
          <w:p>
            <w:pPr>
              <w:keepNext/>
              <w:spacing w:after="20" w:line="252" w:lineRule="auto"/>
              <w:jc w:val="right"/>
            </w:pPr>
            <w:r>
              <w:rPr>
                <w:rFonts w:ascii="Poppins" w:hAnsi="Poppins" w:cs="Poppins" w:eastAsia="Poppins"/>
                <w:b/>
                <w:color w:val="20242B"/>
                <w:sz w:val="18"/>
              </w:rPr>
              <w:t>Ghana (GHS)</w:t>
            </w:r>
          </w:p>
        </w:tc>
        <w:tc>
          <w:tcPr>
            <w:tcW w:type="dxa" w:w="1587"/>
            <w:shd w:val="clear" w:color="auto" w:fill="FF6A00"/>
            <w:vAlign w:val="center"/>
          </w:tcPr>
          <w:p>
            <w:pPr>
              <w:keepNext/>
              <w:spacing w:after="20" w:line="252" w:lineRule="auto"/>
              <w:jc w:val="right"/>
            </w:pPr>
            <w:r>
              <w:rPr>
                <w:rFonts w:ascii="Poppins" w:hAnsi="Poppins" w:cs="Poppins" w:eastAsia="Poppins"/>
                <w:b/>
                <w:color w:val="20242B"/>
                <w:sz w:val="18"/>
              </w:rPr>
              <w:t>USD markets</w:t>
            </w:r>
          </w:p>
        </w:tc>
      </w:tr>
      <w:tr>
        <w:trPr>
          <w:cantSplit/>
        </w:trPr>
        <w:tc>
          <w:tcPr>
            <w:tcW w:type="dxa" w:w="1474"/>
            <w:vAlign w:val="center"/>
          </w:tcPr>
          <w:p>
            <w:pPr>
              <w:spacing w:after="20" w:line="252" w:lineRule="auto"/>
            </w:pPr>
            <w:r>
              <w:rPr>
                <w:b/>
                <w:sz w:val="18"/>
              </w:rPr>
              <w:t>Starter</w:t>
            </w:r>
          </w:p>
        </w:tc>
        <w:tc>
          <w:tcPr>
            <w:tcW w:type="dxa" w:w="1644"/>
            <w:vAlign w:val="center"/>
          </w:tcPr>
          <w:p>
            <w:pPr>
              <w:spacing w:after="20" w:line="252" w:lineRule="auto"/>
              <w:jc w:val="right"/>
            </w:pPr>
            <w:r>
              <w:rPr>
                <w:sz w:val="18"/>
              </w:rPr>
              <w:t>R4,990</w:t>
            </w:r>
          </w:p>
        </w:tc>
        <w:tc>
          <w:tcPr>
            <w:tcW w:type="dxa" w:w="1644"/>
            <w:vAlign w:val="center"/>
          </w:tcPr>
          <w:p>
            <w:pPr>
              <w:spacing w:after="20" w:line="252" w:lineRule="auto"/>
              <w:jc w:val="right"/>
            </w:pPr>
            <w:r>
              <w:rPr>
                <w:sz w:val="18"/>
              </w:rPr>
              <w:t>₦410,000</w:t>
            </w:r>
          </w:p>
        </w:tc>
        <w:tc>
          <w:tcPr>
            <w:tcW w:type="dxa" w:w="1644"/>
            <w:vAlign w:val="center"/>
          </w:tcPr>
          <w:p>
            <w:pPr>
              <w:spacing w:after="20" w:line="252" w:lineRule="auto"/>
              <w:jc w:val="right"/>
            </w:pPr>
            <w:r>
              <w:rPr>
                <w:sz w:val="18"/>
              </w:rPr>
              <w:t>KSh 39,990</w:t>
            </w:r>
          </w:p>
        </w:tc>
        <w:tc>
          <w:tcPr>
            <w:tcW w:type="dxa" w:w="1644"/>
            <w:vAlign w:val="center"/>
          </w:tcPr>
          <w:p>
            <w:pPr>
              <w:spacing w:after="20" w:line="252" w:lineRule="auto"/>
              <w:jc w:val="right"/>
            </w:pPr>
            <w:r>
              <w:rPr>
                <w:sz w:val="18"/>
              </w:rPr>
              <w:t>GH₵ 3,390</w:t>
            </w:r>
          </w:p>
        </w:tc>
        <w:tc>
          <w:tcPr>
            <w:tcW w:type="dxa" w:w="1587"/>
            <w:vAlign w:val="center"/>
          </w:tcPr>
          <w:p>
            <w:pPr>
              <w:spacing w:after="20" w:line="252" w:lineRule="auto"/>
              <w:jc w:val="right"/>
            </w:pPr>
            <w:r>
              <w:rPr>
                <w:sz w:val="18"/>
              </w:rPr>
              <w:t>$270</w:t>
            </w:r>
          </w:p>
        </w:tc>
      </w:tr>
      <w:tr>
        <w:trPr>
          <w:cantSplit/>
        </w:trPr>
        <w:tc>
          <w:tcPr>
            <w:tcW w:type="dxa" w:w="1474"/>
            <w:shd w:val="clear" w:color="auto" w:fill="FAFAFB"/>
            <w:vAlign w:val="center"/>
          </w:tcPr>
          <w:p>
            <w:pPr>
              <w:spacing w:after="20" w:line="252" w:lineRule="auto"/>
            </w:pPr>
            <w:r>
              <w:rPr>
                <w:b/>
                <w:sz w:val="18"/>
              </w:rPr>
              <w:t>Growth</w:t>
            </w:r>
          </w:p>
        </w:tc>
        <w:tc>
          <w:tcPr>
            <w:tcW w:type="dxa" w:w="1644"/>
            <w:shd w:val="clear" w:color="auto" w:fill="FAFAFB"/>
            <w:vAlign w:val="center"/>
          </w:tcPr>
          <w:p>
            <w:pPr>
              <w:spacing w:after="20" w:line="252" w:lineRule="auto"/>
              <w:jc w:val="right"/>
            </w:pPr>
            <w:r>
              <w:rPr>
                <w:sz w:val="18"/>
              </w:rPr>
              <w:t>R19,990</w:t>
            </w:r>
          </w:p>
        </w:tc>
        <w:tc>
          <w:tcPr>
            <w:tcW w:type="dxa" w:w="1644"/>
            <w:shd w:val="clear" w:color="auto" w:fill="FAFAFB"/>
            <w:vAlign w:val="center"/>
          </w:tcPr>
          <w:p>
            <w:pPr>
              <w:spacing w:after="20" w:line="252" w:lineRule="auto"/>
              <w:jc w:val="right"/>
            </w:pPr>
            <w:r>
              <w:rPr>
                <w:sz w:val="18"/>
              </w:rPr>
              <w:t>₦1,650,000</w:t>
            </w:r>
          </w:p>
        </w:tc>
        <w:tc>
          <w:tcPr>
            <w:tcW w:type="dxa" w:w="1644"/>
            <w:shd w:val="clear" w:color="auto" w:fill="FAFAFB"/>
            <w:vAlign w:val="center"/>
          </w:tcPr>
          <w:p>
            <w:pPr>
              <w:spacing w:after="20" w:line="252" w:lineRule="auto"/>
              <w:jc w:val="right"/>
            </w:pPr>
            <w:r>
              <w:rPr>
                <w:sz w:val="18"/>
              </w:rPr>
              <w:t>KSh 159,990</w:t>
            </w:r>
          </w:p>
        </w:tc>
        <w:tc>
          <w:tcPr>
            <w:tcW w:type="dxa" w:w="1644"/>
            <w:shd w:val="clear" w:color="auto" w:fill="FAFAFB"/>
            <w:vAlign w:val="center"/>
          </w:tcPr>
          <w:p>
            <w:pPr>
              <w:spacing w:after="20" w:line="252" w:lineRule="auto"/>
              <w:jc w:val="right"/>
            </w:pPr>
            <w:r>
              <w:rPr>
                <w:sz w:val="18"/>
              </w:rPr>
              <w:t>GH₵ 13,590</w:t>
            </w:r>
          </w:p>
        </w:tc>
        <w:tc>
          <w:tcPr>
            <w:tcW w:type="dxa" w:w="1587"/>
            <w:shd w:val="clear" w:color="auto" w:fill="FAFAFB"/>
            <w:vAlign w:val="center"/>
          </w:tcPr>
          <w:p>
            <w:pPr>
              <w:spacing w:after="20" w:line="252" w:lineRule="auto"/>
              <w:jc w:val="right"/>
            </w:pPr>
            <w:r>
              <w:rPr>
                <w:sz w:val="18"/>
              </w:rPr>
              <w:t>$1,090</w:t>
            </w:r>
          </w:p>
        </w:tc>
      </w:tr>
      <w:tr>
        <w:trPr>
          <w:cantSplit/>
        </w:trPr>
        <w:tc>
          <w:tcPr>
            <w:tcW w:type="dxa" w:w="1474"/>
            <w:vAlign w:val="center"/>
          </w:tcPr>
          <w:p>
            <w:pPr>
              <w:spacing w:after="20" w:line="252" w:lineRule="auto"/>
            </w:pPr>
            <w:r>
              <w:rPr>
                <w:b/>
                <w:sz w:val="18"/>
              </w:rPr>
              <w:t>Scale</w:t>
            </w:r>
          </w:p>
        </w:tc>
        <w:tc>
          <w:tcPr>
            <w:tcW w:type="dxa" w:w="1644"/>
            <w:vAlign w:val="center"/>
          </w:tcPr>
          <w:p>
            <w:pPr>
              <w:spacing w:after="20" w:line="252" w:lineRule="auto"/>
              <w:jc w:val="right"/>
            </w:pPr>
            <w:r>
              <w:rPr>
                <w:sz w:val="18"/>
              </w:rPr>
              <w:t>R49,990</w:t>
            </w:r>
          </w:p>
        </w:tc>
        <w:tc>
          <w:tcPr>
            <w:tcW w:type="dxa" w:w="1644"/>
            <w:vAlign w:val="center"/>
          </w:tcPr>
          <w:p>
            <w:pPr>
              <w:spacing w:after="20" w:line="252" w:lineRule="auto"/>
              <w:jc w:val="right"/>
            </w:pPr>
            <w:r>
              <w:rPr>
                <w:sz w:val="18"/>
              </w:rPr>
              <w:t>₦4,130,000</w:t>
            </w:r>
          </w:p>
        </w:tc>
        <w:tc>
          <w:tcPr>
            <w:tcW w:type="dxa" w:w="1644"/>
            <w:vAlign w:val="center"/>
          </w:tcPr>
          <w:p>
            <w:pPr>
              <w:spacing w:after="20" w:line="252" w:lineRule="auto"/>
              <w:jc w:val="right"/>
            </w:pPr>
            <w:r>
              <w:rPr>
                <w:sz w:val="18"/>
              </w:rPr>
              <w:t>KSh 399,990</w:t>
            </w:r>
          </w:p>
        </w:tc>
        <w:tc>
          <w:tcPr>
            <w:tcW w:type="dxa" w:w="1644"/>
            <w:vAlign w:val="center"/>
          </w:tcPr>
          <w:p>
            <w:pPr>
              <w:spacing w:after="20" w:line="252" w:lineRule="auto"/>
              <w:jc w:val="right"/>
            </w:pPr>
            <w:r>
              <w:rPr>
                <w:sz w:val="18"/>
              </w:rPr>
              <w:t>GH₵ 33,990</w:t>
            </w:r>
          </w:p>
        </w:tc>
        <w:tc>
          <w:tcPr>
            <w:tcW w:type="dxa" w:w="1587"/>
            <w:vAlign w:val="center"/>
          </w:tcPr>
          <w:p>
            <w:pPr>
              <w:spacing w:after="20" w:line="252" w:lineRule="auto"/>
              <w:jc w:val="right"/>
            </w:pPr>
            <w:r>
              <w:rPr>
                <w:sz w:val="18"/>
              </w:rPr>
              <w:t>$2,690</w:t>
            </w:r>
          </w:p>
        </w:tc>
      </w:tr>
      <w:tr>
        <w:trPr>
          <w:cantSplit/>
        </w:trPr>
        <w:tc>
          <w:tcPr>
            <w:tcW w:type="dxa" w:w="1474"/>
            <w:shd w:val="clear" w:color="auto" w:fill="FAFAFB"/>
            <w:vAlign w:val="center"/>
          </w:tcPr>
          <w:p>
            <w:pPr>
              <w:spacing w:after="20" w:line="252" w:lineRule="auto"/>
            </w:pPr>
            <w:r>
              <w:rPr>
                <w:b/>
                <w:sz w:val="18"/>
              </w:rPr>
              <w:t>Agency</w:t>
            </w:r>
          </w:p>
        </w:tc>
        <w:tc>
          <w:tcPr>
            <w:tcW w:type="dxa" w:w="1644"/>
            <w:shd w:val="clear" w:color="auto" w:fill="FAFAFB"/>
            <w:vAlign w:val="center"/>
          </w:tcPr>
          <w:p>
            <w:pPr>
              <w:spacing w:after="20" w:line="252" w:lineRule="auto"/>
              <w:jc w:val="right"/>
            </w:pPr>
            <w:r>
              <w:rPr>
                <w:sz w:val="18"/>
              </w:rPr>
              <w:t>R79,990</w:t>
            </w:r>
          </w:p>
        </w:tc>
        <w:tc>
          <w:tcPr>
            <w:tcW w:type="dxa" w:w="1644"/>
            <w:shd w:val="clear" w:color="auto" w:fill="FAFAFB"/>
            <w:vAlign w:val="center"/>
          </w:tcPr>
          <w:p>
            <w:pPr>
              <w:spacing w:after="20" w:line="252" w:lineRule="auto"/>
              <w:jc w:val="right"/>
            </w:pPr>
            <w:r>
              <w:rPr>
                <w:sz w:val="18"/>
              </w:rPr>
              <w:t>₦6,620,000</w:t>
            </w:r>
          </w:p>
        </w:tc>
        <w:tc>
          <w:tcPr>
            <w:tcW w:type="dxa" w:w="1644"/>
            <w:shd w:val="clear" w:color="auto" w:fill="FAFAFB"/>
            <w:vAlign w:val="center"/>
          </w:tcPr>
          <w:p>
            <w:pPr>
              <w:spacing w:after="20" w:line="252" w:lineRule="auto"/>
              <w:jc w:val="right"/>
            </w:pPr>
            <w:r>
              <w:rPr>
                <w:sz w:val="18"/>
              </w:rPr>
              <w:t>KSh 644,990</w:t>
            </w:r>
          </w:p>
        </w:tc>
        <w:tc>
          <w:tcPr>
            <w:tcW w:type="dxa" w:w="1644"/>
            <w:shd w:val="clear" w:color="auto" w:fill="FAFAFB"/>
            <w:vAlign w:val="center"/>
          </w:tcPr>
          <w:p>
            <w:pPr>
              <w:spacing w:after="20" w:line="252" w:lineRule="auto"/>
              <w:jc w:val="right"/>
            </w:pPr>
            <w:r>
              <w:rPr>
                <w:sz w:val="18"/>
              </w:rPr>
              <w:t>GH₵ 54,390</w:t>
            </w:r>
          </w:p>
        </w:tc>
        <w:tc>
          <w:tcPr>
            <w:tcW w:type="dxa" w:w="1587"/>
            <w:shd w:val="clear" w:color="auto" w:fill="FAFAFB"/>
            <w:vAlign w:val="center"/>
          </w:tcPr>
          <w:p>
            <w:pPr>
              <w:spacing w:after="20" w:line="252" w:lineRule="auto"/>
              <w:jc w:val="right"/>
            </w:pPr>
            <w:r>
              <w:rPr>
                <w:sz w:val="18"/>
              </w:rPr>
              <w:t>$4,290</w:t>
            </w:r>
          </w:p>
        </w:tc>
      </w:tr>
      <w:tr>
        <w:trPr>
          <w:cantSplit/>
        </w:trPr>
        <w:tc>
          <w:tcPr>
            <w:tcW w:type="dxa" w:w="1474"/>
            <w:vAlign w:val="center"/>
          </w:tcPr>
          <w:p>
            <w:pPr>
              <w:spacing w:after="20" w:line="252" w:lineRule="auto"/>
            </w:pPr>
            <w:r>
              <w:rPr>
                <w:b/>
                <w:sz w:val="18"/>
              </w:rPr>
              <w:t>Enterprise</w:t>
            </w:r>
          </w:p>
        </w:tc>
        <w:tc>
          <w:tcPr>
            <w:tcW w:type="dxa" w:w="1644"/>
            <w:vAlign w:val="center"/>
          </w:tcPr>
          <w:p>
            <w:pPr>
              <w:spacing w:after="20" w:line="252" w:lineRule="auto"/>
              <w:jc w:val="right"/>
            </w:pPr>
            <w:r>
              <w:rPr>
                <w:sz w:val="18"/>
              </w:rPr>
              <w:t>Custom</w:t>
            </w:r>
          </w:p>
        </w:tc>
        <w:tc>
          <w:tcPr>
            <w:tcW w:type="dxa" w:w="1644"/>
            <w:vAlign w:val="center"/>
          </w:tcPr>
          <w:p>
            <w:pPr>
              <w:spacing w:after="20" w:line="252" w:lineRule="auto"/>
              <w:jc w:val="right"/>
            </w:pPr>
            <w:r>
              <w:rPr>
                <w:sz w:val="18"/>
              </w:rPr>
              <w:t>Custom</w:t>
            </w:r>
          </w:p>
        </w:tc>
        <w:tc>
          <w:tcPr>
            <w:tcW w:type="dxa" w:w="1644"/>
            <w:vAlign w:val="center"/>
          </w:tcPr>
          <w:p>
            <w:pPr>
              <w:spacing w:after="20" w:line="252" w:lineRule="auto"/>
              <w:jc w:val="right"/>
            </w:pPr>
            <w:r>
              <w:rPr>
                <w:sz w:val="18"/>
              </w:rPr>
              <w:t>Custom</w:t>
            </w:r>
          </w:p>
        </w:tc>
        <w:tc>
          <w:tcPr>
            <w:tcW w:type="dxa" w:w="1644"/>
            <w:vAlign w:val="center"/>
          </w:tcPr>
          <w:p>
            <w:pPr>
              <w:spacing w:after="20" w:line="252" w:lineRule="auto"/>
              <w:jc w:val="right"/>
            </w:pPr>
            <w:r>
              <w:rPr>
                <w:sz w:val="18"/>
              </w:rPr>
              <w:t>Custom</w:t>
            </w:r>
          </w:p>
        </w:tc>
        <w:tc>
          <w:tcPr>
            <w:tcW w:type="dxa" w:w="1587"/>
            <w:vAlign w:val="center"/>
          </w:tcPr>
          <w:p>
            <w:pPr>
              <w:spacing w:after="20" w:line="252" w:lineRule="auto"/>
              <w:jc w:val="right"/>
            </w:pPr>
            <w:r>
              <w:rPr>
                <w:sz w:val="18"/>
              </w:rPr>
              <w:t>Custom</w:t>
            </w:r>
          </w:p>
        </w:tc>
      </w:tr>
    </w:tbl>
    <w:p>
      <w:pPr>
        <w:spacing w:after="0" w:line="120" w:lineRule="exact"/>
      </w:pPr>
    </w:p>
    <w:p>
      <w:pPr>
        <w:pStyle w:val="Heading2"/>
      </w:pPr>
      <w:r>
        <w:rPr/>
        <w:t>Partner wholesale, Founding Member and pilot prices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rtner, Founding Member and pilot prices"/>
      </w:tblPr>
      <w:tblGrid>
        <w:gridCol w:w="3514"/>
        <w:gridCol w:w="1360"/>
        <w:gridCol w:w="1474"/>
        <w:gridCol w:w="1360"/>
        <w:gridCol w:w="1133"/>
        <w:gridCol w:w="793"/>
      </w:tblGrid>
      <w:tr>
        <w:trPr>
          <w:cantSplit/>
          <w:tblHeader/>
        </w:trPr>
        <w:tc>
          <w:tcPr>
            <w:tcW w:type="dxa" w:w="3515"/>
            <w:shd w:val="clear" w:color="auto" w:fill="FF6A00"/>
            <w:vAlign w:val="center"/>
          </w:tcPr>
          <w:p>
            <w:pPr>
              <w:keepNext/>
              <w:spacing w:after="20" w:line="252" w:lineRule="auto"/>
            </w:pPr>
            <w:r>
              <w:rPr>
                <w:rFonts w:ascii="Poppins" w:hAnsi="Poppins" w:cs="Poppins" w:eastAsia="Poppins"/>
                <w:b/>
                <w:color w:val="20242B"/>
                <w:sz w:val="17"/>
              </w:rPr>
              <w:t>Item</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7"/>
              </w:rPr>
              <w:t>ZAR</w:t>
            </w:r>
          </w:p>
        </w:tc>
        <w:tc>
          <w:tcPr>
            <w:tcW w:type="dxa" w:w="1474"/>
            <w:shd w:val="clear" w:color="auto" w:fill="FF6A00"/>
            <w:vAlign w:val="center"/>
          </w:tcPr>
          <w:p>
            <w:pPr>
              <w:keepNext/>
              <w:spacing w:after="20" w:line="252" w:lineRule="auto"/>
              <w:jc w:val="right"/>
            </w:pPr>
            <w:r>
              <w:rPr>
                <w:rFonts w:ascii="Poppins" w:hAnsi="Poppins" w:cs="Poppins" w:eastAsia="Poppins"/>
                <w:b/>
                <w:color w:val="20242B"/>
                <w:sz w:val="17"/>
              </w:rPr>
              <w:t>NGN</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7"/>
              </w:rPr>
              <w:t>KES</w:t>
            </w:r>
          </w:p>
        </w:tc>
        <w:tc>
          <w:tcPr>
            <w:tcW w:type="dxa" w:w="1134"/>
            <w:shd w:val="clear" w:color="auto" w:fill="FF6A00"/>
            <w:vAlign w:val="center"/>
          </w:tcPr>
          <w:p>
            <w:pPr>
              <w:keepNext/>
              <w:spacing w:after="20" w:line="252" w:lineRule="auto"/>
              <w:jc w:val="right"/>
            </w:pPr>
            <w:r>
              <w:rPr>
                <w:rFonts w:ascii="Poppins" w:hAnsi="Poppins" w:cs="Poppins" w:eastAsia="Poppins"/>
                <w:b/>
                <w:color w:val="20242B"/>
                <w:sz w:val="17"/>
              </w:rPr>
              <w:t>GHS</w:t>
            </w:r>
          </w:p>
        </w:tc>
        <w:tc>
          <w:tcPr>
            <w:tcW w:type="dxa" w:w="794"/>
            <w:shd w:val="clear" w:color="auto" w:fill="FF6A00"/>
            <w:vAlign w:val="center"/>
          </w:tcPr>
          <w:p>
            <w:pPr>
              <w:keepNext/>
              <w:spacing w:after="20" w:line="252" w:lineRule="auto"/>
              <w:jc w:val="right"/>
            </w:pPr>
            <w:r>
              <w:rPr>
                <w:rFonts w:ascii="Poppins" w:hAnsi="Poppins" w:cs="Poppins" w:eastAsia="Poppins"/>
                <w:b/>
                <w:color w:val="20242B"/>
                <w:sz w:val="17"/>
              </w:rPr>
              <w:t>USD</w:t>
            </w:r>
          </w:p>
        </w:tc>
      </w:tr>
      <w:tr>
        <w:trPr>
          <w:cantSplit/>
        </w:trPr>
        <w:tc>
          <w:tcPr>
            <w:tcW w:type="dxa" w:w="3515"/>
            <w:vAlign w:val="center"/>
          </w:tcPr>
          <w:p>
            <w:pPr>
              <w:spacing w:after="20" w:line="252" w:lineRule="auto"/>
            </w:pPr>
            <w:r>
              <w:rPr>
                <w:b/>
                <w:sz w:val="17"/>
              </w:rPr>
              <w:t>Partner wholesale, Agency tier, monthly</w:t>
            </w:r>
          </w:p>
        </w:tc>
        <w:tc>
          <w:tcPr>
            <w:tcW w:type="dxa" w:w="1361"/>
            <w:vAlign w:val="center"/>
          </w:tcPr>
          <w:p>
            <w:pPr>
              <w:spacing w:after="20" w:line="252" w:lineRule="auto"/>
              <w:jc w:val="right"/>
            </w:pPr>
            <w:r>
              <w:rPr>
                <w:sz w:val="17"/>
              </w:rPr>
              <w:t>R5,599</w:t>
            </w:r>
          </w:p>
        </w:tc>
        <w:tc>
          <w:tcPr>
            <w:tcW w:type="dxa" w:w="1474"/>
            <w:vAlign w:val="center"/>
          </w:tcPr>
          <w:p>
            <w:pPr>
              <w:spacing w:after="20" w:line="252" w:lineRule="auto"/>
              <w:jc w:val="right"/>
            </w:pPr>
            <w:r>
              <w:rPr>
                <w:sz w:val="17"/>
              </w:rPr>
              <w:t>₦463,000</w:t>
            </w:r>
          </w:p>
        </w:tc>
        <w:tc>
          <w:tcPr>
            <w:tcW w:type="dxa" w:w="1361"/>
            <w:vAlign w:val="center"/>
          </w:tcPr>
          <w:p>
            <w:pPr>
              <w:spacing w:after="20" w:line="252" w:lineRule="auto"/>
              <w:jc w:val="right"/>
            </w:pPr>
            <w:r>
              <w:rPr>
                <w:sz w:val="17"/>
              </w:rPr>
              <w:t>KSh 44,999</w:t>
            </w:r>
          </w:p>
        </w:tc>
        <w:tc>
          <w:tcPr>
            <w:tcW w:type="dxa" w:w="1134"/>
            <w:vAlign w:val="center"/>
          </w:tcPr>
          <w:p>
            <w:pPr>
              <w:spacing w:after="20" w:line="252" w:lineRule="auto"/>
              <w:jc w:val="right"/>
            </w:pPr>
            <w:r>
              <w:rPr>
                <w:sz w:val="17"/>
              </w:rPr>
              <w:t>GH₵ 3,799</w:t>
            </w:r>
          </w:p>
        </w:tc>
        <w:tc>
          <w:tcPr>
            <w:tcW w:type="dxa" w:w="794"/>
            <w:vAlign w:val="center"/>
          </w:tcPr>
          <w:p>
            <w:pPr>
              <w:spacing w:after="20" w:line="252" w:lineRule="auto"/>
              <w:jc w:val="right"/>
            </w:pPr>
            <w:r>
              <w:rPr>
                <w:sz w:val="17"/>
              </w:rPr>
              <w:t>$299</w:t>
            </w:r>
          </w:p>
        </w:tc>
      </w:tr>
      <w:tr>
        <w:trPr>
          <w:cantSplit/>
        </w:trPr>
        <w:tc>
          <w:tcPr>
            <w:tcW w:type="dxa" w:w="3515"/>
            <w:shd w:val="clear" w:color="auto" w:fill="FAFAFB"/>
            <w:vAlign w:val="center"/>
          </w:tcPr>
          <w:p>
            <w:pPr>
              <w:spacing w:after="20" w:line="252" w:lineRule="auto"/>
            </w:pPr>
            <w:r>
              <w:rPr>
                <w:b/>
                <w:sz w:val="17"/>
              </w:rPr>
              <w:t>Partner wholesale, annual</w:t>
            </w:r>
          </w:p>
        </w:tc>
        <w:tc>
          <w:tcPr>
            <w:tcW w:type="dxa" w:w="1361"/>
            <w:shd w:val="clear" w:color="auto" w:fill="FAFAFB"/>
            <w:vAlign w:val="center"/>
          </w:tcPr>
          <w:p>
            <w:pPr>
              <w:spacing w:after="20" w:line="252" w:lineRule="auto"/>
              <w:jc w:val="right"/>
            </w:pPr>
            <w:r>
              <w:rPr>
                <w:sz w:val="17"/>
              </w:rPr>
              <w:t>R55,990</w:t>
            </w:r>
          </w:p>
        </w:tc>
        <w:tc>
          <w:tcPr>
            <w:tcW w:type="dxa" w:w="1474"/>
            <w:shd w:val="clear" w:color="auto" w:fill="FAFAFB"/>
            <w:vAlign w:val="center"/>
          </w:tcPr>
          <w:p>
            <w:pPr>
              <w:spacing w:after="20" w:line="252" w:lineRule="auto"/>
              <w:jc w:val="right"/>
            </w:pPr>
            <w:r>
              <w:rPr>
                <w:sz w:val="17"/>
              </w:rPr>
              <w:t>₦4,630,000</w:t>
            </w:r>
          </w:p>
        </w:tc>
        <w:tc>
          <w:tcPr>
            <w:tcW w:type="dxa" w:w="1361"/>
            <w:shd w:val="clear" w:color="auto" w:fill="FAFAFB"/>
            <w:vAlign w:val="center"/>
          </w:tcPr>
          <w:p>
            <w:pPr>
              <w:spacing w:after="20" w:line="252" w:lineRule="auto"/>
              <w:jc w:val="right"/>
            </w:pPr>
            <w:r>
              <w:rPr>
                <w:sz w:val="17"/>
              </w:rPr>
              <w:t>KSh 449,990</w:t>
            </w:r>
          </w:p>
        </w:tc>
        <w:tc>
          <w:tcPr>
            <w:tcW w:type="dxa" w:w="1134"/>
            <w:shd w:val="clear" w:color="auto" w:fill="FAFAFB"/>
            <w:vAlign w:val="center"/>
          </w:tcPr>
          <w:p>
            <w:pPr>
              <w:spacing w:after="20" w:line="252" w:lineRule="auto"/>
              <w:jc w:val="right"/>
            </w:pPr>
            <w:r>
              <w:rPr>
                <w:sz w:val="17"/>
              </w:rPr>
              <w:t>GH₵ 37,990</w:t>
            </w:r>
          </w:p>
        </w:tc>
        <w:tc>
          <w:tcPr>
            <w:tcW w:type="dxa" w:w="794"/>
            <w:shd w:val="clear" w:color="auto" w:fill="FAFAFB"/>
            <w:vAlign w:val="center"/>
          </w:tcPr>
          <w:p>
            <w:pPr>
              <w:spacing w:after="20" w:line="252" w:lineRule="auto"/>
              <w:jc w:val="right"/>
            </w:pPr>
            <w:r>
              <w:rPr>
                <w:sz w:val="17"/>
              </w:rPr>
              <w:t>$2,990</w:t>
            </w:r>
          </w:p>
        </w:tc>
      </w:tr>
      <w:tr>
        <w:trPr>
          <w:cantSplit/>
        </w:trPr>
        <w:tc>
          <w:tcPr>
            <w:tcW w:type="dxa" w:w="3515"/>
            <w:vAlign w:val="center"/>
          </w:tcPr>
          <w:p>
            <w:pPr>
              <w:spacing w:after="20" w:line="252" w:lineRule="auto"/>
            </w:pPr>
            <w:r>
              <w:rPr>
                <w:b/>
                <w:sz w:val="17"/>
              </w:rPr>
              <w:t>Founding Member: Starter, first 2 monthly bills</w:t>
            </w:r>
          </w:p>
        </w:tc>
        <w:tc>
          <w:tcPr>
            <w:tcW w:type="dxa" w:w="1361"/>
            <w:vAlign w:val="center"/>
          </w:tcPr>
          <w:p>
            <w:pPr>
              <w:spacing w:after="20" w:line="252" w:lineRule="auto"/>
              <w:jc w:val="right"/>
            </w:pPr>
            <w:r>
              <w:rPr>
                <w:sz w:val="17"/>
              </w:rPr>
              <w:t>R349</w:t>
            </w:r>
          </w:p>
        </w:tc>
        <w:tc>
          <w:tcPr>
            <w:tcW w:type="dxa" w:w="1474"/>
            <w:vAlign w:val="center"/>
          </w:tcPr>
          <w:p>
            <w:pPr>
              <w:spacing w:after="20" w:line="252" w:lineRule="auto"/>
              <w:jc w:val="right"/>
            </w:pPr>
            <w:r>
              <w:rPr>
                <w:sz w:val="17"/>
              </w:rPr>
              <w:t>—</w:t>
            </w:r>
          </w:p>
        </w:tc>
        <w:tc>
          <w:tcPr>
            <w:tcW w:type="dxa" w:w="1361"/>
            <w:vAlign w:val="center"/>
          </w:tcPr>
          <w:p>
            <w:pPr>
              <w:spacing w:after="20" w:line="252" w:lineRule="auto"/>
              <w:jc w:val="right"/>
            </w:pPr>
            <w:r>
              <w:rPr>
                <w:sz w:val="17"/>
              </w:rPr>
              <w:t>—</w:t>
            </w:r>
          </w:p>
        </w:tc>
        <w:tc>
          <w:tcPr>
            <w:tcW w:type="dxa" w:w="1134"/>
            <w:vAlign w:val="center"/>
          </w:tcPr>
          <w:p>
            <w:pPr>
              <w:spacing w:after="20" w:line="252" w:lineRule="auto"/>
              <w:jc w:val="right"/>
            </w:pPr>
            <w:r>
              <w:rPr>
                <w:sz w:val="17"/>
              </w:rPr>
              <w:t>—</w:t>
            </w:r>
          </w:p>
        </w:tc>
        <w:tc>
          <w:tcPr>
            <w:tcW w:type="dxa" w:w="794"/>
            <w:vAlign w:val="center"/>
          </w:tcPr>
          <w:p>
            <w:pPr>
              <w:spacing w:after="20" w:line="252" w:lineRule="auto"/>
              <w:jc w:val="right"/>
            </w:pPr>
            <w:r>
              <w:rPr>
                <w:sz w:val="17"/>
              </w:rPr>
              <w:t>—</w:t>
            </w:r>
          </w:p>
        </w:tc>
      </w:tr>
      <w:tr>
        <w:trPr>
          <w:cantSplit/>
        </w:trPr>
        <w:tc>
          <w:tcPr>
            <w:tcW w:type="dxa" w:w="3515"/>
            <w:shd w:val="clear" w:color="auto" w:fill="FAFAFB"/>
            <w:vAlign w:val="center"/>
          </w:tcPr>
          <w:p>
            <w:pPr>
              <w:spacing w:after="20" w:line="252" w:lineRule="auto"/>
            </w:pPr>
            <w:r>
              <w:rPr>
                <w:b/>
                <w:sz w:val="17"/>
              </w:rPr>
              <w:t>Founding Member: Growth, first 2 monthly bills</w:t>
            </w:r>
          </w:p>
        </w:tc>
        <w:tc>
          <w:tcPr>
            <w:tcW w:type="dxa" w:w="1361"/>
            <w:shd w:val="clear" w:color="auto" w:fill="FAFAFB"/>
            <w:vAlign w:val="center"/>
          </w:tcPr>
          <w:p>
            <w:pPr>
              <w:spacing w:after="20" w:line="252" w:lineRule="auto"/>
              <w:jc w:val="right"/>
            </w:pPr>
            <w:r>
              <w:rPr>
                <w:sz w:val="17"/>
              </w:rPr>
              <w:t>R1,399</w:t>
            </w:r>
          </w:p>
        </w:tc>
        <w:tc>
          <w:tcPr>
            <w:tcW w:type="dxa" w:w="1474"/>
            <w:shd w:val="clear" w:color="auto" w:fill="FAFAFB"/>
            <w:vAlign w:val="center"/>
          </w:tcPr>
          <w:p>
            <w:pPr>
              <w:spacing w:after="20" w:line="252" w:lineRule="auto"/>
              <w:jc w:val="right"/>
            </w:pPr>
            <w:r>
              <w:rPr>
                <w:sz w:val="17"/>
              </w:rPr>
              <w:t>—</w:t>
            </w:r>
          </w:p>
        </w:tc>
        <w:tc>
          <w:tcPr>
            <w:tcW w:type="dxa" w:w="1361"/>
            <w:shd w:val="clear" w:color="auto" w:fill="FAFAFB"/>
            <w:vAlign w:val="center"/>
          </w:tcPr>
          <w:p>
            <w:pPr>
              <w:spacing w:after="20" w:line="252" w:lineRule="auto"/>
              <w:jc w:val="right"/>
            </w:pPr>
            <w:r>
              <w:rPr>
                <w:sz w:val="17"/>
              </w:rPr>
              <w:t>—</w:t>
            </w:r>
          </w:p>
        </w:tc>
        <w:tc>
          <w:tcPr>
            <w:tcW w:type="dxa" w:w="1134"/>
            <w:shd w:val="clear" w:color="auto" w:fill="FAFAFB"/>
            <w:vAlign w:val="center"/>
          </w:tcPr>
          <w:p>
            <w:pPr>
              <w:spacing w:after="20" w:line="252" w:lineRule="auto"/>
              <w:jc w:val="right"/>
            </w:pPr>
            <w:r>
              <w:rPr>
                <w:sz w:val="17"/>
              </w:rPr>
              <w:t>—</w:t>
            </w:r>
          </w:p>
        </w:tc>
        <w:tc>
          <w:tcPr>
            <w:tcW w:type="dxa" w:w="794"/>
            <w:shd w:val="clear" w:color="auto" w:fill="FAFAFB"/>
            <w:vAlign w:val="center"/>
          </w:tcPr>
          <w:p>
            <w:pPr>
              <w:spacing w:after="20" w:line="252" w:lineRule="auto"/>
              <w:jc w:val="right"/>
            </w:pPr>
            <w:r>
              <w:rPr>
                <w:sz w:val="17"/>
              </w:rPr>
              <w:t>—</w:t>
            </w:r>
          </w:p>
        </w:tc>
      </w:tr>
      <w:tr>
        <w:trPr>
          <w:cantSplit/>
        </w:trPr>
        <w:tc>
          <w:tcPr>
            <w:tcW w:type="dxa" w:w="3515"/>
            <w:vAlign w:val="center"/>
          </w:tcPr>
          <w:p>
            <w:pPr>
              <w:spacing w:after="20" w:line="252" w:lineRule="auto"/>
            </w:pPr>
            <w:r>
              <w:rPr>
                <w:b/>
                <w:sz w:val="17"/>
              </w:rPr>
              <w:t>Founding Member: Scale, first 2 monthly bills</w:t>
            </w:r>
          </w:p>
        </w:tc>
        <w:tc>
          <w:tcPr>
            <w:tcW w:type="dxa" w:w="1361"/>
            <w:vAlign w:val="center"/>
          </w:tcPr>
          <w:p>
            <w:pPr>
              <w:spacing w:after="20" w:line="252" w:lineRule="auto"/>
              <w:jc w:val="right"/>
            </w:pPr>
            <w:r>
              <w:rPr>
                <w:sz w:val="17"/>
              </w:rPr>
              <w:t>R3,499</w:t>
            </w:r>
          </w:p>
        </w:tc>
        <w:tc>
          <w:tcPr>
            <w:tcW w:type="dxa" w:w="1474"/>
            <w:vAlign w:val="center"/>
          </w:tcPr>
          <w:p>
            <w:pPr>
              <w:spacing w:after="20" w:line="252" w:lineRule="auto"/>
              <w:jc w:val="right"/>
            </w:pPr>
            <w:r>
              <w:rPr>
                <w:sz w:val="17"/>
              </w:rPr>
              <w:t>—</w:t>
            </w:r>
          </w:p>
        </w:tc>
        <w:tc>
          <w:tcPr>
            <w:tcW w:type="dxa" w:w="1361"/>
            <w:vAlign w:val="center"/>
          </w:tcPr>
          <w:p>
            <w:pPr>
              <w:spacing w:after="20" w:line="252" w:lineRule="auto"/>
              <w:jc w:val="right"/>
            </w:pPr>
            <w:r>
              <w:rPr>
                <w:sz w:val="17"/>
              </w:rPr>
              <w:t>—</w:t>
            </w:r>
          </w:p>
        </w:tc>
        <w:tc>
          <w:tcPr>
            <w:tcW w:type="dxa" w:w="1134"/>
            <w:vAlign w:val="center"/>
          </w:tcPr>
          <w:p>
            <w:pPr>
              <w:spacing w:after="20" w:line="252" w:lineRule="auto"/>
              <w:jc w:val="right"/>
            </w:pPr>
            <w:r>
              <w:rPr>
                <w:sz w:val="17"/>
              </w:rPr>
              <w:t>—</w:t>
            </w:r>
          </w:p>
        </w:tc>
        <w:tc>
          <w:tcPr>
            <w:tcW w:type="dxa" w:w="794"/>
            <w:vAlign w:val="center"/>
          </w:tcPr>
          <w:p>
            <w:pPr>
              <w:spacing w:after="20" w:line="252" w:lineRule="auto"/>
              <w:jc w:val="right"/>
            </w:pPr>
            <w:r>
              <w:rPr>
                <w:sz w:val="17"/>
              </w:rPr>
              <w:t>—</w:t>
            </w:r>
          </w:p>
        </w:tc>
      </w:tr>
      <w:tr>
        <w:trPr>
          <w:cantSplit/>
        </w:trPr>
        <w:tc>
          <w:tcPr>
            <w:tcW w:type="dxa" w:w="3515"/>
            <w:shd w:val="clear" w:color="auto" w:fill="FAFAFB"/>
            <w:vAlign w:val="center"/>
          </w:tcPr>
          <w:p>
            <w:pPr>
              <w:spacing w:after="20" w:line="252" w:lineRule="auto"/>
            </w:pPr>
            <w:r>
              <w:rPr>
                <w:b/>
                <w:sz w:val="17"/>
              </w:rPr>
              <w:t>Pilot brands: Starter, first 2 monthly bills</w:t>
            </w:r>
          </w:p>
        </w:tc>
        <w:tc>
          <w:tcPr>
            <w:tcW w:type="dxa" w:w="1361"/>
            <w:shd w:val="clear" w:color="auto" w:fill="FAFAFB"/>
            <w:vAlign w:val="center"/>
          </w:tcPr>
          <w:p>
            <w:pPr>
              <w:spacing w:after="20" w:line="252" w:lineRule="auto"/>
              <w:jc w:val="right"/>
            </w:pPr>
            <w:r>
              <w:rPr>
                <w:sz w:val="17"/>
              </w:rPr>
              <w:t>R249</w:t>
            </w:r>
          </w:p>
        </w:tc>
        <w:tc>
          <w:tcPr>
            <w:tcW w:type="dxa" w:w="1474"/>
            <w:shd w:val="clear" w:color="auto" w:fill="FAFAFB"/>
            <w:vAlign w:val="center"/>
          </w:tcPr>
          <w:p>
            <w:pPr>
              <w:spacing w:after="20" w:line="252" w:lineRule="auto"/>
              <w:jc w:val="right"/>
            </w:pPr>
            <w:r>
              <w:rPr>
                <w:sz w:val="17"/>
              </w:rPr>
              <w:t>—</w:t>
            </w:r>
          </w:p>
        </w:tc>
        <w:tc>
          <w:tcPr>
            <w:tcW w:type="dxa" w:w="1361"/>
            <w:shd w:val="clear" w:color="auto" w:fill="FAFAFB"/>
            <w:vAlign w:val="center"/>
          </w:tcPr>
          <w:p>
            <w:pPr>
              <w:spacing w:after="20" w:line="252" w:lineRule="auto"/>
              <w:jc w:val="right"/>
            </w:pPr>
            <w:r>
              <w:rPr>
                <w:sz w:val="17"/>
              </w:rPr>
              <w:t>—</w:t>
            </w:r>
          </w:p>
        </w:tc>
        <w:tc>
          <w:tcPr>
            <w:tcW w:type="dxa" w:w="1134"/>
            <w:shd w:val="clear" w:color="auto" w:fill="FAFAFB"/>
            <w:vAlign w:val="center"/>
          </w:tcPr>
          <w:p>
            <w:pPr>
              <w:spacing w:after="20" w:line="252" w:lineRule="auto"/>
              <w:jc w:val="right"/>
            </w:pPr>
            <w:r>
              <w:rPr>
                <w:sz w:val="17"/>
              </w:rPr>
              <w:t>—</w:t>
            </w:r>
          </w:p>
        </w:tc>
        <w:tc>
          <w:tcPr>
            <w:tcW w:type="dxa" w:w="794"/>
            <w:shd w:val="clear" w:color="auto" w:fill="FAFAFB"/>
            <w:vAlign w:val="center"/>
          </w:tcPr>
          <w:p>
            <w:pPr>
              <w:spacing w:after="20" w:line="252" w:lineRule="auto"/>
              <w:jc w:val="right"/>
            </w:pPr>
            <w:r>
              <w:rPr>
                <w:sz w:val="17"/>
              </w:rPr>
              <w:t>—</w:t>
            </w:r>
          </w:p>
        </w:tc>
      </w:tr>
      <w:tr>
        <w:trPr>
          <w:cantSplit/>
        </w:trPr>
        <w:tc>
          <w:tcPr>
            <w:tcW w:type="dxa" w:w="3515"/>
            <w:vAlign w:val="center"/>
          </w:tcPr>
          <w:p>
            <w:pPr>
              <w:spacing w:after="20" w:line="252" w:lineRule="auto"/>
            </w:pPr>
            <w:r>
              <w:rPr>
                <w:b/>
                <w:sz w:val="17"/>
              </w:rPr>
              <w:t>Pilot brands: Growth, first 2 monthly bills</w:t>
            </w:r>
          </w:p>
        </w:tc>
        <w:tc>
          <w:tcPr>
            <w:tcW w:type="dxa" w:w="1361"/>
            <w:vAlign w:val="center"/>
          </w:tcPr>
          <w:p>
            <w:pPr>
              <w:spacing w:after="20" w:line="252" w:lineRule="auto"/>
              <w:jc w:val="right"/>
            </w:pPr>
            <w:r>
              <w:rPr>
                <w:sz w:val="17"/>
              </w:rPr>
              <w:t>R999</w:t>
            </w:r>
          </w:p>
        </w:tc>
        <w:tc>
          <w:tcPr>
            <w:tcW w:type="dxa" w:w="1474"/>
            <w:vAlign w:val="center"/>
          </w:tcPr>
          <w:p>
            <w:pPr>
              <w:spacing w:after="20" w:line="252" w:lineRule="auto"/>
              <w:jc w:val="right"/>
            </w:pPr>
            <w:r>
              <w:rPr>
                <w:sz w:val="17"/>
              </w:rPr>
              <w:t>—</w:t>
            </w:r>
          </w:p>
        </w:tc>
        <w:tc>
          <w:tcPr>
            <w:tcW w:type="dxa" w:w="1361"/>
            <w:vAlign w:val="center"/>
          </w:tcPr>
          <w:p>
            <w:pPr>
              <w:spacing w:after="20" w:line="252" w:lineRule="auto"/>
              <w:jc w:val="right"/>
            </w:pPr>
            <w:r>
              <w:rPr>
                <w:sz w:val="17"/>
              </w:rPr>
              <w:t>—</w:t>
            </w:r>
          </w:p>
        </w:tc>
        <w:tc>
          <w:tcPr>
            <w:tcW w:type="dxa" w:w="1134"/>
            <w:vAlign w:val="center"/>
          </w:tcPr>
          <w:p>
            <w:pPr>
              <w:spacing w:after="20" w:line="252" w:lineRule="auto"/>
              <w:jc w:val="right"/>
            </w:pPr>
            <w:r>
              <w:rPr>
                <w:sz w:val="17"/>
              </w:rPr>
              <w:t>—</w:t>
            </w:r>
          </w:p>
        </w:tc>
        <w:tc>
          <w:tcPr>
            <w:tcW w:type="dxa" w:w="794"/>
            <w:vAlign w:val="center"/>
          </w:tcPr>
          <w:p>
            <w:pPr>
              <w:spacing w:after="20" w:line="252" w:lineRule="auto"/>
              <w:jc w:val="right"/>
            </w:pPr>
            <w:r>
              <w:rPr>
                <w:sz w:val="17"/>
              </w:rPr>
              <w:t>—</w:t>
            </w:r>
          </w:p>
        </w:tc>
      </w:tr>
      <w:tr>
        <w:trPr>
          <w:cantSplit/>
        </w:trPr>
        <w:tc>
          <w:tcPr>
            <w:tcW w:type="dxa" w:w="3515"/>
            <w:shd w:val="clear" w:color="auto" w:fill="FAFAFB"/>
            <w:vAlign w:val="center"/>
          </w:tcPr>
          <w:p>
            <w:pPr>
              <w:spacing w:after="20" w:line="252" w:lineRule="auto"/>
            </w:pPr>
            <w:r>
              <w:rPr>
                <w:b/>
                <w:sz w:val="17"/>
              </w:rPr>
              <w:t>Pilot brands: Scale, first 2 monthly bills</w:t>
            </w:r>
          </w:p>
        </w:tc>
        <w:tc>
          <w:tcPr>
            <w:tcW w:type="dxa" w:w="1361"/>
            <w:shd w:val="clear" w:color="auto" w:fill="FAFAFB"/>
            <w:vAlign w:val="center"/>
          </w:tcPr>
          <w:p>
            <w:pPr>
              <w:spacing w:after="20" w:line="252" w:lineRule="auto"/>
              <w:jc w:val="right"/>
            </w:pPr>
            <w:r>
              <w:rPr>
                <w:sz w:val="17"/>
              </w:rPr>
              <w:t>R2,499</w:t>
            </w:r>
          </w:p>
        </w:tc>
        <w:tc>
          <w:tcPr>
            <w:tcW w:type="dxa" w:w="1474"/>
            <w:shd w:val="clear" w:color="auto" w:fill="FAFAFB"/>
            <w:vAlign w:val="center"/>
          </w:tcPr>
          <w:p>
            <w:pPr>
              <w:spacing w:after="20" w:line="252" w:lineRule="auto"/>
              <w:jc w:val="right"/>
            </w:pPr>
            <w:r>
              <w:rPr>
                <w:sz w:val="17"/>
              </w:rPr>
              <w:t>—</w:t>
            </w:r>
          </w:p>
        </w:tc>
        <w:tc>
          <w:tcPr>
            <w:tcW w:type="dxa" w:w="1361"/>
            <w:shd w:val="clear" w:color="auto" w:fill="FAFAFB"/>
            <w:vAlign w:val="center"/>
          </w:tcPr>
          <w:p>
            <w:pPr>
              <w:spacing w:after="20" w:line="252" w:lineRule="auto"/>
              <w:jc w:val="right"/>
            </w:pPr>
            <w:r>
              <w:rPr>
                <w:sz w:val="17"/>
              </w:rPr>
              <w:t>—</w:t>
            </w:r>
          </w:p>
        </w:tc>
        <w:tc>
          <w:tcPr>
            <w:tcW w:type="dxa" w:w="1134"/>
            <w:shd w:val="clear" w:color="auto" w:fill="FAFAFB"/>
            <w:vAlign w:val="center"/>
          </w:tcPr>
          <w:p>
            <w:pPr>
              <w:spacing w:after="20" w:line="252" w:lineRule="auto"/>
              <w:jc w:val="right"/>
            </w:pPr>
            <w:r>
              <w:rPr>
                <w:sz w:val="17"/>
              </w:rPr>
              <w:t>—</w:t>
            </w:r>
          </w:p>
        </w:tc>
        <w:tc>
          <w:tcPr>
            <w:tcW w:type="dxa" w:w="794"/>
            <w:shd w:val="clear" w:color="auto" w:fill="FAFAFB"/>
            <w:vAlign w:val="center"/>
          </w:tcPr>
          <w:p>
            <w:pPr>
              <w:spacing w:after="20" w:line="252" w:lineRule="auto"/>
              <w:jc w:val="right"/>
            </w:pPr>
            <w:r>
              <w:rPr>
                <w:sz w:val="17"/>
              </w:rPr>
              <w:t>—</w:t>
            </w:r>
          </w:p>
        </w:tc>
      </w:tr>
      <w:tr>
        <w:trPr>
          <w:cantSplit/>
        </w:trPr>
        <w:tc>
          <w:tcPr>
            <w:tcW w:type="dxa" w:w="3515"/>
            <w:vAlign w:val="center"/>
          </w:tcPr>
          <w:p>
            <w:pPr>
              <w:spacing w:after="20" w:line="252" w:lineRule="auto"/>
            </w:pPr>
            <w:r>
              <w:rPr>
                <w:b/>
                <w:sz w:val="17"/>
              </w:rPr>
              <w:t>Pilot brands: Agency, first 2 monthly bills</w:t>
            </w:r>
          </w:p>
        </w:tc>
        <w:tc>
          <w:tcPr>
            <w:tcW w:type="dxa" w:w="1361"/>
            <w:vAlign w:val="center"/>
          </w:tcPr>
          <w:p>
            <w:pPr>
              <w:spacing w:after="20" w:line="252" w:lineRule="auto"/>
              <w:jc w:val="right"/>
            </w:pPr>
            <w:r>
              <w:rPr>
                <w:sz w:val="17"/>
              </w:rPr>
              <w:t>R3,999</w:t>
            </w:r>
          </w:p>
        </w:tc>
        <w:tc>
          <w:tcPr>
            <w:tcW w:type="dxa" w:w="1474"/>
            <w:vAlign w:val="center"/>
          </w:tcPr>
          <w:p>
            <w:pPr>
              <w:spacing w:after="20" w:line="252" w:lineRule="auto"/>
              <w:jc w:val="right"/>
            </w:pPr>
            <w:r>
              <w:rPr>
                <w:sz w:val="17"/>
              </w:rPr>
              <w:t>—</w:t>
            </w:r>
          </w:p>
        </w:tc>
        <w:tc>
          <w:tcPr>
            <w:tcW w:type="dxa" w:w="1361"/>
            <w:vAlign w:val="center"/>
          </w:tcPr>
          <w:p>
            <w:pPr>
              <w:spacing w:after="20" w:line="252" w:lineRule="auto"/>
              <w:jc w:val="right"/>
            </w:pPr>
            <w:r>
              <w:rPr>
                <w:sz w:val="17"/>
              </w:rPr>
              <w:t>—</w:t>
            </w:r>
          </w:p>
        </w:tc>
        <w:tc>
          <w:tcPr>
            <w:tcW w:type="dxa" w:w="1134"/>
            <w:vAlign w:val="center"/>
          </w:tcPr>
          <w:p>
            <w:pPr>
              <w:spacing w:after="20" w:line="252" w:lineRule="auto"/>
              <w:jc w:val="right"/>
            </w:pPr>
            <w:r>
              <w:rPr>
                <w:sz w:val="17"/>
              </w:rPr>
              <w:t>—</w:t>
            </w:r>
          </w:p>
        </w:tc>
        <w:tc>
          <w:tcPr>
            <w:tcW w:type="dxa" w:w="794"/>
            <w:vAlign w:val="center"/>
          </w:tcPr>
          <w:p>
            <w:pPr>
              <w:spacing w:after="20" w:line="252" w:lineRule="auto"/>
              <w:jc w:val="right"/>
            </w:pPr>
            <w:r>
              <w:rPr>
                <w:sz w:val="17"/>
              </w:rPr>
              <w:t>—</w:t>
            </w:r>
          </w:p>
        </w:tc>
      </w:tr>
    </w:tbl>
    <w:p>
      <w:pPr>
        <w:spacing w:after="0" w:line="120" w:lineRule="exact"/>
      </w:pPr>
    </w:p>
    <w:p>
      <w:pPr>
        <w:pStyle w:val="ListBullet"/>
      </w:pPr>
      <w:r>
        <w:rPr/>
        <w:t>Founding Member applies in local currency at the same 30% off the first two monthly bills in Nigeria, Kenya and Ghana, inside each country's 60-day window. It is never offered on the Agency tier.</w:t>
      </w:r>
    </w:p>
    <w:p>
      <w:pPr>
        <w:pStyle w:val="ListBullet"/>
      </w:pPr>
      <w:r>
        <w:rPr/>
        <w:t>Local price points are set at parity with ZAR at early-September 2026 rates and reviewed quarterly.</w:t>
      </w:r>
    </w:p>
    <w:p>
      <w:pPr>
        <w:pStyle w:val="ListBullet"/>
      </w:pPr>
      <w:r>
        <w:rPr/>
        <w:t>USD markets are the 19 rail-covered countries other than South Africa, Nigeria, Kenya and Ghana.</w:t>
      </w:r>
    </w:p>
    <w:p>
      <w:pPr>
        <w:pStyle w:val="ListBullet"/>
      </w:pPr>
      <w:r>
        <w:rPr/>
        <w:t>The live app currently converts ZAR at the day's rate and has no Ghana region yet; fixed local pricing is a roadmap item. Quote this table, and say “billed in local currency”.</w:t>
      </w:r>
    </w:p>
    <w:p>
      <w:pPr>
        <w:pStyle w:val="Heading1"/>
        <w:pageBreakBefore/>
      </w:pPr>
      <w:r>
        <w:rPr/>
        <w:t>Appendix B. Payment rails and country coverage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The 23 rail-covered countries"/>
      </w:tblPr>
      <w:tblGrid>
        <w:gridCol w:w="510"/>
        <w:gridCol w:w="2381"/>
        <w:gridCol w:w="623"/>
        <w:gridCol w:w="1077"/>
        <w:gridCol w:w="3344"/>
        <w:gridCol w:w="1700"/>
      </w:tblGrid>
      <w:tr>
        <w:trPr>
          <w:cantSplit/>
          <w:tblHeader/>
        </w:trPr>
        <w:tc>
          <w:tcPr>
            <w:tcW w:type="dxa" w:w="510"/>
            <w:shd w:val="clear" w:color="auto" w:fill="FF6A00"/>
            <w:vAlign w:val="center"/>
          </w:tcPr>
          <w:p>
            <w:pPr>
              <w:keepNext/>
              <w:spacing w:after="20" w:line="252" w:lineRule="auto"/>
            </w:pPr>
            <w:r>
              <w:rPr>
                <w:rFonts w:ascii="Poppins" w:hAnsi="Poppins" w:cs="Poppins" w:eastAsia="Poppins"/>
                <w:b/>
                <w:color w:val="20242B"/>
                <w:sz w:val="17"/>
              </w:rPr>
              <w:t>#</w:t>
            </w:r>
          </w:p>
        </w:tc>
        <w:tc>
          <w:tcPr>
            <w:tcW w:type="dxa" w:w="2381"/>
            <w:shd w:val="clear" w:color="auto" w:fill="FF6A00"/>
            <w:vAlign w:val="center"/>
          </w:tcPr>
          <w:p>
            <w:pPr>
              <w:keepNext/>
              <w:spacing w:after="20" w:line="252" w:lineRule="auto"/>
            </w:pPr>
            <w:r>
              <w:rPr>
                <w:rFonts w:ascii="Poppins" w:hAnsi="Poppins" w:cs="Poppins" w:eastAsia="Poppins"/>
                <w:b/>
                <w:color w:val="20242B"/>
                <w:sz w:val="17"/>
              </w:rPr>
              <w:t>Country</w:t>
            </w:r>
          </w:p>
        </w:tc>
        <w:tc>
          <w:tcPr>
            <w:tcW w:type="dxa" w:w="624"/>
            <w:shd w:val="clear" w:color="auto" w:fill="FF6A00"/>
            <w:vAlign w:val="center"/>
          </w:tcPr>
          <w:p>
            <w:pPr>
              <w:keepNext/>
              <w:spacing w:after="20" w:line="252" w:lineRule="auto"/>
            </w:pPr>
            <w:r>
              <w:rPr>
                <w:rFonts w:ascii="Poppins" w:hAnsi="Poppins" w:cs="Poppins" w:eastAsia="Poppins"/>
                <w:b/>
                <w:color w:val="20242B"/>
                <w:sz w:val="17"/>
              </w:rPr>
              <w:t>ISO</w:t>
            </w:r>
          </w:p>
        </w:tc>
        <w:tc>
          <w:tcPr>
            <w:tcW w:type="dxa" w:w="1077"/>
            <w:shd w:val="clear" w:color="auto" w:fill="FF6A00"/>
            <w:vAlign w:val="center"/>
          </w:tcPr>
          <w:p>
            <w:pPr>
              <w:keepNext/>
              <w:spacing w:after="20" w:line="252" w:lineRule="auto"/>
            </w:pPr>
            <w:r>
              <w:rPr>
                <w:rFonts w:ascii="Poppins" w:hAnsi="Poppins" w:cs="Poppins" w:eastAsia="Poppins"/>
                <w:b/>
                <w:color w:val="20242B"/>
                <w:sz w:val="17"/>
              </w:rPr>
              <w:t>Currency</w:t>
            </w:r>
          </w:p>
        </w:tc>
        <w:tc>
          <w:tcPr>
            <w:tcW w:type="dxa" w:w="3345"/>
            <w:shd w:val="clear" w:color="auto" w:fill="FF6A00"/>
            <w:vAlign w:val="center"/>
          </w:tcPr>
          <w:p>
            <w:pPr>
              <w:keepNext/>
              <w:spacing w:after="20" w:line="252" w:lineRule="auto"/>
            </w:pPr>
            <w:r>
              <w:rPr>
                <w:rFonts w:ascii="Poppins" w:hAnsi="Poppins" w:cs="Poppins" w:eastAsia="Poppins"/>
                <w:b/>
                <w:color w:val="20242B"/>
                <w:sz w:val="17"/>
              </w:rPr>
              <w:t>Rails</w:t>
            </w:r>
          </w:p>
        </w:tc>
        <w:tc>
          <w:tcPr>
            <w:tcW w:type="dxa" w:w="1701"/>
            <w:shd w:val="clear" w:color="auto" w:fill="FF6A00"/>
            <w:vAlign w:val="center"/>
          </w:tcPr>
          <w:p>
            <w:pPr>
              <w:keepNext/>
              <w:spacing w:after="20" w:line="252" w:lineRule="auto"/>
            </w:pPr>
            <w:r>
              <w:rPr>
                <w:rFonts w:ascii="Poppins" w:hAnsi="Poppins" w:cs="Poppins" w:eastAsia="Poppins"/>
                <w:b/>
                <w:color w:val="20242B"/>
                <w:sz w:val="17"/>
              </w:rPr>
              <w:t>Billing currency</w:t>
            </w:r>
          </w:p>
        </w:tc>
      </w:tr>
      <w:tr>
        <w:trPr>
          <w:cantSplit/>
        </w:trPr>
        <w:tc>
          <w:tcPr>
            <w:tcW w:type="dxa" w:w="510"/>
            <w:vAlign w:val="center"/>
          </w:tcPr>
          <w:p>
            <w:pPr>
              <w:spacing w:after="20" w:line="252" w:lineRule="auto"/>
            </w:pPr>
            <w:r>
              <w:rPr>
                <w:sz w:val="17"/>
              </w:rPr>
              <w:t>1</w:t>
            </w:r>
          </w:p>
        </w:tc>
        <w:tc>
          <w:tcPr>
            <w:tcW w:type="dxa" w:w="2381"/>
            <w:vAlign w:val="center"/>
          </w:tcPr>
          <w:p>
            <w:pPr>
              <w:spacing w:after="20" w:line="252" w:lineRule="auto"/>
            </w:pPr>
            <w:r>
              <w:rPr>
                <w:sz w:val="17"/>
              </w:rPr>
              <w:t>South Africa</w:t>
            </w:r>
          </w:p>
        </w:tc>
        <w:tc>
          <w:tcPr>
            <w:tcW w:type="dxa" w:w="624"/>
            <w:vAlign w:val="center"/>
          </w:tcPr>
          <w:p>
            <w:pPr>
              <w:spacing w:after="20" w:line="252" w:lineRule="auto"/>
            </w:pPr>
            <w:r>
              <w:rPr>
                <w:sz w:val="17"/>
              </w:rPr>
              <w:t>ZA</w:t>
            </w:r>
          </w:p>
        </w:tc>
        <w:tc>
          <w:tcPr>
            <w:tcW w:type="dxa" w:w="1077"/>
            <w:vAlign w:val="center"/>
          </w:tcPr>
          <w:p>
            <w:pPr>
              <w:spacing w:after="20" w:line="252" w:lineRule="auto"/>
            </w:pPr>
            <w:r>
              <w:rPr>
                <w:sz w:val="17"/>
              </w:rPr>
              <w:t>ZAR</w:t>
            </w:r>
          </w:p>
        </w:tc>
        <w:tc>
          <w:tcPr>
            <w:tcW w:type="dxa" w:w="3345"/>
            <w:vAlign w:val="center"/>
          </w:tcPr>
          <w:p>
            <w:pPr>
              <w:spacing w:after="20" w:line="252" w:lineRule="auto"/>
            </w:pPr>
            <w:r>
              <w:rPr>
                <w:sz w:val="17"/>
              </w:rPr>
              <w:t>Yoco, Ozow, Paystack, Fincra</w:t>
            </w:r>
          </w:p>
        </w:tc>
        <w:tc>
          <w:tcPr>
            <w:tcW w:type="dxa" w:w="1701"/>
            <w:vAlign w:val="center"/>
          </w:tcPr>
          <w:p>
            <w:pPr>
              <w:spacing w:after="20" w:line="252" w:lineRule="auto"/>
            </w:pPr>
            <w:r>
              <w:rPr>
                <w:sz w:val="17"/>
              </w:rPr>
              <w:t>ZAR</w:t>
            </w:r>
          </w:p>
        </w:tc>
      </w:tr>
      <w:tr>
        <w:trPr>
          <w:cantSplit/>
        </w:trPr>
        <w:tc>
          <w:tcPr>
            <w:tcW w:type="dxa" w:w="510"/>
            <w:shd w:val="clear" w:color="auto" w:fill="FAFAFB"/>
            <w:vAlign w:val="center"/>
          </w:tcPr>
          <w:p>
            <w:pPr>
              <w:spacing w:after="20" w:line="252" w:lineRule="auto"/>
            </w:pPr>
            <w:r>
              <w:rPr>
                <w:sz w:val="17"/>
              </w:rPr>
              <w:t>2</w:t>
            </w:r>
          </w:p>
        </w:tc>
        <w:tc>
          <w:tcPr>
            <w:tcW w:type="dxa" w:w="2381"/>
            <w:shd w:val="clear" w:color="auto" w:fill="FAFAFB"/>
            <w:vAlign w:val="center"/>
          </w:tcPr>
          <w:p>
            <w:pPr>
              <w:spacing w:after="20" w:line="252" w:lineRule="auto"/>
            </w:pPr>
            <w:r>
              <w:rPr>
                <w:sz w:val="17"/>
              </w:rPr>
              <w:t>Nigeria</w:t>
            </w:r>
          </w:p>
        </w:tc>
        <w:tc>
          <w:tcPr>
            <w:tcW w:type="dxa" w:w="624"/>
            <w:shd w:val="clear" w:color="auto" w:fill="FAFAFB"/>
            <w:vAlign w:val="center"/>
          </w:tcPr>
          <w:p>
            <w:pPr>
              <w:spacing w:after="20" w:line="252" w:lineRule="auto"/>
            </w:pPr>
            <w:r>
              <w:rPr>
                <w:sz w:val="17"/>
              </w:rPr>
              <w:t>NG</w:t>
            </w:r>
          </w:p>
        </w:tc>
        <w:tc>
          <w:tcPr>
            <w:tcW w:type="dxa" w:w="1077"/>
            <w:shd w:val="clear" w:color="auto" w:fill="FAFAFB"/>
            <w:vAlign w:val="center"/>
          </w:tcPr>
          <w:p>
            <w:pPr>
              <w:spacing w:after="20" w:line="252" w:lineRule="auto"/>
            </w:pPr>
            <w:r>
              <w:rPr>
                <w:sz w:val="17"/>
              </w:rPr>
              <w:t>NGN</w:t>
            </w:r>
          </w:p>
        </w:tc>
        <w:tc>
          <w:tcPr>
            <w:tcW w:type="dxa" w:w="3345"/>
            <w:shd w:val="clear" w:color="auto" w:fill="FAFAFB"/>
            <w:vAlign w:val="center"/>
          </w:tcPr>
          <w:p>
            <w:pPr>
              <w:spacing w:after="20" w:line="252" w:lineRule="auto"/>
            </w:pPr>
            <w:r>
              <w:rPr>
                <w:sz w:val="17"/>
              </w:rPr>
              <w:t>Paystack, pawaPay, Fincra</w:t>
            </w:r>
          </w:p>
        </w:tc>
        <w:tc>
          <w:tcPr>
            <w:tcW w:type="dxa" w:w="1701"/>
            <w:shd w:val="clear" w:color="auto" w:fill="FAFAFB"/>
            <w:vAlign w:val="center"/>
          </w:tcPr>
          <w:p>
            <w:pPr>
              <w:spacing w:after="20" w:line="252" w:lineRule="auto"/>
            </w:pPr>
            <w:r>
              <w:rPr>
                <w:sz w:val="17"/>
              </w:rPr>
              <w:t>NGN</w:t>
            </w:r>
          </w:p>
        </w:tc>
      </w:tr>
      <w:tr>
        <w:trPr>
          <w:cantSplit/>
        </w:trPr>
        <w:tc>
          <w:tcPr>
            <w:tcW w:type="dxa" w:w="510"/>
            <w:vAlign w:val="center"/>
          </w:tcPr>
          <w:p>
            <w:pPr>
              <w:spacing w:after="20" w:line="252" w:lineRule="auto"/>
            </w:pPr>
            <w:r>
              <w:rPr>
                <w:sz w:val="17"/>
              </w:rPr>
              <w:t>3</w:t>
            </w:r>
          </w:p>
        </w:tc>
        <w:tc>
          <w:tcPr>
            <w:tcW w:type="dxa" w:w="2381"/>
            <w:vAlign w:val="center"/>
          </w:tcPr>
          <w:p>
            <w:pPr>
              <w:spacing w:after="20" w:line="252" w:lineRule="auto"/>
            </w:pPr>
            <w:r>
              <w:rPr>
                <w:sz w:val="17"/>
              </w:rPr>
              <w:t>Ghana</w:t>
            </w:r>
          </w:p>
        </w:tc>
        <w:tc>
          <w:tcPr>
            <w:tcW w:type="dxa" w:w="624"/>
            <w:vAlign w:val="center"/>
          </w:tcPr>
          <w:p>
            <w:pPr>
              <w:spacing w:after="20" w:line="252" w:lineRule="auto"/>
            </w:pPr>
            <w:r>
              <w:rPr>
                <w:sz w:val="17"/>
              </w:rPr>
              <w:t>GH</w:t>
            </w:r>
          </w:p>
        </w:tc>
        <w:tc>
          <w:tcPr>
            <w:tcW w:type="dxa" w:w="1077"/>
            <w:vAlign w:val="center"/>
          </w:tcPr>
          <w:p>
            <w:pPr>
              <w:spacing w:after="20" w:line="252" w:lineRule="auto"/>
            </w:pPr>
            <w:r>
              <w:rPr>
                <w:sz w:val="17"/>
              </w:rPr>
              <w:t>GHS</w:t>
            </w:r>
          </w:p>
        </w:tc>
        <w:tc>
          <w:tcPr>
            <w:tcW w:type="dxa" w:w="3345"/>
            <w:vAlign w:val="center"/>
          </w:tcPr>
          <w:p>
            <w:pPr>
              <w:spacing w:after="20" w:line="252" w:lineRule="auto"/>
            </w:pPr>
            <w:r>
              <w:rPr>
                <w:sz w:val="17"/>
              </w:rPr>
              <w:t>Paystack, pawaPay, Fincra</w:t>
            </w:r>
          </w:p>
        </w:tc>
        <w:tc>
          <w:tcPr>
            <w:tcW w:type="dxa" w:w="1701"/>
            <w:vAlign w:val="center"/>
          </w:tcPr>
          <w:p>
            <w:pPr>
              <w:spacing w:after="20" w:line="252" w:lineRule="auto"/>
            </w:pPr>
            <w:r>
              <w:rPr>
                <w:sz w:val="17"/>
              </w:rPr>
              <w:t>GHS</w:t>
            </w:r>
          </w:p>
        </w:tc>
      </w:tr>
      <w:tr>
        <w:trPr>
          <w:cantSplit/>
        </w:trPr>
        <w:tc>
          <w:tcPr>
            <w:tcW w:type="dxa" w:w="510"/>
            <w:shd w:val="clear" w:color="auto" w:fill="FAFAFB"/>
            <w:vAlign w:val="center"/>
          </w:tcPr>
          <w:p>
            <w:pPr>
              <w:spacing w:after="20" w:line="252" w:lineRule="auto"/>
            </w:pPr>
            <w:r>
              <w:rPr>
                <w:sz w:val="17"/>
              </w:rPr>
              <w:t>4</w:t>
            </w:r>
          </w:p>
        </w:tc>
        <w:tc>
          <w:tcPr>
            <w:tcW w:type="dxa" w:w="2381"/>
            <w:shd w:val="clear" w:color="auto" w:fill="FAFAFB"/>
            <w:vAlign w:val="center"/>
          </w:tcPr>
          <w:p>
            <w:pPr>
              <w:spacing w:after="20" w:line="252" w:lineRule="auto"/>
            </w:pPr>
            <w:r>
              <w:rPr>
                <w:sz w:val="17"/>
              </w:rPr>
              <w:t>Kenya</w:t>
            </w:r>
          </w:p>
        </w:tc>
        <w:tc>
          <w:tcPr>
            <w:tcW w:type="dxa" w:w="624"/>
            <w:shd w:val="clear" w:color="auto" w:fill="FAFAFB"/>
            <w:vAlign w:val="center"/>
          </w:tcPr>
          <w:p>
            <w:pPr>
              <w:spacing w:after="20" w:line="252" w:lineRule="auto"/>
            </w:pPr>
            <w:r>
              <w:rPr>
                <w:sz w:val="17"/>
              </w:rPr>
              <w:t>KE</w:t>
            </w:r>
          </w:p>
        </w:tc>
        <w:tc>
          <w:tcPr>
            <w:tcW w:type="dxa" w:w="1077"/>
            <w:shd w:val="clear" w:color="auto" w:fill="FAFAFB"/>
            <w:vAlign w:val="center"/>
          </w:tcPr>
          <w:p>
            <w:pPr>
              <w:spacing w:after="20" w:line="252" w:lineRule="auto"/>
            </w:pPr>
            <w:r>
              <w:rPr>
                <w:sz w:val="17"/>
              </w:rPr>
              <w:t>KES</w:t>
            </w:r>
          </w:p>
        </w:tc>
        <w:tc>
          <w:tcPr>
            <w:tcW w:type="dxa" w:w="3345"/>
            <w:shd w:val="clear" w:color="auto" w:fill="FAFAFB"/>
            <w:vAlign w:val="center"/>
          </w:tcPr>
          <w:p>
            <w:pPr>
              <w:spacing w:after="20" w:line="252" w:lineRule="auto"/>
            </w:pPr>
            <w:r>
              <w:rPr>
                <w:sz w:val="17"/>
              </w:rPr>
              <w:t>Paystack, pawaPay, Fincra</w:t>
            </w:r>
          </w:p>
        </w:tc>
        <w:tc>
          <w:tcPr>
            <w:tcW w:type="dxa" w:w="1701"/>
            <w:shd w:val="clear" w:color="auto" w:fill="FAFAFB"/>
            <w:vAlign w:val="center"/>
          </w:tcPr>
          <w:p>
            <w:pPr>
              <w:spacing w:after="20" w:line="252" w:lineRule="auto"/>
            </w:pPr>
            <w:r>
              <w:rPr>
                <w:sz w:val="17"/>
              </w:rPr>
              <w:t>KES</w:t>
            </w:r>
          </w:p>
        </w:tc>
      </w:tr>
      <w:tr>
        <w:trPr>
          <w:cantSplit/>
        </w:trPr>
        <w:tc>
          <w:tcPr>
            <w:tcW w:type="dxa" w:w="510"/>
            <w:vAlign w:val="center"/>
          </w:tcPr>
          <w:p>
            <w:pPr>
              <w:spacing w:after="20" w:line="252" w:lineRule="auto"/>
            </w:pPr>
            <w:r>
              <w:rPr>
                <w:sz w:val="17"/>
              </w:rPr>
              <w:t>5</w:t>
            </w:r>
          </w:p>
        </w:tc>
        <w:tc>
          <w:tcPr>
            <w:tcW w:type="dxa" w:w="2381"/>
            <w:vAlign w:val="center"/>
          </w:tcPr>
          <w:p>
            <w:pPr>
              <w:spacing w:after="20" w:line="252" w:lineRule="auto"/>
            </w:pPr>
            <w:r>
              <w:rPr>
                <w:sz w:val="17"/>
              </w:rPr>
              <w:t>Côte d'Ivoire</w:t>
            </w:r>
          </w:p>
        </w:tc>
        <w:tc>
          <w:tcPr>
            <w:tcW w:type="dxa" w:w="624"/>
            <w:vAlign w:val="center"/>
          </w:tcPr>
          <w:p>
            <w:pPr>
              <w:spacing w:after="20" w:line="252" w:lineRule="auto"/>
            </w:pPr>
            <w:r>
              <w:rPr>
                <w:sz w:val="17"/>
              </w:rPr>
              <w:t>CI</w:t>
            </w:r>
          </w:p>
        </w:tc>
        <w:tc>
          <w:tcPr>
            <w:tcW w:type="dxa" w:w="1077"/>
            <w:vAlign w:val="center"/>
          </w:tcPr>
          <w:p>
            <w:pPr>
              <w:spacing w:after="20" w:line="252" w:lineRule="auto"/>
            </w:pPr>
            <w:r>
              <w:rPr>
                <w:sz w:val="17"/>
              </w:rPr>
              <w:t>XOF</w:t>
            </w:r>
          </w:p>
        </w:tc>
        <w:tc>
          <w:tcPr>
            <w:tcW w:type="dxa" w:w="3345"/>
            <w:vAlign w:val="center"/>
          </w:tcPr>
          <w:p>
            <w:pPr>
              <w:spacing w:after="20" w:line="252" w:lineRule="auto"/>
            </w:pPr>
            <w:r>
              <w:rPr>
                <w:sz w:val="17"/>
              </w:rPr>
              <w:t>Paystack, pawaPay, Fincra</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6</w:t>
            </w:r>
          </w:p>
        </w:tc>
        <w:tc>
          <w:tcPr>
            <w:tcW w:type="dxa" w:w="2381"/>
            <w:shd w:val="clear" w:color="auto" w:fill="FAFAFB"/>
            <w:vAlign w:val="center"/>
          </w:tcPr>
          <w:p>
            <w:pPr>
              <w:spacing w:after="20" w:line="252" w:lineRule="auto"/>
            </w:pPr>
            <w:r>
              <w:rPr>
                <w:sz w:val="17"/>
              </w:rPr>
              <w:t>Rwanda</w:t>
            </w:r>
          </w:p>
        </w:tc>
        <w:tc>
          <w:tcPr>
            <w:tcW w:type="dxa" w:w="624"/>
            <w:shd w:val="clear" w:color="auto" w:fill="FAFAFB"/>
            <w:vAlign w:val="center"/>
          </w:tcPr>
          <w:p>
            <w:pPr>
              <w:spacing w:after="20" w:line="252" w:lineRule="auto"/>
            </w:pPr>
            <w:r>
              <w:rPr>
                <w:sz w:val="17"/>
              </w:rPr>
              <w:t>RW</w:t>
            </w:r>
          </w:p>
        </w:tc>
        <w:tc>
          <w:tcPr>
            <w:tcW w:type="dxa" w:w="1077"/>
            <w:shd w:val="clear" w:color="auto" w:fill="FAFAFB"/>
            <w:vAlign w:val="center"/>
          </w:tcPr>
          <w:p>
            <w:pPr>
              <w:spacing w:after="20" w:line="252" w:lineRule="auto"/>
            </w:pPr>
            <w:r>
              <w:rPr>
                <w:sz w:val="17"/>
              </w:rPr>
              <w:t>RWF</w:t>
            </w:r>
          </w:p>
        </w:tc>
        <w:tc>
          <w:tcPr>
            <w:tcW w:type="dxa" w:w="3345"/>
            <w:shd w:val="clear" w:color="auto" w:fill="FAFAFB"/>
            <w:vAlign w:val="center"/>
          </w:tcPr>
          <w:p>
            <w:pPr>
              <w:spacing w:after="20" w:line="252" w:lineRule="auto"/>
            </w:pPr>
            <w:r>
              <w:rPr>
                <w:sz w:val="17"/>
              </w:rPr>
              <w:t>Paystack, pawaPay, Fincra</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7</w:t>
            </w:r>
          </w:p>
        </w:tc>
        <w:tc>
          <w:tcPr>
            <w:tcW w:type="dxa" w:w="2381"/>
            <w:vAlign w:val="center"/>
          </w:tcPr>
          <w:p>
            <w:pPr>
              <w:spacing w:after="20" w:line="252" w:lineRule="auto"/>
            </w:pPr>
            <w:r>
              <w:rPr>
                <w:sz w:val="17"/>
              </w:rPr>
              <w:t>Uganda</w:t>
            </w:r>
          </w:p>
        </w:tc>
        <w:tc>
          <w:tcPr>
            <w:tcW w:type="dxa" w:w="624"/>
            <w:vAlign w:val="center"/>
          </w:tcPr>
          <w:p>
            <w:pPr>
              <w:spacing w:after="20" w:line="252" w:lineRule="auto"/>
            </w:pPr>
            <w:r>
              <w:rPr>
                <w:sz w:val="17"/>
              </w:rPr>
              <w:t>UG</w:t>
            </w:r>
          </w:p>
        </w:tc>
        <w:tc>
          <w:tcPr>
            <w:tcW w:type="dxa" w:w="1077"/>
            <w:vAlign w:val="center"/>
          </w:tcPr>
          <w:p>
            <w:pPr>
              <w:spacing w:after="20" w:line="252" w:lineRule="auto"/>
            </w:pPr>
            <w:r>
              <w:rPr>
                <w:sz w:val="17"/>
              </w:rPr>
              <w:t>UGX</w:t>
            </w:r>
          </w:p>
        </w:tc>
        <w:tc>
          <w:tcPr>
            <w:tcW w:type="dxa" w:w="3345"/>
            <w:vAlign w:val="center"/>
          </w:tcPr>
          <w:p>
            <w:pPr>
              <w:spacing w:after="20" w:line="252" w:lineRule="auto"/>
            </w:pPr>
            <w:r>
              <w:rPr>
                <w:sz w:val="17"/>
              </w:rPr>
              <w:t>pawaPay, Fincra</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8</w:t>
            </w:r>
          </w:p>
        </w:tc>
        <w:tc>
          <w:tcPr>
            <w:tcW w:type="dxa" w:w="2381"/>
            <w:shd w:val="clear" w:color="auto" w:fill="FAFAFB"/>
            <w:vAlign w:val="center"/>
          </w:tcPr>
          <w:p>
            <w:pPr>
              <w:spacing w:after="20" w:line="252" w:lineRule="auto"/>
            </w:pPr>
            <w:r>
              <w:rPr>
                <w:sz w:val="17"/>
              </w:rPr>
              <w:t>Tanzania</w:t>
            </w:r>
          </w:p>
        </w:tc>
        <w:tc>
          <w:tcPr>
            <w:tcW w:type="dxa" w:w="624"/>
            <w:shd w:val="clear" w:color="auto" w:fill="FAFAFB"/>
            <w:vAlign w:val="center"/>
          </w:tcPr>
          <w:p>
            <w:pPr>
              <w:spacing w:after="20" w:line="252" w:lineRule="auto"/>
            </w:pPr>
            <w:r>
              <w:rPr>
                <w:sz w:val="17"/>
              </w:rPr>
              <w:t>TZ</w:t>
            </w:r>
          </w:p>
        </w:tc>
        <w:tc>
          <w:tcPr>
            <w:tcW w:type="dxa" w:w="1077"/>
            <w:shd w:val="clear" w:color="auto" w:fill="FAFAFB"/>
            <w:vAlign w:val="center"/>
          </w:tcPr>
          <w:p>
            <w:pPr>
              <w:spacing w:after="20" w:line="252" w:lineRule="auto"/>
            </w:pPr>
            <w:r>
              <w:rPr>
                <w:sz w:val="17"/>
              </w:rPr>
              <w:t>TZS</w:t>
            </w:r>
          </w:p>
        </w:tc>
        <w:tc>
          <w:tcPr>
            <w:tcW w:type="dxa" w:w="3345"/>
            <w:shd w:val="clear" w:color="auto" w:fill="FAFAFB"/>
            <w:vAlign w:val="center"/>
          </w:tcPr>
          <w:p>
            <w:pPr>
              <w:spacing w:after="20" w:line="252" w:lineRule="auto"/>
            </w:pPr>
            <w:r>
              <w:rPr>
                <w:sz w:val="17"/>
              </w:rPr>
              <w:t>pawaPay, Fincra</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9</w:t>
            </w:r>
          </w:p>
        </w:tc>
        <w:tc>
          <w:tcPr>
            <w:tcW w:type="dxa" w:w="2381"/>
            <w:vAlign w:val="center"/>
          </w:tcPr>
          <w:p>
            <w:pPr>
              <w:spacing w:after="20" w:line="252" w:lineRule="auto"/>
            </w:pPr>
            <w:r>
              <w:rPr>
                <w:sz w:val="17"/>
              </w:rPr>
              <w:t>Zambia</w:t>
            </w:r>
          </w:p>
        </w:tc>
        <w:tc>
          <w:tcPr>
            <w:tcW w:type="dxa" w:w="624"/>
            <w:vAlign w:val="center"/>
          </w:tcPr>
          <w:p>
            <w:pPr>
              <w:spacing w:after="20" w:line="252" w:lineRule="auto"/>
            </w:pPr>
            <w:r>
              <w:rPr>
                <w:sz w:val="17"/>
              </w:rPr>
              <w:t>ZM</w:t>
            </w:r>
          </w:p>
        </w:tc>
        <w:tc>
          <w:tcPr>
            <w:tcW w:type="dxa" w:w="1077"/>
            <w:vAlign w:val="center"/>
          </w:tcPr>
          <w:p>
            <w:pPr>
              <w:spacing w:after="20" w:line="252" w:lineRule="auto"/>
            </w:pPr>
            <w:r>
              <w:rPr>
                <w:sz w:val="17"/>
              </w:rPr>
              <w:t>ZMW</w:t>
            </w:r>
          </w:p>
        </w:tc>
        <w:tc>
          <w:tcPr>
            <w:tcW w:type="dxa" w:w="3345"/>
            <w:vAlign w:val="center"/>
          </w:tcPr>
          <w:p>
            <w:pPr>
              <w:spacing w:after="20" w:line="252" w:lineRule="auto"/>
            </w:pPr>
            <w:r>
              <w:rPr>
                <w:sz w:val="17"/>
              </w:rPr>
              <w:t>pawaPay, Fincra</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10</w:t>
            </w:r>
          </w:p>
        </w:tc>
        <w:tc>
          <w:tcPr>
            <w:tcW w:type="dxa" w:w="2381"/>
            <w:shd w:val="clear" w:color="auto" w:fill="FAFAFB"/>
            <w:vAlign w:val="center"/>
          </w:tcPr>
          <w:p>
            <w:pPr>
              <w:spacing w:after="20" w:line="252" w:lineRule="auto"/>
            </w:pPr>
            <w:r>
              <w:rPr>
                <w:sz w:val="17"/>
              </w:rPr>
              <w:t>Cameroon</w:t>
            </w:r>
          </w:p>
        </w:tc>
        <w:tc>
          <w:tcPr>
            <w:tcW w:type="dxa" w:w="624"/>
            <w:shd w:val="clear" w:color="auto" w:fill="FAFAFB"/>
            <w:vAlign w:val="center"/>
          </w:tcPr>
          <w:p>
            <w:pPr>
              <w:spacing w:after="20" w:line="252" w:lineRule="auto"/>
            </w:pPr>
            <w:r>
              <w:rPr>
                <w:sz w:val="17"/>
              </w:rPr>
              <w:t>CM</w:t>
            </w:r>
          </w:p>
        </w:tc>
        <w:tc>
          <w:tcPr>
            <w:tcW w:type="dxa" w:w="1077"/>
            <w:shd w:val="clear" w:color="auto" w:fill="FAFAFB"/>
            <w:vAlign w:val="center"/>
          </w:tcPr>
          <w:p>
            <w:pPr>
              <w:spacing w:after="20" w:line="252" w:lineRule="auto"/>
            </w:pPr>
            <w:r>
              <w:rPr>
                <w:sz w:val="17"/>
              </w:rPr>
              <w:t>XAF</w:t>
            </w:r>
          </w:p>
        </w:tc>
        <w:tc>
          <w:tcPr>
            <w:tcW w:type="dxa" w:w="3345"/>
            <w:shd w:val="clear" w:color="auto" w:fill="FAFAFB"/>
            <w:vAlign w:val="center"/>
          </w:tcPr>
          <w:p>
            <w:pPr>
              <w:spacing w:after="20" w:line="252" w:lineRule="auto"/>
            </w:pPr>
            <w:r>
              <w:rPr>
                <w:sz w:val="17"/>
              </w:rPr>
              <w:t>pawaPay, Fincra</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11</w:t>
            </w:r>
          </w:p>
        </w:tc>
        <w:tc>
          <w:tcPr>
            <w:tcW w:type="dxa" w:w="2381"/>
            <w:vAlign w:val="center"/>
          </w:tcPr>
          <w:p>
            <w:pPr>
              <w:spacing w:after="20" w:line="252" w:lineRule="auto"/>
            </w:pPr>
            <w:r>
              <w:rPr>
                <w:sz w:val="17"/>
              </w:rPr>
              <w:t>Senegal</w:t>
            </w:r>
          </w:p>
        </w:tc>
        <w:tc>
          <w:tcPr>
            <w:tcW w:type="dxa" w:w="624"/>
            <w:vAlign w:val="center"/>
          </w:tcPr>
          <w:p>
            <w:pPr>
              <w:spacing w:after="20" w:line="252" w:lineRule="auto"/>
            </w:pPr>
            <w:r>
              <w:rPr>
                <w:sz w:val="17"/>
              </w:rPr>
              <w:t>SN</w:t>
            </w:r>
          </w:p>
        </w:tc>
        <w:tc>
          <w:tcPr>
            <w:tcW w:type="dxa" w:w="1077"/>
            <w:vAlign w:val="center"/>
          </w:tcPr>
          <w:p>
            <w:pPr>
              <w:spacing w:after="20" w:line="252" w:lineRule="auto"/>
            </w:pPr>
            <w:r>
              <w:rPr>
                <w:sz w:val="17"/>
              </w:rPr>
              <w:t>XOF</w:t>
            </w:r>
          </w:p>
        </w:tc>
        <w:tc>
          <w:tcPr>
            <w:tcW w:type="dxa" w:w="3345"/>
            <w:vAlign w:val="center"/>
          </w:tcPr>
          <w:p>
            <w:pPr>
              <w:spacing w:after="20" w:line="252" w:lineRule="auto"/>
            </w:pPr>
            <w:r>
              <w:rPr>
                <w:sz w:val="17"/>
              </w:rPr>
              <w:t>pawaPay, Fincra</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12</w:t>
            </w:r>
          </w:p>
        </w:tc>
        <w:tc>
          <w:tcPr>
            <w:tcW w:type="dxa" w:w="2381"/>
            <w:shd w:val="clear" w:color="auto" w:fill="FAFAFB"/>
            <w:vAlign w:val="center"/>
          </w:tcPr>
          <w:p>
            <w:pPr>
              <w:spacing w:after="20" w:line="252" w:lineRule="auto"/>
            </w:pPr>
            <w:r>
              <w:rPr>
                <w:sz w:val="17"/>
              </w:rPr>
              <w:t>Benin</w:t>
            </w:r>
          </w:p>
        </w:tc>
        <w:tc>
          <w:tcPr>
            <w:tcW w:type="dxa" w:w="624"/>
            <w:shd w:val="clear" w:color="auto" w:fill="FAFAFB"/>
            <w:vAlign w:val="center"/>
          </w:tcPr>
          <w:p>
            <w:pPr>
              <w:spacing w:after="20" w:line="252" w:lineRule="auto"/>
            </w:pPr>
            <w:r>
              <w:rPr>
                <w:sz w:val="17"/>
              </w:rPr>
              <w:t>BJ</w:t>
            </w:r>
          </w:p>
        </w:tc>
        <w:tc>
          <w:tcPr>
            <w:tcW w:type="dxa" w:w="1077"/>
            <w:shd w:val="clear" w:color="auto" w:fill="FAFAFB"/>
            <w:vAlign w:val="center"/>
          </w:tcPr>
          <w:p>
            <w:pPr>
              <w:spacing w:after="20" w:line="252" w:lineRule="auto"/>
            </w:pPr>
            <w:r>
              <w:rPr>
                <w:sz w:val="17"/>
              </w:rPr>
              <w:t>XOF</w:t>
            </w:r>
          </w:p>
        </w:tc>
        <w:tc>
          <w:tcPr>
            <w:tcW w:type="dxa" w:w="3345"/>
            <w:shd w:val="clear" w:color="auto" w:fill="FAFAFB"/>
            <w:vAlign w:val="center"/>
          </w:tcPr>
          <w:p>
            <w:pPr>
              <w:spacing w:after="20" w:line="252" w:lineRule="auto"/>
            </w:pPr>
            <w:r>
              <w:rPr>
                <w:sz w:val="17"/>
              </w:rPr>
              <w:t>pawaPay, Fincra</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13</w:t>
            </w:r>
          </w:p>
        </w:tc>
        <w:tc>
          <w:tcPr>
            <w:tcW w:type="dxa" w:w="2381"/>
            <w:vAlign w:val="center"/>
          </w:tcPr>
          <w:p>
            <w:pPr>
              <w:spacing w:after="20" w:line="252" w:lineRule="auto"/>
            </w:pPr>
            <w:r>
              <w:rPr>
                <w:sz w:val="17"/>
              </w:rPr>
              <w:t>Burkina Faso</w:t>
            </w:r>
          </w:p>
        </w:tc>
        <w:tc>
          <w:tcPr>
            <w:tcW w:type="dxa" w:w="624"/>
            <w:vAlign w:val="center"/>
          </w:tcPr>
          <w:p>
            <w:pPr>
              <w:spacing w:after="20" w:line="252" w:lineRule="auto"/>
            </w:pPr>
            <w:r>
              <w:rPr>
                <w:sz w:val="17"/>
              </w:rPr>
              <w:t>BF</w:t>
            </w:r>
          </w:p>
        </w:tc>
        <w:tc>
          <w:tcPr>
            <w:tcW w:type="dxa" w:w="1077"/>
            <w:vAlign w:val="center"/>
          </w:tcPr>
          <w:p>
            <w:pPr>
              <w:spacing w:after="20" w:line="252" w:lineRule="auto"/>
            </w:pPr>
            <w:r>
              <w:rPr>
                <w:sz w:val="17"/>
              </w:rPr>
              <w:t>XOF</w:t>
            </w:r>
          </w:p>
        </w:tc>
        <w:tc>
          <w:tcPr>
            <w:tcW w:type="dxa" w:w="3345"/>
            <w:vAlign w:val="center"/>
          </w:tcPr>
          <w:p>
            <w:pPr>
              <w:spacing w:after="20" w:line="252" w:lineRule="auto"/>
            </w:pPr>
            <w:r>
              <w:rPr>
                <w:sz w:val="17"/>
              </w:rPr>
              <w:t>pawaPay, Fincra</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14</w:t>
            </w:r>
          </w:p>
        </w:tc>
        <w:tc>
          <w:tcPr>
            <w:tcW w:type="dxa" w:w="2381"/>
            <w:shd w:val="clear" w:color="auto" w:fill="FAFAFB"/>
            <w:vAlign w:val="center"/>
          </w:tcPr>
          <w:p>
            <w:pPr>
              <w:spacing w:after="20" w:line="252" w:lineRule="auto"/>
            </w:pPr>
            <w:r>
              <w:rPr>
                <w:sz w:val="17"/>
              </w:rPr>
              <w:t>Republic of the Congo</w:t>
            </w:r>
          </w:p>
        </w:tc>
        <w:tc>
          <w:tcPr>
            <w:tcW w:type="dxa" w:w="624"/>
            <w:shd w:val="clear" w:color="auto" w:fill="FAFAFB"/>
            <w:vAlign w:val="center"/>
          </w:tcPr>
          <w:p>
            <w:pPr>
              <w:spacing w:after="20" w:line="252" w:lineRule="auto"/>
            </w:pPr>
            <w:r>
              <w:rPr>
                <w:sz w:val="17"/>
              </w:rPr>
              <w:t>CG</w:t>
            </w:r>
          </w:p>
        </w:tc>
        <w:tc>
          <w:tcPr>
            <w:tcW w:type="dxa" w:w="1077"/>
            <w:shd w:val="clear" w:color="auto" w:fill="FAFAFB"/>
            <w:vAlign w:val="center"/>
          </w:tcPr>
          <w:p>
            <w:pPr>
              <w:spacing w:after="20" w:line="252" w:lineRule="auto"/>
            </w:pPr>
            <w:r>
              <w:rPr>
                <w:sz w:val="17"/>
              </w:rPr>
              <w:t>XAF</w:t>
            </w:r>
          </w:p>
        </w:tc>
        <w:tc>
          <w:tcPr>
            <w:tcW w:type="dxa" w:w="3345"/>
            <w:shd w:val="clear" w:color="auto" w:fill="FAFAFB"/>
            <w:vAlign w:val="center"/>
          </w:tcPr>
          <w:p>
            <w:pPr>
              <w:spacing w:after="20" w:line="252" w:lineRule="auto"/>
            </w:pPr>
            <w:r>
              <w:rPr>
                <w:sz w:val="17"/>
              </w:rPr>
              <w:t>pawaPay, Fincra</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15</w:t>
            </w:r>
          </w:p>
        </w:tc>
        <w:tc>
          <w:tcPr>
            <w:tcW w:type="dxa" w:w="2381"/>
            <w:vAlign w:val="center"/>
          </w:tcPr>
          <w:p>
            <w:pPr>
              <w:spacing w:after="20" w:line="252" w:lineRule="auto"/>
            </w:pPr>
            <w:r>
              <w:rPr>
                <w:sz w:val="17"/>
              </w:rPr>
              <w:t>Gabon</w:t>
            </w:r>
          </w:p>
        </w:tc>
        <w:tc>
          <w:tcPr>
            <w:tcW w:type="dxa" w:w="624"/>
            <w:vAlign w:val="center"/>
          </w:tcPr>
          <w:p>
            <w:pPr>
              <w:spacing w:after="20" w:line="252" w:lineRule="auto"/>
            </w:pPr>
            <w:r>
              <w:rPr>
                <w:sz w:val="17"/>
              </w:rPr>
              <w:t>GA</w:t>
            </w:r>
          </w:p>
        </w:tc>
        <w:tc>
          <w:tcPr>
            <w:tcW w:type="dxa" w:w="1077"/>
            <w:vAlign w:val="center"/>
          </w:tcPr>
          <w:p>
            <w:pPr>
              <w:spacing w:after="20" w:line="252" w:lineRule="auto"/>
            </w:pPr>
            <w:r>
              <w:rPr>
                <w:sz w:val="17"/>
              </w:rPr>
              <w:t>XAF</w:t>
            </w:r>
          </w:p>
        </w:tc>
        <w:tc>
          <w:tcPr>
            <w:tcW w:type="dxa" w:w="3345"/>
            <w:vAlign w:val="center"/>
          </w:tcPr>
          <w:p>
            <w:pPr>
              <w:spacing w:after="20" w:line="252" w:lineRule="auto"/>
            </w:pPr>
            <w:r>
              <w:rPr>
                <w:sz w:val="17"/>
              </w:rPr>
              <w:t>pawaPay, Fincra</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16</w:t>
            </w:r>
          </w:p>
        </w:tc>
        <w:tc>
          <w:tcPr>
            <w:tcW w:type="dxa" w:w="2381"/>
            <w:shd w:val="clear" w:color="auto" w:fill="FAFAFB"/>
            <w:vAlign w:val="center"/>
          </w:tcPr>
          <w:p>
            <w:pPr>
              <w:spacing w:after="20" w:line="252" w:lineRule="auto"/>
            </w:pPr>
            <w:r>
              <w:rPr>
                <w:sz w:val="17"/>
              </w:rPr>
              <w:t>DR Congo</w:t>
            </w:r>
          </w:p>
        </w:tc>
        <w:tc>
          <w:tcPr>
            <w:tcW w:type="dxa" w:w="624"/>
            <w:shd w:val="clear" w:color="auto" w:fill="FAFAFB"/>
            <w:vAlign w:val="center"/>
          </w:tcPr>
          <w:p>
            <w:pPr>
              <w:spacing w:after="20" w:line="252" w:lineRule="auto"/>
            </w:pPr>
            <w:r>
              <w:rPr>
                <w:sz w:val="17"/>
              </w:rPr>
              <w:t>CD</w:t>
            </w:r>
          </w:p>
        </w:tc>
        <w:tc>
          <w:tcPr>
            <w:tcW w:type="dxa" w:w="1077"/>
            <w:shd w:val="clear" w:color="auto" w:fill="FAFAFB"/>
            <w:vAlign w:val="center"/>
          </w:tcPr>
          <w:p>
            <w:pPr>
              <w:spacing w:after="20" w:line="252" w:lineRule="auto"/>
            </w:pPr>
            <w:r>
              <w:rPr>
                <w:sz w:val="17"/>
              </w:rPr>
              <w:t>CDF/USD</w:t>
            </w:r>
          </w:p>
        </w:tc>
        <w:tc>
          <w:tcPr>
            <w:tcW w:type="dxa" w:w="3345"/>
            <w:shd w:val="clear" w:color="auto" w:fill="FAFAFB"/>
            <w:vAlign w:val="center"/>
          </w:tcPr>
          <w:p>
            <w:pPr>
              <w:spacing w:after="20" w:line="252" w:lineRule="auto"/>
            </w:pPr>
            <w:r>
              <w:rPr>
                <w:sz w:val="17"/>
              </w:rPr>
              <w:t>pawaPay, Fincra</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17</w:t>
            </w:r>
          </w:p>
        </w:tc>
        <w:tc>
          <w:tcPr>
            <w:tcW w:type="dxa" w:w="2381"/>
            <w:vAlign w:val="center"/>
          </w:tcPr>
          <w:p>
            <w:pPr>
              <w:spacing w:after="20" w:line="252" w:lineRule="auto"/>
            </w:pPr>
            <w:r>
              <w:rPr>
                <w:sz w:val="17"/>
              </w:rPr>
              <w:t>Malawi</w:t>
            </w:r>
          </w:p>
        </w:tc>
        <w:tc>
          <w:tcPr>
            <w:tcW w:type="dxa" w:w="624"/>
            <w:vAlign w:val="center"/>
          </w:tcPr>
          <w:p>
            <w:pPr>
              <w:spacing w:after="20" w:line="252" w:lineRule="auto"/>
            </w:pPr>
            <w:r>
              <w:rPr>
                <w:sz w:val="17"/>
              </w:rPr>
              <w:t>MW</w:t>
            </w:r>
          </w:p>
        </w:tc>
        <w:tc>
          <w:tcPr>
            <w:tcW w:type="dxa" w:w="1077"/>
            <w:vAlign w:val="center"/>
          </w:tcPr>
          <w:p>
            <w:pPr>
              <w:spacing w:after="20" w:line="252" w:lineRule="auto"/>
            </w:pPr>
            <w:r>
              <w:rPr>
                <w:sz w:val="17"/>
              </w:rPr>
              <w:t>MWK</w:t>
            </w:r>
          </w:p>
        </w:tc>
        <w:tc>
          <w:tcPr>
            <w:tcW w:type="dxa" w:w="3345"/>
            <w:vAlign w:val="center"/>
          </w:tcPr>
          <w:p>
            <w:pPr>
              <w:spacing w:after="20" w:line="252" w:lineRule="auto"/>
            </w:pPr>
            <w:r>
              <w:rPr>
                <w:sz w:val="17"/>
              </w:rPr>
              <w:t>pawaPay</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18</w:t>
            </w:r>
          </w:p>
        </w:tc>
        <w:tc>
          <w:tcPr>
            <w:tcW w:type="dxa" w:w="2381"/>
            <w:shd w:val="clear" w:color="auto" w:fill="FAFAFB"/>
            <w:vAlign w:val="center"/>
          </w:tcPr>
          <w:p>
            <w:pPr>
              <w:spacing w:after="20" w:line="252" w:lineRule="auto"/>
            </w:pPr>
            <w:r>
              <w:rPr>
                <w:sz w:val="17"/>
              </w:rPr>
              <w:t>Mozambique</w:t>
            </w:r>
          </w:p>
        </w:tc>
        <w:tc>
          <w:tcPr>
            <w:tcW w:type="dxa" w:w="624"/>
            <w:shd w:val="clear" w:color="auto" w:fill="FAFAFB"/>
            <w:vAlign w:val="center"/>
          </w:tcPr>
          <w:p>
            <w:pPr>
              <w:spacing w:after="20" w:line="252" w:lineRule="auto"/>
            </w:pPr>
            <w:r>
              <w:rPr>
                <w:sz w:val="17"/>
              </w:rPr>
              <w:t>MZ</w:t>
            </w:r>
          </w:p>
        </w:tc>
        <w:tc>
          <w:tcPr>
            <w:tcW w:type="dxa" w:w="1077"/>
            <w:shd w:val="clear" w:color="auto" w:fill="FAFAFB"/>
            <w:vAlign w:val="center"/>
          </w:tcPr>
          <w:p>
            <w:pPr>
              <w:spacing w:after="20" w:line="252" w:lineRule="auto"/>
            </w:pPr>
            <w:r>
              <w:rPr>
                <w:sz w:val="17"/>
              </w:rPr>
              <w:t>MZN</w:t>
            </w:r>
          </w:p>
        </w:tc>
        <w:tc>
          <w:tcPr>
            <w:tcW w:type="dxa" w:w="3345"/>
            <w:shd w:val="clear" w:color="auto" w:fill="FAFAFB"/>
            <w:vAlign w:val="center"/>
          </w:tcPr>
          <w:p>
            <w:pPr>
              <w:spacing w:after="20" w:line="252" w:lineRule="auto"/>
            </w:pPr>
            <w:r>
              <w:rPr>
                <w:sz w:val="17"/>
              </w:rPr>
              <w:t>pawaPay</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19</w:t>
            </w:r>
          </w:p>
        </w:tc>
        <w:tc>
          <w:tcPr>
            <w:tcW w:type="dxa" w:w="2381"/>
            <w:vAlign w:val="center"/>
          </w:tcPr>
          <w:p>
            <w:pPr>
              <w:spacing w:after="20" w:line="252" w:lineRule="auto"/>
            </w:pPr>
            <w:r>
              <w:rPr>
                <w:sz w:val="17"/>
              </w:rPr>
              <w:t>Sierra Leone</w:t>
            </w:r>
          </w:p>
        </w:tc>
        <w:tc>
          <w:tcPr>
            <w:tcW w:type="dxa" w:w="624"/>
            <w:vAlign w:val="center"/>
          </w:tcPr>
          <w:p>
            <w:pPr>
              <w:spacing w:after="20" w:line="252" w:lineRule="auto"/>
            </w:pPr>
            <w:r>
              <w:rPr>
                <w:sz w:val="17"/>
              </w:rPr>
              <w:t>SL</w:t>
            </w:r>
          </w:p>
        </w:tc>
        <w:tc>
          <w:tcPr>
            <w:tcW w:type="dxa" w:w="1077"/>
            <w:vAlign w:val="center"/>
          </w:tcPr>
          <w:p>
            <w:pPr>
              <w:spacing w:after="20" w:line="252" w:lineRule="auto"/>
            </w:pPr>
            <w:r>
              <w:rPr>
                <w:sz w:val="17"/>
              </w:rPr>
              <w:t>SLE</w:t>
            </w:r>
          </w:p>
        </w:tc>
        <w:tc>
          <w:tcPr>
            <w:tcW w:type="dxa" w:w="3345"/>
            <w:vAlign w:val="center"/>
          </w:tcPr>
          <w:p>
            <w:pPr>
              <w:spacing w:after="20" w:line="252" w:lineRule="auto"/>
            </w:pPr>
            <w:r>
              <w:rPr>
                <w:sz w:val="17"/>
              </w:rPr>
              <w:t>pawaPay</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20</w:t>
            </w:r>
          </w:p>
        </w:tc>
        <w:tc>
          <w:tcPr>
            <w:tcW w:type="dxa" w:w="2381"/>
            <w:shd w:val="clear" w:color="auto" w:fill="FAFAFB"/>
            <w:vAlign w:val="center"/>
          </w:tcPr>
          <w:p>
            <w:pPr>
              <w:spacing w:after="20" w:line="252" w:lineRule="auto"/>
            </w:pPr>
            <w:r>
              <w:rPr>
                <w:sz w:val="17"/>
              </w:rPr>
              <w:t>Ethiopia</w:t>
            </w:r>
          </w:p>
        </w:tc>
        <w:tc>
          <w:tcPr>
            <w:tcW w:type="dxa" w:w="624"/>
            <w:shd w:val="clear" w:color="auto" w:fill="FAFAFB"/>
            <w:vAlign w:val="center"/>
          </w:tcPr>
          <w:p>
            <w:pPr>
              <w:spacing w:after="20" w:line="252" w:lineRule="auto"/>
            </w:pPr>
            <w:r>
              <w:rPr>
                <w:sz w:val="17"/>
              </w:rPr>
              <w:t>ET</w:t>
            </w:r>
          </w:p>
        </w:tc>
        <w:tc>
          <w:tcPr>
            <w:tcW w:type="dxa" w:w="1077"/>
            <w:shd w:val="clear" w:color="auto" w:fill="FAFAFB"/>
            <w:vAlign w:val="center"/>
          </w:tcPr>
          <w:p>
            <w:pPr>
              <w:spacing w:after="20" w:line="252" w:lineRule="auto"/>
            </w:pPr>
            <w:r>
              <w:rPr>
                <w:sz w:val="17"/>
              </w:rPr>
              <w:t>ETB</w:t>
            </w:r>
          </w:p>
        </w:tc>
        <w:tc>
          <w:tcPr>
            <w:tcW w:type="dxa" w:w="3345"/>
            <w:shd w:val="clear" w:color="auto" w:fill="FAFAFB"/>
            <w:vAlign w:val="center"/>
          </w:tcPr>
          <w:p>
            <w:pPr>
              <w:spacing w:after="20" w:line="252" w:lineRule="auto"/>
            </w:pPr>
            <w:r>
              <w:rPr>
                <w:sz w:val="17"/>
              </w:rPr>
              <w:t>pawaPay</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21</w:t>
            </w:r>
          </w:p>
        </w:tc>
        <w:tc>
          <w:tcPr>
            <w:tcW w:type="dxa" w:w="2381"/>
            <w:vAlign w:val="center"/>
          </w:tcPr>
          <w:p>
            <w:pPr>
              <w:spacing w:after="20" w:line="252" w:lineRule="auto"/>
            </w:pPr>
            <w:r>
              <w:rPr>
                <w:sz w:val="17"/>
              </w:rPr>
              <w:t>Lesotho</w:t>
            </w:r>
          </w:p>
        </w:tc>
        <w:tc>
          <w:tcPr>
            <w:tcW w:type="dxa" w:w="624"/>
            <w:vAlign w:val="center"/>
          </w:tcPr>
          <w:p>
            <w:pPr>
              <w:spacing w:after="20" w:line="252" w:lineRule="auto"/>
            </w:pPr>
            <w:r>
              <w:rPr>
                <w:sz w:val="17"/>
              </w:rPr>
              <w:t>LS</w:t>
            </w:r>
          </w:p>
        </w:tc>
        <w:tc>
          <w:tcPr>
            <w:tcW w:type="dxa" w:w="1077"/>
            <w:vAlign w:val="center"/>
          </w:tcPr>
          <w:p>
            <w:pPr>
              <w:spacing w:after="20" w:line="252" w:lineRule="auto"/>
            </w:pPr>
            <w:r>
              <w:rPr>
                <w:sz w:val="17"/>
              </w:rPr>
              <w:t>LSL</w:t>
            </w:r>
          </w:p>
        </w:tc>
        <w:tc>
          <w:tcPr>
            <w:tcW w:type="dxa" w:w="3345"/>
            <w:vAlign w:val="center"/>
          </w:tcPr>
          <w:p>
            <w:pPr>
              <w:spacing w:after="20" w:line="252" w:lineRule="auto"/>
            </w:pPr>
            <w:r>
              <w:rPr>
                <w:sz w:val="17"/>
              </w:rPr>
              <w:t>pawaPay</w:t>
            </w:r>
          </w:p>
        </w:tc>
        <w:tc>
          <w:tcPr>
            <w:tcW w:type="dxa" w:w="1701"/>
            <w:vAlign w:val="center"/>
          </w:tcPr>
          <w:p>
            <w:pPr>
              <w:spacing w:after="20" w:line="252" w:lineRule="auto"/>
            </w:pPr>
            <w:r>
              <w:rPr>
                <w:sz w:val="17"/>
              </w:rPr>
              <w:t>USD</w:t>
            </w:r>
          </w:p>
        </w:tc>
      </w:tr>
      <w:tr>
        <w:trPr>
          <w:cantSplit/>
        </w:trPr>
        <w:tc>
          <w:tcPr>
            <w:tcW w:type="dxa" w:w="510"/>
            <w:shd w:val="clear" w:color="auto" w:fill="FAFAFB"/>
            <w:vAlign w:val="center"/>
          </w:tcPr>
          <w:p>
            <w:pPr>
              <w:spacing w:after="20" w:line="252" w:lineRule="auto"/>
            </w:pPr>
            <w:r>
              <w:rPr>
                <w:sz w:val="17"/>
              </w:rPr>
              <w:t>22</w:t>
            </w:r>
          </w:p>
        </w:tc>
        <w:tc>
          <w:tcPr>
            <w:tcW w:type="dxa" w:w="2381"/>
            <w:shd w:val="clear" w:color="auto" w:fill="FAFAFB"/>
            <w:vAlign w:val="center"/>
          </w:tcPr>
          <w:p>
            <w:pPr>
              <w:spacing w:after="20" w:line="252" w:lineRule="auto"/>
            </w:pPr>
            <w:r>
              <w:rPr>
                <w:sz w:val="17"/>
              </w:rPr>
              <w:t>South Sudan</w:t>
            </w:r>
          </w:p>
        </w:tc>
        <w:tc>
          <w:tcPr>
            <w:tcW w:type="dxa" w:w="624"/>
            <w:shd w:val="clear" w:color="auto" w:fill="FAFAFB"/>
            <w:vAlign w:val="center"/>
          </w:tcPr>
          <w:p>
            <w:pPr>
              <w:spacing w:after="20" w:line="252" w:lineRule="auto"/>
            </w:pPr>
            <w:r>
              <w:rPr>
                <w:sz w:val="17"/>
              </w:rPr>
              <w:t>SS</w:t>
            </w:r>
          </w:p>
        </w:tc>
        <w:tc>
          <w:tcPr>
            <w:tcW w:type="dxa" w:w="1077"/>
            <w:shd w:val="clear" w:color="auto" w:fill="FAFAFB"/>
            <w:vAlign w:val="center"/>
          </w:tcPr>
          <w:p>
            <w:pPr>
              <w:spacing w:after="20" w:line="252" w:lineRule="auto"/>
            </w:pPr>
            <w:r>
              <w:rPr>
                <w:sz w:val="17"/>
              </w:rPr>
              <w:t>SSP</w:t>
            </w:r>
          </w:p>
        </w:tc>
        <w:tc>
          <w:tcPr>
            <w:tcW w:type="dxa" w:w="3345"/>
            <w:shd w:val="clear" w:color="auto" w:fill="FAFAFB"/>
            <w:vAlign w:val="center"/>
          </w:tcPr>
          <w:p>
            <w:pPr>
              <w:spacing w:after="20" w:line="252" w:lineRule="auto"/>
            </w:pPr>
            <w:r>
              <w:rPr>
                <w:sz w:val="17"/>
              </w:rPr>
              <w:t>Fincra (payouts only)</w:t>
            </w:r>
          </w:p>
        </w:tc>
        <w:tc>
          <w:tcPr>
            <w:tcW w:type="dxa" w:w="1701"/>
            <w:shd w:val="clear" w:color="auto" w:fill="FAFAFB"/>
            <w:vAlign w:val="center"/>
          </w:tcPr>
          <w:p>
            <w:pPr>
              <w:spacing w:after="20" w:line="252" w:lineRule="auto"/>
            </w:pPr>
            <w:r>
              <w:rPr>
                <w:sz w:val="17"/>
              </w:rPr>
              <w:t>USD</w:t>
            </w:r>
          </w:p>
        </w:tc>
      </w:tr>
      <w:tr>
        <w:trPr>
          <w:cantSplit/>
        </w:trPr>
        <w:tc>
          <w:tcPr>
            <w:tcW w:type="dxa" w:w="510"/>
            <w:vAlign w:val="center"/>
          </w:tcPr>
          <w:p>
            <w:pPr>
              <w:spacing w:after="20" w:line="252" w:lineRule="auto"/>
            </w:pPr>
            <w:r>
              <w:rPr>
                <w:sz w:val="17"/>
              </w:rPr>
              <w:t>23</w:t>
            </w:r>
          </w:p>
        </w:tc>
        <w:tc>
          <w:tcPr>
            <w:tcW w:type="dxa" w:w="2381"/>
            <w:vAlign w:val="center"/>
          </w:tcPr>
          <w:p>
            <w:pPr>
              <w:spacing w:after="20" w:line="252" w:lineRule="auto"/>
            </w:pPr>
            <w:r>
              <w:rPr>
                <w:sz w:val="17"/>
              </w:rPr>
              <w:t>Zimbabwe</w:t>
            </w:r>
          </w:p>
        </w:tc>
        <w:tc>
          <w:tcPr>
            <w:tcW w:type="dxa" w:w="624"/>
            <w:vAlign w:val="center"/>
          </w:tcPr>
          <w:p>
            <w:pPr>
              <w:spacing w:after="20" w:line="252" w:lineRule="auto"/>
            </w:pPr>
            <w:r>
              <w:rPr>
                <w:sz w:val="17"/>
              </w:rPr>
              <w:t>ZW</w:t>
            </w:r>
          </w:p>
        </w:tc>
        <w:tc>
          <w:tcPr>
            <w:tcW w:type="dxa" w:w="1077"/>
            <w:vAlign w:val="center"/>
          </w:tcPr>
          <w:p>
            <w:pPr>
              <w:spacing w:after="20" w:line="252" w:lineRule="auto"/>
            </w:pPr>
            <w:r>
              <w:rPr>
                <w:sz w:val="17"/>
              </w:rPr>
              <w:t>USD</w:t>
            </w:r>
          </w:p>
        </w:tc>
        <w:tc>
          <w:tcPr>
            <w:tcW w:type="dxa" w:w="3345"/>
            <w:vAlign w:val="center"/>
          </w:tcPr>
          <w:p>
            <w:pPr>
              <w:spacing w:after="20" w:line="252" w:lineRule="auto"/>
            </w:pPr>
            <w:r>
              <w:rPr>
                <w:sz w:val="17"/>
              </w:rPr>
              <w:t>Fincra (payouts only)</w:t>
            </w:r>
          </w:p>
        </w:tc>
        <w:tc>
          <w:tcPr>
            <w:tcW w:type="dxa" w:w="1701"/>
            <w:vAlign w:val="center"/>
          </w:tcPr>
          <w:p>
            <w:pPr>
              <w:spacing w:after="20" w:line="252" w:lineRule="auto"/>
            </w:pPr>
            <w:r>
              <w:rPr>
                <w:sz w:val="17"/>
              </w:rPr>
              <w:t>USD</w:t>
            </w:r>
          </w:p>
        </w:tc>
      </w:tr>
    </w:tbl>
    <w:p>
      <w:pPr>
        <w:spacing w:after="0" w:line="120" w:lineRule="exact"/>
      </w:pPr>
    </w:p>
    <w:p>
      <w:pPr>
        <w:pStyle w:val="ListBullet"/>
      </w:pPr>
      <w:r>
        <w:rPr>
          <w:b/>
        </w:rPr>
        <w:t>All five rails are live in September 2026</w:t>
      </w:r>
      <w:r>
        <w:rPr/>
        <w:t xml:space="preserve"> (pawaPay and Fincra from the week of 14 September).</w:t>
      </w:r>
    </w:p>
    <w:p>
      <w:pPr>
        <w:pStyle w:val="ListBullet"/>
      </w:pPr>
      <w:r>
        <w:rPr>
          <w:b/>
        </w:rPr>
        <w:t>South Sudan and Zimbabwe are payouts-only</w:t>
      </w:r>
      <w:r>
        <w:rPr/>
        <w:t xml:space="preserve"> through Fincra. They stay gated for sales until subscription collection is confirmed. </w:t>
      </w:r>
      <w:r>
        <w:rPr>
          <w:b/>
          <w:color w:val="20242B"/>
          <w:shd w:val="clear" w:color="auto" w:fill="FFF1A8"/>
        </w:rPr>
        <w:t>[[CONFIRM WITH FINCRA]]</w:t>
      </w:r>
    </w:p>
    <w:p>
      <w:pPr>
        <w:pStyle w:val="ListBullet"/>
      </w:pPr>
      <w:r>
        <w:rPr>
          <w:b/>
        </w:rPr>
        <w:t>Botswana (BWP) and Namibia (NAD) are coming soon</w:t>
      </w:r>
      <w:r>
        <w:rPr/>
        <w:t>: they appear in the app's region picker and in materials, but no secured rail covers them yet, so they are never shown as live payment markets. Headline counts stay 5 rails · 23 countries, plus 2 coming soon.</w:t>
      </w:r>
    </w:p>
    <w:p>
      <w:pPr>
        <w:pStyle w:val="ListBullet"/>
      </w:pPr>
      <w:r>
        <w:rPr/>
        <w:t xml:space="preserve">Every other country, including all countries outside Africa, is </w:t>
      </w:r>
      <w:r>
        <w:rPr>
          <w:b/>
        </w:rPr>
        <w:t>waitlist only</w:t>
      </w:r>
      <w:r>
        <w:rPr/>
        <w:t>: no prices, no checkout.</w:t>
      </w:r>
    </w:p>
    <w:p>
      <w:pPr>
        <w:pStyle w:val="Heading1"/>
        <w:pageBreakBefore/>
      </w:pPr>
      <w:r>
        <w:rPr/>
        <w:t>Appendix C. Gauteng pilot and case-study template</w:t>
      </w:r>
    </w:p>
    <w:p>
      <w:pPr>
        <w:pStyle w:val="Heading2"/>
      </w:pPr>
      <w:r>
        <w:rPr/>
        <w:t>The pilot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Gauteng pilot plan"/>
      </w:tblPr>
      <w:tblGrid>
        <w:gridCol w:w="2267"/>
        <w:gridCol w:w="7370"/>
      </w:tblGrid>
      <w:tr>
        <w:trPr>
          <w:cantSplit/>
          <w:tblHeader/>
        </w:trPr>
        <w:tc>
          <w:tcPr>
            <w:tcW w:type="dxa" w:w="2268"/>
            <w:shd w:val="clear" w:color="auto" w:fill="FF6A00"/>
            <w:vAlign w:val="center"/>
          </w:tcPr>
          <w:p>
            <w:pPr>
              <w:keepNext/>
              <w:spacing w:after="20" w:line="252" w:lineRule="auto"/>
            </w:pPr>
            <w:r>
              <w:rPr>
                <w:rFonts w:ascii="Poppins" w:hAnsi="Poppins" w:cs="Poppins" w:eastAsia="Poppins"/>
                <w:b/>
                <w:color w:val="20242B"/>
                <w:sz w:val="18"/>
              </w:rPr>
              <w:t>Item</w:t>
            </w:r>
          </w:p>
        </w:tc>
        <w:tc>
          <w:tcPr>
            <w:tcW w:type="dxa" w:w="7370"/>
            <w:shd w:val="clear" w:color="auto" w:fill="FF6A00"/>
            <w:vAlign w:val="center"/>
          </w:tcPr>
          <w:p>
            <w:pPr>
              <w:keepNext/>
              <w:spacing w:after="20" w:line="252" w:lineRule="auto"/>
            </w:pPr>
            <w:r>
              <w:rPr>
                <w:rFonts w:ascii="Poppins" w:hAnsi="Poppins" w:cs="Poppins" w:eastAsia="Poppins"/>
                <w:b/>
                <w:color w:val="20242B"/>
                <w:sz w:val="18"/>
              </w:rPr>
              <w:t>Detail</w:t>
            </w:r>
          </w:p>
        </w:tc>
      </w:tr>
      <w:tr>
        <w:trPr>
          <w:cantSplit/>
        </w:trPr>
        <w:tc>
          <w:tcPr>
            <w:tcW w:type="dxa" w:w="2268"/>
            <w:vAlign w:val="center"/>
          </w:tcPr>
          <w:p>
            <w:pPr>
              <w:spacing w:after="20" w:line="252" w:lineRule="auto"/>
            </w:pPr>
            <w:r>
              <w:rPr>
                <w:b/>
                <w:sz w:val="18"/>
              </w:rPr>
              <w:t>Brands</w:t>
            </w:r>
          </w:p>
        </w:tc>
        <w:tc>
          <w:tcPr>
            <w:tcW w:type="dxa" w:w="7370"/>
            <w:vAlign w:val="center"/>
          </w:tcPr>
          <w:p>
            <w:pPr>
              <w:spacing w:after="20" w:line="252" w:lineRule="auto"/>
            </w:pPr>
            <w:r>
              <w:rPr>
                <w:sz w:val="18"/>
              </w:rPr>
              <w:t>12, in Gauteng</w:t>
            </w:r>
          </w:p>
        </w:tc>
      </w:tr>
      <w:tr>
        <w:trPr>
          <w:cantSplit/>
        </w:trPr>
        <w:tc>
          <w:tcPr>
            <w:tcW w:type="dxa" w:w="2268"/>
            <w:shd w:val="clear" w:color="auto" w:fill="FAFAFB"/>
            <w:vAlign w:val="center"/>
          </w:tcPr>
          <w:p>
            <w:pPr>
              <w:spacing w:after="20" w:line="252" w:lineRule="auto"/>
            </w:pPr>
            <w:r>
              <w:rPr>
                <w:b/>
                <w:sz w:val="18"/>
              </w:rPr>
              <w:t>Period</w:t>
            </w:r>
          </w:p>
        </w:tc>
        <w:tc>
          <w:tcPr>
            <w:tcW w:type="dxa" w:w="7370"/>
            <w:shd w:val="clear" w:color="auto" w:fill="FAFAFB"/>
            <w:vAlign w:val="center"/>
          </w:tcPr>
          <w:p>
            <w:pPr>
              <w:spacing w:after="20" w:line="252" w:lineRule="auto"/>
            </w:pPr>
            <w:r>
              <w:rPr>
                <w:sz w:val="18"/>
              </w:rPr>
              <w:t>September to 30 November 2026</w:t>
            </w:r>
          </w:p>
        </w:tc>
      </w:tr>
      <w:tr>
        <w:trPr>
          <w:cantSplit/>
        </w:trPr>
        <w:tc>
          <w:tcPr>
            <w:tcW w:type="dxa" w:w="2268"/>
            <w:vAlign w:val="center"/>
          </w:tcPr>
          <w:p>
            <w:pPr>
              <w:spacing w:after="20" w:line="252" w:lineRule="auto"/>
            </w:pPr>
            <w:r>
              <w:rPr>
                <w:b/>
                <w:sz w:val="18"/>
              </w:rPr>
              <w:t>Cost to brands</w:t>
            </w:r>
          </w:p>
        </w:tc>
        <w:tc>
          <w:tcPr>
            <w:tcW w:type="dxa" w:w="7370"/>
            <w:vAlign w:val="center"/>
          </w:tcPr>
          <w:p>
            <w:pPr>
              <w:spacing w:after="20" w:line="252" w:lineRule="auto"/>
            </w:pPr>
            <w:r>
              <w:rPr>
                <w:sz w:val="18"/>
              </w:rPr>
              <w:t>Nothing during the pilot</w:t>
            </w:r>
          </w:p>
        </w:tc>
      </w:tr>
      <w:tr>
        <w:trPr>
          <w:cantSplit/>
        </w:trPr>
        <w:tc>
          <w:tcPr>
            <w:tcW w:type="dxa" w:w="2268"/>
            <w:shd w:val="clear" w:color="auto" w:fill="FAFAFB"/>
            <w:vAlign w:val="center"/>
          </w:tcPr>
          <w:p>
            <w:pPr>
              <w:spacing w:after="20" w:line="252" w:lineRule="auto"/>
            </w:pPr>
            <w:r>
              <w:rPr>
                <w:b/>
                <w:sz w:val="18"/>
              </w:rPr>
              <w:t>Suggested mix</w:t>
            </w:r>
          </w:p>
        </w:tc>
        <w:tc>
          <w:tcPr>
            <w:tcW w:type="dxa" w:w="7370"/>
            <w:shd w:val="clear" w:color="auto" w:fill="FAFAFB"/>
            <w:vAlign w:val="center"/>
          </w:tcPr>
          <w:p>
            <w:pPr>
              <w:spacing w:after="20" w:line="252" w:lineRule="auto"/>
            </w:pPr>
            <w:r>
              <w:rPr>
                <w:sz w:val="18"/>
              </w:rPr>
              <w:t>5 solo entrepreneurs, 5 SMEs, 2 agencies (archetypes; the real roster replaces this)</w:t>
            </w:r>
          </w:p>
        </w:tc>
      </w:tr>
      <w:tr>
        <w:trPr>
          <w:cantSplit/>
        </w:trPr>
        <w:tc>
          <w:tcPr>
            <w:tcW w:type="dxa" w:w="2268"/>
            <w:vAlign w:val="center"/>
          </w:tcPr>
          <w:p>
            <w:pPr>
              <w:spacing w:after="20" w:line="252" w:lineRule="auto"/>
            </w:pPr>
            <w:r>
              <w:rPr>
                <w:b/>
                <w:sz w:val="18"/>
              </w:rPr>
              <w:t>Lead case study</w:t>
            </w:r>
          </w:p>
        </w:tc>
        <w:tc>
          <w:tcPr>
            <w:tcW w:type="dxa" w:w="7370"/>
            <w:vAlign w:val="center"/>
          </w:tcPr>
          <w:p>
            <w:pPr>
              <w:spacing w:after="20" w:line="252" w:lineRule="auto"/>
            </w:pPr>
            <w:r>
              <w:rPr>
                <w:sz w:val="18"/>
              </w:rPr>
              <w:t>A braiding and hair studio: solo entrepreneur on Starter, short booking cycles, decisions made by one owner</w:t>
            </w:r>
          </w:p>
        </w:tc>
      </w:tr>
      <w:tr>
        <w:trPr>
          <w:cantSplit/>
        </w:trPr>
        <w:tc>
          <w:tcPr>
            <w:tcW w:type="dxa" w:w="2268"/>
            <w:shd w:val="clear" w:color="auto" w:fill="FAFAFB"/>
            <w:vAlign w:val="center"/>
          </w:tcPr>
          <w:p>
            <w:pPr>
              <w:spacing w:after="20" w:line="252" w:lineRule="auto"/>
            </w:pPr>
            <w:r>
              <w:rPr>
                <w:b/>
                <w:sz w:val="18"/>
              </w:rPr>
              <w:t>Conversion</w:t>
            </w:r>
          </w:p>
        </w:tc>
        <w:tc>
          <w:tcPr>
            <w:tcW w:type="dxa" w:w="7370"/>
            <w:shd w:val="clear" w:color="auto" w:fill="FAFAFB"/>
            <w:vAlign w:val="center"/>
          </w:tcPr>
          <w:p>
            <w:pPr>
              <w:spacing w:after="20" w:line="252" w:lineRule="auto"/>
            </w:pPr>
            <w:r>
              <w:rPr>
                <w:sz w:val="18"/>
              </w:rPr>
              <w:t>From 1 December 2026 on pilot terms (50% off the first two monthly bills) in exchange for a case study and logo permission</w:t>
            </w:r>
          </w:p>
        </w:tc>
      </w:tr>
      <w:tr>
        <w:trPr>
          <w:cantSplit/>
        </w:trPr>
        <w:tc>
          <w:tcPr>
            <w:tcW w:type="dxa" w:w="2268"/>
            <w:vAlign w:val="center"/>
          </w:tcPr>
          <w:p>
            <w:pPr>
              <w:spacing w:after="20" w:line="252" w:lineRule="auto"/>
            </w:pPr>
            <w:r>
              <w:rPr>
                <w:b/>
                <w:sz w:val="18"/>
              </w:rPr>
              <w:t>Modelled conversion</w:t>
            </w:r>
          </w:p>
        </w:tc>
        <w:tc>
          <w:tcPr>
            <w:tcW w:type="dxa" w:w="7370"/>
            <w:vAlign w:val="center"/>
          </w:tcPr>
          <w:p>
            <w:pPr>
              <w:spacing w:after="20" w:line="252" w:lineRule="auto"/>
            </w:pPr>
            <w:r>
              <w:rPr>
                <w:sz w:val="18"/>
              </w:rPr>
              <w:t xml:space="preserve">75% (9 brands) </w:t>
            </w:r>
            <w:r>
              <w:rPr>
                <w:b/>
                <w:color w:val="20242B"/>
                <w:sz w:val="18"/>
                <w:shd w:val="clear" w:color="auto" w:fill="FFF1A8"/>
              </w:rPr>
              <w:t>[[CONFIRM]]</w:t>
            </w:r>
          </w:p>
        </w:tc>
      </w:tr>
      <w:tr>
        <w:trPr>
          <w:cantSplit/>
        </w:trPr>
        <w:tc>
          <w:tcPr>
            <w:tcW w:type="dxa" w:w="2268"/>
            <w:shd w:val="clear" w:color="auto" w:fill="FAFAFB"/>
            <w:vAlign w:val="center"/>
          </w:tcPr>
          <w:p>
            <w:pPr>
              <w:spacing w:after="20" w:line="252" w:lineRule="auto"/>
            </w:pPr>
            <w:r>
              <w:rPr>
                <w:b/>
                <w:sz w:val="18"/>
              </w:rPr>
              <w:t>Results available</w:t>
            </w:r>
          </w:p>
        </w:tc>
        <w:tc>
          <w:tcPr>
            <w:tcW w:type="dxa" w:w="7370"/>
            <w:shd w:val="clear" w:color="auto" w:fill="FAFAFB"/>
            <w:vAlign w:val="center"/>
          </w:tcPr>
          <w:p>
            <w:pPr>
              <w:spacing w:after="20" w:line="252" w:lineRule="auto"/>
            </w:pPr>
            <w:r>
              <w:rPr>
                <w:sz w:val="18"/>
              </w:rPr>
              <w:t>December 2026</w:t>
            </w:r>
          </w:p>
        </w:tc>
      </w:tr>
      <w:tr>
        <w:trPr>
          <w:cantSplit/>
        </w:trPr>
        <w:tc>
          <w:tcPr>
            <w:tcW w:type="dxa" w:w="2268"/>
            <w:vAlign w:val="center"/>
          </w:tcPr>
          <w:p>
            <w:pPr>
              <w:spacing w:after="20" w:line="252" w:lineRule="auto"/>
            </w:pPr>
            <w:r>
              <w:rPr>
                <w:b/>
                <w:sz w:val="18"/>
              </w:rPr>
              <w:t>Pilot name</w:t>
            </w:r>
          </w:p>
        </w:tc>
        <w:tc>
          <w:tcPr>
            <w:tcW w:type="dxa" w:w="7370"/>
            <w:vAlign w:val="center"/>
          </w:tcPr>
          <w:p>
            <w:pPr>
              <w:spacing w:after="20" w:line="252" w:lineRule="auto"/>
            </w:pPr>
            <w:r>
              <w:rPr>
                <w:b/>
                <w:color w:val="20242B"/>
                <w:sz w:val="18"/>
                <w:shd w:val="clear" w:color="auto" w:fill="FFF1A8"/>
              </w:rPr>
              <w:t>[[PILOT NAME]]</w:t>
            </w:r>
          </w:p>
        </w:tc>
      </w:tr>
    </w:tbl>
    <w:p>
      <w:pPr>
        <w:spacing w:after="0" w:line="120" w:lineRule="exact"/>
      </w:pPr>
    </w:p>
    <w:p>
      <w:pPr>
        <w:pStyle w:val="Heading2"/>
      </w:pPr>
      <w:r>
        <w:rPr/>
        <w:t>Case-study template</w:t>
      </w:r>
    </w:p>
    <w:p>
      <w:r>
        <w:rPr/>
        <w:t xml:space="preserve">Each case study follows this structure. </w:t>
      </w:r>
      <w:r>
        <w:rPr>
          <w:b/>
        </w:rPr>
        <w:t>Every metric is a placeholder until measured, and target columns are labelled as goals, never as results.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se-study KPI template"/>
      </w:tblPr>
      <w:tblGrid>
        <w:gridCol w:w="4195"/>
        <w:gridCol w:w="1814"/>
        <w:gridCol w:w="1814"/>
        <w:gridCol w:w="1814"/>
      </w:tblGrid>
      <w:tr>
        <w:trPr>
          <w:cantSplit/>
          <w:tblHeader/>
        </w:trPr>
        <w:tc>
          <w:tcPr>
            <w:tcW w:type="dxa" w:w="4195"/>
            <w:shd w:val="clear" w:color="auto" w:fill="FF6A00"/>
            <w:vAlign w:val="center"/>
          </w:tcPr>
          <w:p>
            <w:pPr>
              <w:keepNext/>
              <w:spacing w:after="20" w:line="252" w:lineRule="auto"/>
            </w:pPr>
            <w:r>
              <w:rPr>
                <w:rFonts w:ascii="Poppins" w:hAnsi="Poppins" w:cs="Poppins" w:eastAsia="Poppins"/>
                <w:b/>
                <w:color w:val="20242B"/>
                <w:sz w:val="18"/>
              </w:rPr>
              <w:t>KPI</w:t>
            </w:r>
          </w:p>
        </w:tc>
        <w:tc>
          <w:tcPr>
            <w:tcW w:type="dxa" w:w="1814"/>
            <w:shd w:val="clear" w:color="auto" w:fill="FF6A00"/>
            <w:vAlign w:val="center"/>
          </w:tcPr>
          <w:p>
            <w:pPr>
              <w:keepNext/>
              <w:spacing w:after="20" w:line="252" w:lineRule="auto"/>
              <w:jc w:val="center"/>
            </w:pPr>
            <w:r>
              <w:rPr>
                <w:rFonts w:ascii="Poppins" w:hAnsi="Poppins" w:cs="Poppins" w:eastAsia="Poppins"/>
                <w:b/>
                <w:color w:val="20242B"/>
                <w:sz w:val="18"/>
              </w:rPr>
              <w:t>Baseline</w:t>
            </w:r>
          </w:p>
        </w:tc>
        <w:tc>
          <w:tcPr>
            <w:tcW w:type="dxa" w:w="1814"/>
            <w:shd w:val="clear" w:color="auto" w:fill="FF6A00"/>
            <w:vAlign w:val="center"/>
          </w:tcPr>
          <w:p>
            <w:pPr>
              <w:keepNext/>
              <w:spacing w:after="20" w:line="252" w:lineRule="auto"/>
              <w:jc w:val="center"/>
            </w:pPr>
            <w:r>
              <w:rPr>
                <w:rFonts w:ascii="Poppins" w:hAnsi="Poppins" w:cs="Poppins" w:eastAsia="Poppins"/>
                <w:b/>
                <w:color w:val="20242B"/>
                <w:sz w:val="18"/>
              </w:rPr>
              <w:t>Target (goal)</w:t>
            </w:r>
          </w:p>
        </w:tc>
        <w:tc>
          <w:tcPr>
            <w:tcW w:type="dxa" w:w="1814"/>
            <w:shd w:val="clear" w:color="auto" w:fill="FF6A00"/>
            <w:vAlign w:val="center"/>
          </w:tcPr>
          <w:p>
            <w:pPr>
              <w:keepNext/>
              <w:spacing w:after="20" w:line="252" w:lineRule="auto"/>
              <w:jc w:val="center"/>
            </w:pPr>
            <w:r>
              <w:rPr>
                <w:rFonts w:ascii="Poppins" w:hAnsi="Poppins" w:cs="Poppins" w:eastAsia="Poppins"/>
                <w:b/>
                <w:color w:val="20242B"/>
                <w:sz w:val="18"/>
              </w:rPr>
              <w:t>Actual</w:t>
            </w:r>
          </w:p>
        </w:tc>
      </w:tr>
      <w:tr>
        <w:trPr>
          <w:cantSplit/>
        </w:trPr>
        <w:tc>
          <w:tcPr>
            <w:tcW w:type="dxa" w:w="4195"/>
            <w:vAlign w:val="center"/>
          </w:tcPr>
          <w:p>
            <w:pPr>
              <w:spacing w:after="20" w:line="252" w:lineRule="auto"/>
            </w:pPr>
            <w:r>
              <w:rPr>
                <w:b/>
                <w:sz w:val="18"/>
              </w:rPr>
              <w:t>WhatsApp conversations handled</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r>
      <w:tr>
        <w:trPr>
          <w:cantSplit/>
        </w:trPr>
        <w:tc>
          <w:tcPr>
            <w:tcW w:type="dxa" w:w="4195"/>
            <w:shd w:val="clear" w:color="auto" w:fill="FAFAFB"/>
            <w:vAlign w:val="center"/>
          </w:tcPr>
          <w:p>
            <w:pPr>
              <w:spacing w:after="20" w:line="252" w:lineRule="auto"/>
            </w:pPr>
            <w:r>
              <w:rPr>
                <w:b/>
                <w:sz w:val="18"/>
              </w:rPr>
              <w:t>Median first-reply time</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r>
      <w:tr>
        <w:trPr>
          <w:cantSplit/>
        </w:trPr>
        <w:tc>
          <w:tcPr>
            <w:tcW w:type="dxa" w:w="4195"/>
            <w:vAlign w:val="center"/>
          </w:tcPr>
          <w:p>
            <w:pPr>
              <w:spacing w:after="20" w:line="252" w:lineRule="auto"/>
            </w:pPr>
            <w:r>
              <w:rPr>
                <w:b/>
                <w:sz w:val="18"/>
              </w:rPr>
              <w:t>Bookings or orders via WhatsApp</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r>
      <w:tr>
        <w:trPr>
          <w:cantSplit/>
        </w:trPr>
        <w:tc>
          <w:tcPr>
            <w:tcW w:type="dxa" w:w="4195"/>
            <w:shd w:val="clear" w:color="auto" w:fill="FAFAFB"/>
            <w:vAlign w:val="center"/>
          </w:tcPr>
          <w:p>
            <w:pPr>
              <w:spacing w:after="20" w:line="252" w:lineRule="auto"/>
            </w:pPr>
            <w:r>
              <w:rPr>
                <w:b/>
                <w:sz w:val="18"/>
              </w:rPr>
              <w:t>Deposits or payments collected in chat (R)</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r>
      <w:tr>
        <w:trPr>
          <w:cantSplit/>
        </w:trPr>
        <w:tc>
          <w:tcPr>
            <w:tcW w:type="dxa" w:w="4195"/>
            <w:vAlign w:val="center"/>
          </w:tcPr>
          <w:p>
            <w:pPr>
              <w:spacing w:after="20" w:line="252" w:lineRule="auto"/>
            </w:pPr>
            <w:r>
              <w:rPr>
                <w:b/>
                <w:sz w:val="18"/>
              </w:rPr>
              <w:t>Posts published per month</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r>
      <w:tr>
        <w:trPr>
          <w:cantSplit/>
        </w:trPr>
        <w:tc>
          <w:tcPr>
            <w:tcW w:type="dxa" w:w="4195"/>
            <w:shd w:val="clear" w:color="auto" w:fill="FAFAFB"/>
            <w:vAlign w:val="center"/>
          </w:tcPr>
          <w:p>
            <w:pPr>
              <w:spacing w:after="20" w:line="252" w:lineRule="auto"/>
            </w:pPr>
            <w:r>
              <w:rPr>
                <w:b/>
                <w:sz w:val="18"/>
              </w:rPr>
              <w:t>Owner or staff hours saved per week</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r>
      <w:tr>
        <w:trPr>
          <w:cantSplit/>
        </w:trPr>
        <w:tc>
          <w:tcPr>
            <w:tcW w:type="dxa" w:w="4195"/>
            <w:vAlign w:val="center"/>
          </w:tcPr>
          <w:p>
            <w:pPr>
              <w:spacing w:after="20" w:line="252" w:lineRule="auto"/>
            </w:pPr>
            <w:r>
              <w:rPr>
                <w:b/>
                <w:sz w:val="18"/>
              </w:rPr>
              <w:t>Repeat-customer rate</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c>
          <w:tcPr>
            <w:tcW w:type="dxa" w:w="1814"/>
            <w:vAlign w:val="center"/>
          </w:tcPr>
          <w:p>
            <w:pPr>
              <w:spacing w:after="20" w:line="252" w:lineRule="auto"/>
              <w:jc w:val="center"/>
            </w:pPr>
            <w:r>
              <w:rPr>
                <w:b/>
                <w:color w:val="20242B"/>
                <w:sz w:val="18"/>
                <w:shd w:val="clear" w:color="auto" w:fill="FFF1A8"/>
              </w:rPr>
              <w:t>[[ ]]</w:t>
            </w:r>
          </w:p>
        </w:tc>
      </w:tr>
      <w:tr>
        <w:trPr>
          <w:cantSplit/>
        </w:trPr>
        <w:tc>
          <w:tcPr>
            <w:tcW w:type="dxa" w:w="4195"/>
            <w:shd w:val="clear" w:color="auto" w:fill="FAFAFB"/>
            <w:vAlign w:val="center"/>
          </w:tcPr>
          <w:p>
            <w:pPr>
              <w:spacing w:after="20" w:line="252" w:lineRule="auto"/>
            </w:pPr>
            <w:r>
              <w:rPr>
                <w:b/>
                <w:sz w:val="18"/>
              </w:rPr>
              <w:t>NPS</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c>
          <w:tcPr>
            <w:tcW w:type="dxa" w:w="1814"/>
            <w:shd w:val="clear" w:color="auto" w:fill="FAFAFB"/>
            <w:vAlign w:val="center"/>
          </w:tcPr>
          <w:p>
            <w:pPr>
              <w:spacing w:after="20" w:line="252" w:lineRule="auto"/>
              <w:jc w:val="center"/>
            </w:pPr>
            <w:r>
              <w:rPr>
                <w:b/>
                <w:color w:val="20242B"/>
                <w:sz w:val="18"/>
                <w:shd w:val="clear" w:color="auto" w:fill="FFF1A8"/>
              </w:rPr>
              <w:t>[[ ]]</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4896000" cy="2754000"/>
            <wp:docPr id="26" name="Picture 26" descr="Designed case-study page for the Gauteng braiding and hair studio with placeholder fields for brand, area, challenge, set-up and three metrics labelled Target (goal), an owner quote placeholder, and a stamp reading pilot data pending, December 2026."/>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896000" cy="2754000"/>
                    </a:xfrm>
                    <a:prstGeom prst="rect"/>
                  </pic:spPr>
                </pic:pic>
              </a:graphicData>
            </a:graphic>
          </wp:inline>
        </w:drawing>
      </w:r>
    </w:p>
    <w:p>
      <w:pPr>
        <w:pStyle w:val="Caption"/>
        <w:jc w:val="center"/>
      </w:pPr>
      <w:r>
        <w:rPr>
          <w:b/>
        </w:rPr>
        <w:t>Figure 25.</w:t>
      </w:r>
      <w:r>
        <w:rPr/>
        <w:t xml:space="preserve"> The case-study layout, with placeholder fields and a pilot-data-pending stamp.</w:t>
      </w:r>
    </w:p>
    <w:p>
      <w:pPr>
        <w:pStyle w:val="ListBullet"/>
      </w:pPr>
      <w:r>
        <w:rPr/>
        <w:t>Aggregate pilot figures need data from at least 8 of the 12 brands, and must state the period and how each figure was measured.</w:t>
      </w:r>
    </w:p>
    <w:p>
      <w:pPr>
        <w:pStyle w:val="ListBullet"/>
      </w:pPr>
      <w:r>
        <w:rPr/>
        <w:t>No brand name, logo or photograph is used without signed consent; customer names and phone numbers are blurred in every screenshot.</w:t>
      </w:r>
    </w:p>
    <w:p>
      <w:pPr>
        <w:pStyle w:val="ListBullet"/>
      </w:pPr>
      <w:r>
        <w:rPr/>
        <w:t>Until 30 November 2026 all materials say “pilot underway, results December 2026”.</w:t>
      </w:r>
    </w:p>
    <w:p>
      <w:pPr>
        <w:pStyle w:val="Heading1"/>
        <w:pageBreakBefore/>
      </w:pPr>
      <w:r>
        <w:rPr/>
        <w:t>Appendix D. Detailed financial tables</w:t>
      </w:r>
    </w:p>
    <w:p>
      <w:pPr>
        <w:pStyle w:val="Heading2"/>
      </w:pPr>
      <w:r>
        <w:rPr/>
        <w:t>Annual profit and loss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nnual P&amp;L (R, Base case)"/>
      </w:tblPr>
      <w:tblGrid>
        <w:gridCol w:w="2834"/>
        <w:gridCol w:w="1360"/>
        <w:gridCol w:w="1360"/>
        <w:gridCol w:w="1360"/>
        <w:gridCol w:w="1360"/>
        <w:gridCol w:w="1360"/>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5"/>
              </w:rPr>
              <w:t>R</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5"/>
              </w:rPr>
              <w:t>FY1</w:t>
            </w:r>
          </w:p>
          <w:p>
            <w:pPr>
              <w:keepNext/>
              <w:spacing w:after="20" w:line="252" w:lineRule="auto"/>
              <w:jc w:val="right"/>
            </w:pPr>
            <w:r>
              <w:rPr>
                <w:rFonts w:ascii="Poppins" w:hAnsi="Poppins" w:cs="Poppins" w:eastAsia="Poppins"/>
                <w:b/>
                <w:color w:val="20242B"/>
                <w:sz w:val="15"/>
              </w:rPr>
              <w:t>Oct 2026–Sep 2027</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5"/>
              </w:rPr>
              <w:t>FY2</w:t>
            </w:r>
          </w:p>
          <w:p>
            <w:pPr>
              <w:keepNext/>
              <w:spacing w:after="20" w:line="252" w:lineRule="auto"/>
              <w:jc w:val="right"/>
            </w:pPr>
            <w:r>
              <w:rPr>
                <w:rFonts w:ascii="Poppins" w:hAnsi="Poppins" w:cs="Poppins" w:eastAsia="Poppins"/>
                <w:b/>
                <w:color w:val="20242B"/>
                <w:sz w:val="15"/>
              </w:rPr>
              <w:t>Oct 2027–Sep 2028</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5"/>
              </w:rPr>
              <w:t>FY3</w:t>
            </w:r>
          </w:p>
          <w:p>
            <w:pPr>
              <w:keepNext/>
              <w:spacing w:after="20" w:line="252" w:lineRule="auto"/>
              <w:jc w:val="right"/>
            </w:pPr>
            <w:r>
              <w:rPr>
                <w:rFonts w:ascii="Poppins" w:hAnsi="Poppins" w:cs="Poppins" w:eastAsia="Poppins"/>
                <w:b/>
                <w:color w:val="20242B"/>
                <w:sz w:val="15"/>
              </w:rPr>
              <w:t>Oct 2028–Sep 2029</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5"/>
              </w:rPr>
              <w:t>FY4</w:t>
            </w:r>
          </w:p>
          <w:p>
            <w:pPr>
              <w:keepNext/>
              <w:spacing w:after="20" w:line="252" w:lineRule="auto"/>
              <w:jc w:val="right"/>
            </w:pPr>
            <w:r>
              <w:rPr>
                <w:rFonts w:ascii="Poppins" w:hAnsi="Poppins" w:cs="Poppins" w:eastAsia="Poppins"/>
                <w:b/>
                <w:color w:val="20242B"/>
                <w:sz w:val="15"/>
              </w:rPr>
              <w:t>Oct 2029–Sep 2030</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5"/>
              </w:rPr>
              <w:t>FY5</w:t>
            </w:r>
          </w:p>
          <w:p>
            <w:pPr>
              <w:keepNext/>
              <w:spacing w:after="20" w:line="252" w:lineRule="auto"/>
              <w:jc w:val="right"/>
            </w:pPr>
            <w:r>
              <w:rPr>
                <w:rFonts w:ascii="Poppins" w:hAnsi="Poppins" w:cs="Poppins" w:eastAsia="Poppins"/>
                <w:b/>
                <w:color w:val="20242B"/>
                <w:sz w:val="15"/>
              </w:rPr>
              <w:t>Oct 2030–Sep 2031</w:t>
            </w:r>
          </w:p>
        </w:tc>
      </w:tr>
      <w:tr>
        <w:trPr>
          <w:cantSplit/>
        </w:trPr>
        <w:tc>
          <w:tcPr>
            <w:tcW w:type="dxa" w:w="2835"/>
            <w:vAlign w:val="center"/>
          </w:tcPr>
          <w:p>
            <w:pPr>
              <w:spacing w:after="20" w:line="252" w:lineRule="auto"/>
            </w:pPr>
            <w:r>
              <w:rPr>
                <w:b/>
                <w:sz w:val="15"/>
              </w:rPr>
              <w:t>Subscriptions (gross)</w:t>
            </w:r>
          </w:p>
        </w:tc>
        <w:tc>
          <w:tcPr>
            <w:tcW w:type="dxa" w:w="1361"/>
            <w:vAlign w:val="center"/>
          </w:tcPr>
          <w:p>
            <w:pPr>
              <w:spacing w:after="20" w:line="252" w:lineRule="auto"/>
              <w:jc w:val="right"/>
            </w:pPr>
            <w:r>
              <w:rPr>
                <w:sz w:val="15"/>
              </w:rPr>
              <w:t>R2,983,835</w:t>
            </w:r>
          </w:p>
        </w:tc>
        <w:tc>
          <w:tcPr>
            <w:tcW w:type="dxa" w:w="1361"/>
            <w:vAlign w:val="center"/>
          </w:tcPr>
          <w:p>
            <w:pPr>
              <w:spacing w:after="20" w:line="252" w:lineRule="auto"/>
              <w:jc w:val="right"/>
            </w:pPr>
            <w:r>
              <w:rPr>
                <w:sz w:val="15"/>
              </w:rPr>
              <w:t>R21,959,842</w:t>
            </w:r>
          </w:p>
        </w:tc>
        <w:tc>
          <w:tcPr>
            <w:tcW w:type="dxa" w:w="1361"/>
            <w:vAlign w:val="center"/>
          </w:tcPr>
          <w:p>
            <w:pPr>
              <w:spacing w:after="20" w:line="252" w:lineRule="auto"/>
              <w:jc w:val="right"/>
            </w:pPr>
            <w:r>
              <w:rPr>
                <w:sz w:val="15"/>
              </w:rPr>
              <w:t>R64,853,634</w:t>
            </w:r>
          </w:p>
        </w:tc>
        <w:tc>
          <w:tcPr>
            <w:tcW w:type="dxa" w:w="1361"/>
            <w:vAlign w:val="center"/>
          </w:tcPr>
          <w:p>
            <w:pPr>
              <w:spacing w:after="20" w:line="252" w:lineRule="auto"/>
              <w:jc w:val="right"/>
            </w:pPr>
            <w:r>
              <w:rPr>
                <w:sz w:val="15"/>
              </w:rPr>
              <w:t>R129,468,743</w:t>
            </w:r>
          </w:p>
        </w:tc>
        <w:tc>
          <w:tcPr>
            <w:tcW w:type="dxa" w:w="1361"/>
            <w:vAlign w:val="center"/>
          </w:tcPr>
          <w:p>
            <w:pPr>
              <w:spacing w:after="20" w:line="252" w:lineRule="auto"/>
              <w:jc w:val="right"/>
            </w:pPr>
            <w:r>
              <w:rPr>
                <w:sz w:val="15"/>
              </w:rPr>
              <w:t>R213,774,899</w:t>
            </w:r>
          </w:p>
        </w:tc>
      </w:tr>
      <w:tr>
        <w:trPr>
          <w:cantSplit/>
        </w:trPr>
        <w:tc>
          <w:tcPr>
            <w:tcW w:type="dxa" w:w="2835"/>
            <w:shd w:val="clear" w:color="auto" w:fill="FAFAFB"/>
            <w:vAlign w:val="center"/>
          </w:tcPr>
          <w:p>
            <w:pPr>
              <w:spacing w:after="20" w:line="252" w:lineRule="auto"/>
            </w:pPr>
            <w:r>
              <w:rPr>
                <w:b/>
                <w:sz w:val="15"/>
              </w:rPr>
              <w:t>less Founding Member discount</w:t>
            </w:r>
          </w:p>
        </w:tc>
        <w:tc>
          <w:tcPr>
            <w:tcW w:type="dxa" w:w="1361"/>
            <w:shd w:val="clear" w:color="auto" w:fill="FAFAFB"/>
            <w:vAlign w:val="center"/>
          </w:tcPr>
          <w:p>
            <w:pPr>
              <w:spacing w:after="20" w:line="252" w:lineRule="auto"/>
              <w:jc w:val="right"/>
            </w:pPr>
            <w:r>
              <w:rPr>
                <w:sz w:val="15"/>
              </w:rPr>
              <w:t>(R26,444)</w:t>
            </w:r>
          </w:p>
        </w:tc>
        <w:tc>
          <w:tcPr>
            <w:tcW w:type="dxa" w:w="1361"/>
            <w:shd w:val="clear" w:color="auto" w:fill="FAFAFB"/>
            <w:vAlign w:val="center"/>
          </w:tcPr>
          <w:p>
            <w:pPr>
              <w:spacing w:after="20" w:line="252" w:lineRule="auto"/>
              <w:jc w:val="right"/>
            </w:pPr>
            <w:r>
              <w:rPr>
                <w:sz w:val="15"/>
              </w:rPr>
              <w:t>(R118,887)</w:t>
            </w:r>
          </w:p>
        </w:tc>
        <w:tc>
          <w:tcPr>
            <w:tcW w:type="dxa" w:w="1361"/>
            <w:shd w:val="clear" w:color="auto" w:fill="FAFAFB"/>
            <w:vAlign w:val="center"/>
          </w:tcPr>
          <w:p>
            <w:pPr>
              <w:spacing w:after="20" w:line="252" w:lineRule="auto"/>
              <w:jc w:val="right"/>
            </w:pPr>
            <w:r>
              <w:rPr>
                <w:sz w:val="15"/>
              </w:rPr>
              <w:t>(R45,283)</w:t>
            </w:r>
          </w:p>
        </w:tc>
        <w:tc>
          <w:tcPr>
            <w:tcW w:type="dxa" w:w="1361"/>
            <w:shd w:val="clear" w:color="auto" w:fill="FAFAFB"/>
            <w:vAlign w:val="center"/>
          </w:tcPr>
          <w:p>
            <w:pPr>
              <w:spacing w:after="20" w:line="252" w:lineRule="auto"/>
              <w:jc w:val="right"/>
            </w:pPr>
            <w:r>
              <w:rPr>
                <w:sz w:val="15"/>
              </w:rPr>
              <w:t>(R0)</w:t>
            </w:r>
          </w:p>
        </w:tc>
        <w:tc>
          <w:tcPr>
            <w:tcW w:type="dxa" w:w="1361"/>
            <w:shd w:val="clear" w:color="auto" w:fill="FAFAFB"/>
            <w:vAlign w:val="center"/>
          </w:tcPr>
          <w:p>
            <w:pPr>
              <w:spacing w:after="20" w:line="252" w:lineRule="auto"/>
              <w:jc w:val="right"/>
            </w:pPr>
            <w:r>
              <w:rPr>
                <w:sz w:val="15"/>
              </w:rPr>
              <w:t>(R0)</w:t>
            </w:r>
          </w:p>
        </w:tc>
      </w:tr>
      <w:tr>
        <w:trPr>
          <w:cantSplit/>
        </w:trPr>
        <w:tc>
          <w:tcPr>
            <w:tcW w:type="dxa" w:w="2835"/>
            <w:vAlign w:val="center"/>
          </w:tcPr>
          <w:p>
            <w:pPr>
              <w:spacing w:after="20" w:line="252" w:lineRule="auto"/>
            </w:pPr>
            <w:r>
              <w:rPr>
                <w:b/>
                <w:sz w:val="15"/>
              </w:rPr>
              <w:t>less pilot discount</w:t>
            </w:r>
          </w:p>
        </w:tc>
        <w:tc>
          <w:tcPr>
            <w:tcW w:type="dxa" w:w="1361"/>
            <w:vAlign w:val="center"/>
          </w:tcPr>
          <w:p>
            <w:pPr>
              <w:spacing w:after="20" w:line="252" w:lineRule="auto"/>
              <w:jc w:val="right"/>
            </w:pPr>
            <w:r>
              <w:rPr>
                <w:sz w:val="15"/>
              </w:rPr>
              <w:t>(R13,643)</w:t>
            </w:r>
          </w:p>
        </w:tc>
        <w:tc>
          <w:tcPr>
            <w:tcW w:type="dxa" w:w="1361"/>
            <w:vAlign w:val="center"/>
          </w:tcPr>
          <w:p>
            <w:pPr>
              <w:spacing w:after="20" w:line="252" w:lineRule="auto"/>
              <w:jc w:val="right"/>
            </w:pPr>
            <w:r>
              <w:rPr>
                <w:sz w:val="15"/>
              </w:rPr>
              <w:t>(R0)</w:t>
            </w:r>
          </w:p>
        </w:tc>
        <w:tc>
          <w:tcPr>
            <w:tcW w:type="dxa" w:w="1361"/>
            <w:vAlign w:val="center"/>
          </w:tcPr>
          <w:p>
            <w:pPr>
              <w:spacing w:after="20" w:line="252" w:lineRule="auto"/>
              <w:jc w:val="right"/>
            </w:pPr>
            <w:r>
              <w:rPr>
                <w:sz w:val="15"/>
              </w:rPr>
              <w:t>(R0)</w:t>
            </w:r>
          </w:p>
        </w:tc>
        <w:tc>
          <w:tcPr>
            <w:tcW w:type="dxa" w:w="1361"/>
            <w:vAlign w:val="center"/>
          </w:tcPr>
          <w:p>
            <w:pPr>
              <w:spacing w:after="20" w:line="252" w:lineRule="auto"/>
              <w:jc w:val="right"/>
            </w:pPr>
            <w:r>
              <w:rPr>
                <w:sz w:val="15"/>
              </w:rPr>
              <w:t>(R0)</w:t>
            </w:r>
          </w:p>
        </w:tc>
        <w:tc>
          <w:tcPr>
            <w:tcW w:type="dxa" w:w="1361"/>
            <w:vAlign w:val="center"/>
          </w:tcPr>
          <w:p>
            <w:pPr>
              <w:spacing w:after="20" w:line="252" w:lineRule="auto"/>
              <w:jc w:val="right"/>
            </w:pPr>
            <w:r>
              <w:rPr>
                <w:sz w:val="15"/>
              </w:rPr>
              <w:t>(R0)</w:t>
            </w:r>
          </w:p>
        </w:tc>
      </w:tr>
      <w:tr>
        <w:trPr>
          <w:cantSplit/>
        </w:trPr>
        <w:tc>
          <w:tcPr>
            <w:tcW w:type="dxa" w:w="2835"/>
            <w:shd w:val="clear" w:color="auto" w:fill="FAFAFB"/>
            <w:vAlign w:val="center"/>
          </w:tcPr>
          <w:p>
            <w:pPr>
              <w:spacing w:after="20" w:line="252" w:lineRule="auto"/>
            </w:pPr>
            <w:r>
              <w:rPr>
                <w:b/>
                <w:sz w:val="15"/>
              </w:rPr>
              <w:t>Subscriptions (net)</w:t>
            </w:r>
          </w:p>
        </w:tc>
        <w:tc>
          <w:tcPr>
            <w:tcW w:type="dxa" w:w="1361"/>
            <w:shd w:val="clear" w:color="auto" w:fill="FAFAFB"/>
            <w:vAlign w:val="center"/>
          </w:tcPr>
          <w:p>
            <w:pPr>
              <w:spacing w:after="20" w:line="252" w:lineRule="auto"/>
              <w:jc w:val="right"/>
            </w:pPr>
            <w:r>
              <w:rPr>
                <w:sz w:val="15"/>
              </w:rPr>
              <w:t>R2,943,749</w:t>
            </w:r>
          </w:p>
        </w:tc>
        <w:tc>
          <w:tcPr>
            <w:tcW w:type="dxa" w:w="1361"/>
            <w:shd w:val="clear" w:color="auto" w:fill="FAFAFB"/>
            <w:vAlign w:val="center"/>
          </w:tcPr>
          <w:p>
            <w:pPr>
              <w:spacing w:after="20" w:line="252" w:lineRule="auto"/>
              <w:jc w:val="right"/>
            </w:pPr>
            <w:r>
              <w:rPr>
                <w:sz w:val="15"/>
              </w:rPr>
              <w:t>R21,840,955</w:t>
            </w:r>
          </w:p>
        </w:tc>
        <w:tc>
          <w:tcPr>
            <w:tcW w:type="dxa" w:w="1361"/>
            <w:shd w:val="clear" w:color="auto" w:fill="FAFAFB"/>
            <w:vAlign w:val="center"/>
          </w:tcPr>
          <w:p>
            <w:pPr>
              <w:spacing w:after="20" w:line="252" w:lineRule="auto"/>
              <w:jc w:val="right"/>
            </w:pPr>
            <w:r>
              <w:rPr>
                <w:sz w:val="15"/>
              </w:rPr>
              <w:t>R64,808,351</w:t>
            </w:r>
          </w:p>
        </w:tc>
        <w:tc>
          <w:tcPr>
            <w:tcW w:type="dxa" w:w="1361"/>
            <w:shd w:val="clear" w:color="auto" w:fill="FAFAFB"/>
            <w:vAlign w:val="center"/>
          </w:tcPr>
          <w:p>
            <w:pPr>
              <w:spacing w:after="20" w:line="252" w:lineRule="auto"/>
              <w:jc w:val="right"/>
            </w:pPr>
            <w:r>
              <w:rPr>
                <w:sz w:val="15"/>
              </w:rPr>
              <w:t>R129,468,743</w:t>
            </w:r>
          </w:p>
        </w:tc>
        <w:tc>
          <w:tcPr>
            <w:tcW w:type="dxa" w:w="1361"/>
            <w:shd w:val="clear" w:color="auto" w:fill="FAFAFB"/>
            <w:vAlign w:val="center"/>
          </w:tcPr>
          <w:p>
            <w:pPr>
              <w:spacing w:after="20" w:line="252" w:lineRule="auto"/>
              <w:jc w:val="right"/>
            </w:pPr>
            <w:r>
              <w:rPr>
                <w:sz w:val="15"/>
              </w:rPr>
              <w:t>R213,774,899</w:t>
            </w:r>
          </w:p>
        </w:tc>
      </w:tr>
      <w:tr>
        <w:trPr>
          <w:cantSplit/>
        </w:trPr>
        <w:tc>
          <w:tcPr>
            <w:tcW w:type="dxa" w:w="2835"/>
            <w:vAlign w:val="center"/>
          </w:tcPr>
          <w:p>
            <w:pPr>
              <w:spacing w:after="20" w:line="252" w:lineRule="auto"/>
            </w:pPr>
            <w:r>
              <w:rPr>
                <w:b/>
                <w:sz w:val="15"/>
              </w:rPr>
              <w:t>AI-credit top-ups</w:t>
            </w:r>
          </w:p>
        </w:tc>
        <w:tc>
          <w:tcPr>
            <w:tcW w:type="dxa" w:w="1361"/>
            <w:vAlign w:val="center"/>
          </w:tcPr>
          <w:p>
            <w:pPr>
              <w:spacing w:after="20" w:line="252" w:lineRule="auto"/>
              <w:jc w:val="right"/>
            </w:pPr>
            <w:r>
              <w:rPr>
                <w:sz w:val="15"/>
              </w:rPr>
              <w:t>R63,933</w:t>
            </w:r>
          </w:p>
        </w:tc>
        <w:tc>
          <w:tcPr>
            <w:tcW w:type="dxa" w:w="1361"/>
            <w:vAlign w:val="center"/>
          </w:tcPr>
          <w:p>
            <w:pPr>
              <w:spacing w:after="20" w:line="252" w:lineRule="auto"/>
              <w:jc w:val="right"/>
            </w:pPr>
            <w:r>
              <w:rPr>
                <w:sz w:val="15"/>
              </w:rPr>
              <w:t>R465,961</w:t>
            </w:r>
          </w:p>
        </w:tc>
        <w:tc>
          <w:tcPr>
            <w:tcW w:type="dxa" w:w="1361"/>
            <w:vAlign w:val="center"/>
          </w:tcPr>
          <w:p>
            <w:pPr>
              <w:spacing w:after="20" w:line="252" w:lineRule="auto"/>
              <w:jc w:val="right"/>
            </w:pPr>
            <w:r>
              <w:rPr>
                <w:sz w:val="15"/>
              </w:rPr>
              <w:t>R1,341,169</w:t>
            </w:r>
          </w:p>
        </w:tc>
        <w:tc>
          <w:tcPr>
            <w:tcW w:type="dxa" w:w="1361"/>
            <w:vAlign w:val="center"/>
          </w:tcPr>
          <w:p>
            <w:pPr>
              <w:spacing w:after="20" w:line="252" w:lineRule="auto"/>
              <w:jc w:val="right"/>
            </w:pPr>
            <w:r>
              <w:rPr>
                <w:sz w:val="15"/>
              </w:rPr>
              <w:t>R2,555,212</w:t>
            </w:r>
          </w:p>
        </w:tc>
        <w:tc>
          <w:tcPr>
            <w:tcW w:type="dxa" w:w="1361"/>
            <w:vAlign w:val="center"/>
          </w:tcPr>
          <w:p>
            <w:pPr>
              <w:spacing w:after="20" w:line="252" w:lineRule="auto"/>
              <w:jc w:val="right"/>
            </w:pPr>
            <w:r>
              <w:rPr>
                <w:sz w:val="15"/>
              </w:rPr>
              <w:t>R4,060,123</w:t>
            </w:r>
          </w:p>
        </w:tc>
      </w:tr>
      <w:tr>
        <w:trPr>
          <w:cantSplit/>
        </w:trPr>
        <w:tc>
          <w:tcPr>
            <w:tcW w:type="dxa" w:w="2835"/>
            <w:shd w:val="clear" w:color="auto" w:fill="FAFAFB"/>
            <w:vAlign w:val="center"/>
          </w:tcPr>
          <w:p>
            <w:pPr>
              <w:spacing w:after="20" w:line="252" w:lineRule="auto"/>
            </w:pPr>
            <w:r>
              <w:rPr>
                <w:b/>
                <w:sz w:val="15"/>
              </w:rPr>
              <w:t>WhatsApp messaging</w:t>
            </w:r>
          </w:p>
        </w:tc>
        <w:tc>
          <w:tcPr>
            <w:tcW w:type="dxa" w:w="1361"/>
            <w:shd w:val="clear" w:color="auto" w:fill="FAFAFB"/>
            <w:vAlign w:val="center"/>
          </w:tcPr>
          <w:p>
            <w:pPr>
              <w:spacing w:after="20" w:line="252" w:lineRule="auto"/>
              <w:jc w:val="right"/>
            </w:pPr>
            <w:r>
              <w:rPr>
                <w:sz w:val="15"/>
              </w:rPr>
              <w:t>R329,377</w:t>
            </w:r>
          </w:p>
        </w:tc>
        <w:tc>
          <w:tcPr>
            <w:tcW w:type="dxa" w:w="1361"/>
            <w:shd w:val="clear" w:color="auto" w:fill="FAFAFB"/>
            <w:vAlign w:val="center"/>
          </w:tcPr>
          <w:p>
            <w:pPr>
              <w:spacing w:after="20" w:line="252" w:lineRule="auto"/>
              <w:jc w:val="right"/>
            </w:pPr>
            <w:r>
              <w:rPr>
                <w:sz w:val="15"/>
              </w:rPr>
              <w:t>R2,234,971</w:t>
            </w:r>
          </w:p>
        </w:tc>
        <w:tc>
          <w:tcPr>
            <w:tcW w:type="dxa" w:w="1361"/>
            <w:shd w:val="clear" w:color="auto" w:fill="FAFAFB"/>
            <w:vAlign w:val="center"/>
          </w:tcPr>
          <w:p>
            <w:pPr>
              <w:spacing w:after="20" w:line="252" w:lineRule="auto"/>
              <w:jc w:val="right"/>
            </w:pPr>
            <w:r>
              <w:rPr>
                <w:sz w:val="15"/>
              </w:rPr>
              <w:t>R6,343,790</w:t>
            </w:r>
          </w:p>
        </w:tc>
        <w:tc>
          <w:tcPr>
            <w:tcW w:type="dxa" w:w="1361"/>
            <w:shd w:val="clear" w:color="auto" w:fill="FAFAFB"/>
            <w:vAlign w:val="center"/>
          </w:tcPr>
          <w:p>
            <w:pPr>
              <w:spacing w:after="20" w:line="252" w:lineRule="auto"/>
              <w:jc w:val="right"/>
            </w:pPr>
            <w:r>
              <w:rPr>
                <w:sz w:val="15"/>
              </w:rPr>
              <w:t>R12,075,813</w:t>
            </w:r>
          </w:p>
        </w:tc>
        <w:tc>
          <w:tcPr>
            <w:tcW w:type="dxa" w:w="1361"/>
            <w:shd w:val="clear" w:color="auto" w:fill="FAFAFB"/>
            <w:vAlign w:val="center"/>
          </w:tcPr>
          <w:p>
            <w:pPr>
              <w:spacing w:after="20" w:line="252" w:lineRule="auto"/>
              <w:jc w:val="right"/>
            </w:pPr>
            <w:r>
              <w:rPr>
                <w:sz w:val="15"/>
              </w:rPr>
              <w:t>R19,104,847</w:t>
            </w:r>
          </w:p>
        </w:tc>
      </w:tr>
      <w:tr>
        <w:trPr>
          <w:cantSplit/>
        </w:trPr>
        <w:tc>
          <w:tcPr>
            <w:tcW w:type="dxa" w:w="2835"/>
            <w:vAlign w:val="center"/>
          </w:tcPr>
          <w:p>
            <w:pPr>
              <w:spacing w:after="20" w:line="252" w:lineRule="auto"/>
            </w:pPr>
            <w:r>
              <w:rPr>
                <w:b/>
                <w:sz w:val="15"/>
              </w:rPr>
              <w:t>Enterprise setup fees</w:t>
            </w:r>
          </w:p>
        </w:tc>
        <w:tc>
          <w:tcPr>
            <w:tcW w:type="dxa" w:w="1361"/>
            <w:vAlign w:val="center"/>
          </w:tcPr>
          <w:p>
            <w:pPr>
              <w:spacing w:after="20" w:line="252" w:lineRule="auto"/>
              <w:jc w:val="right"/>
            </w:pPr>
            <w:r>
              <w:rPr>
                <w:sz w:val="15"/>
              </w:rPr>
              <w:t>R20,833</w:t>
            </w:r>
          </w:p>
        </w:tc>
        <w:tc>
          <w:tcPr>
            <w:tcW w:type="dxa" w:w="1361"/>
            <w:vAlign w:val="center"/>
          </w:tcPr>
          <w:p>
            <w:pPr>
              <w:spacing w:after="20" w:line="252" w:lineRule="auto"/>
              <w:jc w:val="right"/>
            </w:pPr>
            <w:r>
              <w:rPr>
                <w:sz w:val="15"/>
              </w:rPr>
              <w:t>R50,000</w:t>
            </w:r>
          </w:p>
        </w:tc>
        <w:tc>
          <w:tcPr>
            <w:tcW w:type="dxa" w:w="1361"/>
            <w:vAlign w:val="center"/>
          </w:tcPr>
          <w:p>
            <w:pPr>
              <w:spacing w:after="20" w:line="252" w:lineRule="auto"/>
              <w:jc w:val="right"/>
            </w:pPr>
            <w:r>
              <w:rPr>
                <w:sz w:val="15"/>
              </w:rPr>
              <w:t>R100,000</w:t>
            </w:r>
          </w:p>
        </w:tc>
        <w:tc>
          <w:tcPr>
            <w:tcW w:type="dxa" w:w="1361"/>
            <w:vAlign w:val="center"/>
          </w:tcPr>
          <w:p>
            <w:pPr>
              <w:spacing w:after="20" w:line="252" w:lineRule="auto"/>
              <w:jc w:val="right"/>
            </w:pPr>
            <w:r>
              <w:rPr>
                <w:sz w:val="15"/>
              </w:rPr>
              <w:t>R150,000</w:t>
            </w:r>
          </w:p>
        </w:tc>
        <w:tc>
          <w:tcPr>
            <w:tcW w:type="dxa" w:w="1361"/>
            <w:vAlign w:val="center"/>
          </w:tcPr>
          <w:p>
            <w:pPr>
              <w:spacing w:after="20" w:line="252" w:lineRule="auto"/>
              <w:jc w:val="right"/>
            </w:pPr>
            <w:r>
              <w:rPr>
                <w:sz w:val="15"/>
              </w:rPr>
              <w:t>R200,000</w:t>
            </w:r>
          </w:p>
        </w:tc>
      </w:tr>
      <w:tr>
        <w:trPr>
          <w:cantSplit/>
        </w:trPr>
        <w:tc>
          <w:tcPr>
            <w:tcW w:type="dxa" w:w="2835"/>
            <w:shd w:val="clear" w:color="auto" w:fill="FAFAFB"/>
            <w:vAlign w:val="center"/>
          </w:tcPr>
          <w:p>
            <w:pPr>
              <w:spacing w:after="20" w:line="252" w:lineRule="auto"/>
            </w:pPr>
            <w:r>
              <w:rPr>
                <w:b/>
                <w:sz w:val="15"/>
              </w:rPr>
              <w:t>Agency setup fees</w:t>
            </w:r>
          </w:p>
        </w:tc>
        <w:tc>
          <w:tcPr>
            <w:tcW w:type="dxa" w:w="1361"/>
            <w:shd w:val="clear" w:color="auto" w:fill="FAFAFB"/>
            <w:vAlign w:val="center"/>
          </w:tcPr>
          <w:p>
            <w:pPr>
              <w:spacing w:after="20" w:line="252" w:lineRule="auto"/>
              <w:jc w:val="right"/>
            </w:pPr>
            <w:r>
              <w:rPr>
                <w:sz w:val="15"/>
              </w:rPr>
              <w:t>R84,983</w:t>
            </w:r>
          </w:p>
        </w:tc>
        <w:tc>
          <w:tcPr>
            <w:tcW w:type="dxa" w:w="1361"/>
            <w:shd w:val="clear" w:color="auto" w:fill="FAFAFB"/>
            <w:vAlign w:val="center"/>
          </w:tcPr>
          <w:p>
            <w:pPr>
              <w:spacing w:after="20" w:line="252" w:lineRule="auto"/>
              <w:jc w:val="right"/>
            </w:pPr>
            <w:r>
              <w:rPr>
                <w:sz w:val="15"/>
              </w:rPr>
              <w:t>R269,446</w:t>
            </w:r>
          </w:p>
        </w:tc>
        <w:tc>
          <w:tcPr>
            <w:tcW w:type="dxa" w:w="1361"/>
            <w:shd w:val="clear" w:color="auto" w:fill="FAFAFB"/>
            <w:vAlign w:val="center"/>
          </w:tcPr>
          <w:p>
            <w:pPr>
              <w:spacing w:after="20" w:line="252" w:lineRule="auto"/>
              <w:jc w:val="right"/>
            </w:pPr>
            <w:r>
              <w:rPr>
                <w:sz w:val="15"/>
              </w:rPr>
              <w:t>R467,906</w:t>
            </w:r>
          </w:p>
        </w:tc>
        <w:tc>
          <w:tcPr>
            <w:tcW w:type="dxa" w:w="1361"/>
            <w:shd w:val="clear" w:color="auto" w:fill="FAFAFB"/>
            <w:vAlign w:val="center"/>
          </w:tcPr>
          <w:p>
            <w:pPr>
              <w:spacing w:after="20" w:line="252" w:lineRule="auto"/>
              <w:jc w:val="right"/>
            </w:pPr>
            <w:r>
              <w:rPr>
                <w:sz w:val="15"/>
              </w:rPr>
              <w:t>R632,873</w:t>
            </w:r>
          </w:p>
        </w:tc>
        <w:tc>
          <w:tcPr>
            <w:tcW w:type="dxa" w:w="1361"/>
            <w:shd w:val="clear" w:color="auto" w:fill="FAFAFB"/>
            <w:vAlign w:val="center"/>
          </w:tcPr>
          <w:p>
            <w:pPr>
              <w:spacing w:after="20" w:line="252" w:lineRule="auto"/>
              <w:jc w:val="right"/>
            </w:pPr>
            <w:r>
              <w:rPr>
                <w:sz w:val="15"/>
              </w:rPr>
              <w:t>R842,831</w:t>
            </w:r>
          </w:p>
        </w:tc>
      </w:tr>
      <w:tr>
        <w:trPr>
          <w:cantSplit/>
        </w:trPr>
        <w:tc>
          <w:tcPr>
            <w:tcW w:type="dxa" w:w="2835"/>
            <w:shd w:val="clear" w:color="auto" w:fill="FFF4EB"/>
            <w:vAlign w:val="center"/>
          </w:tcPr>
          <w:p>
            <w:pPr>
              <w:spacing w:after="20" w:line="252" w:lineRule="auto"/>
            </w:pPr>
            <w:r>
              <w:rPr>
                <w:b/>
                <w:sz w:val="15"/>
              </w:rPr>
              <w:t>Total revenue</w:t>
            </w:r>
          </w:p>
        </w:tc>
        <w:tc>
          <w:tcPr>
            <w:tcW w:type="dxa" w:w="1361"/>
            <w:shd w:val="clear" w:color="auto" w:fill="FFF4EB"/>
            <w:vAlign w:val="center"/>
          </w:tcPr>
          <w:p>
            <w:pPr>
              <w:spacing w:after="20" w:line="252" w:lineRule="auto"/>
              <w:jc w:val="right"/>
            </w:pPr>
            <w:r>
              <w:rPr>
                <w:b/>
                <w:sz w:val="15"/>
              </w:rPr>
              <w:t>R3,442,875</w:t>
            </w:r>
          </w:p>
        </w:tc>
        <w:tc>
          <w:tcPr>
            <w:tcW w:type="dxa" w:w="1361"/>
            <w:shd w:val="clear" w:color="auto" w:fill="FFF4EB"/>
            <w:vAlign w:val="center"/>
          </w:tcPr>
          <w:p>
            <w:pPr>
              <w:spacing w:after="20" w:line="252" w:lineRule="auto"/>
              <w:jc w:val="right"/>
            </w:pPr>
            <w:r>
              <w:rPr>
                <w:b/>
                <w:sz w:val="15"/>
              </w:rPr>
              <w:t>R24,861,333</w:t>
            </w:r>
          </w:p>
        </w:tc>
        <w:tc>
          <w:tcPr>
            <w:tcW w:type="dxa" w:w="1361"/>
            <w:shd w:val="clear" w:color="auto" w:fill="FFF4EB"/>
            <w:vAlign w:val="center"/>
          </w:tcPr>
          <w:p>
            <w:pPr>
              <w:spacing w:after="20" w:line="252" w:lineRule="auto"/>
              <w:jc w:val="right"/>
            </w:pPr>
            <w:r>
              <w:rPr>
                <w:b/>
                <w:sz w:val="15"/>
              </w:rPr>
              <w:t>R73,061,216</w:t>
            </w:r>
          </w:p>
        </w:tc>
        <w:tc>
          <w:tcPr>
            <w:tcW w:type="dxa" w:w="1361"/>
            <w:shd w:val="clear" w:color="auto" w:fill="FFF4EB"/>
            <w:vAlign w:val="center"/>
          </w:tcPr>
          <w:p>
            <w:pPr>
              <w:spacing w:after="20" w:line="252" w:lineRule="auto"/>
              <w:jc w:val="right"/>
            </w:pPr>
            <w:r>
              <w:rPr>
                <w:b/>
                <w:sz w:val="15"/>
              </w:rPr>
              <w:t>R144,882,642</w:t>
            </w:r>
          </w:p>
        </w:tc>
        <w:tc>
          <w:tcPr>
            <w:tcW w:type="dxa" w:w="1361"/>
            <w:shd w:val="clear" w:color="auto" w:fill="FFF4EB"/>
            <w:vAlign w:val="center"/>
          </w:tcPr>
          <w:p>
            <w:pPr>
              <w:spacing w:after="20" w:line="252" w:lineRule="auto"/>
              <w:jc w:val="right"/>
            </w:pPr>
            <w:r>
              <w:rPr>
                <w:b/>
                <w:sz w:val="15"/>
              </w:rPr>
              <w:t>R237,982,700</w:t>
            </w:r>
          </w:p>
        </w:tc>
      </w:tr>
      <w:tr>
        <w:trPr>
          <w:cantSplit/>
        </w:trPr>
        <w:tc>
          <w:tcPr>
            <w:tcW w:type="dxa" w:w="2835"/>
            <w:shd w:val="clear" w:color="auto" w:fill="FAFAFB"/>
            <w:vAlign w:val="center"/>
          </w:tcPr>
          <w:p>
            <w:pPr>
              <w:spacing w:after="20" w:line="252" w:lineRule="auto"/>
            </w:pPr>
            <w:r>
              <w:rPr>
                <w:b/>
                <w:sz w:val="15"/>
              </w:rPr>
              <w:t>Cost of revenue</w:t>
            </w:r>
          </w:p>
        </w:tc>
        <w:tc>
          <w:tcPr>
            <w:tcW w:type="dxa" w:w="1361"/>
            <w:shd w:val="clear" w:color="auto" w:fill="FAFAFB"/>
            <w:vAlign w:val="center"/>
          </w:tcPr>
          <w:p>
            <w:pPr>
              <w:spacing w:after="20" w:line="252" w:lineRule="auto"/>
              <w:jc w:val="right"/>
            </w:pPr>
            <w:r>
              <w:rPr>
                <w:sz w:val="15"/>
              </w:rPr>
              <w:t>(R1,820,651)</w:t>
            </w:r>
          </w:p>
        </w:tc>
        <w:tc>
          <w:tcPr>
            <w:tcW w:type="dxa" w:w="1361"/>
            <w:shd w:val="clear" w:color="auto" w:fill="FAFAFB"/>
            <w:vAlign w:val="center"/>
          </w:tcPr>
          <w:p>
            <w:pPr>
              <w:spacing w:after="20" w:line="252" w:lineRule="auto"/>
              <w:jc w:val="right"/>
            </w:pPr>
            <w:r>
              <w:rPr>
                <w:sz w:val="15"/>
              </w:rPr>
              <w:t>(R8,275,178)</w:t>
            </w:r>
          </w:p>
        </w:tc>
        <w:tc>
          <w:tcPr>
            <w:tcW w:type="dxa" w:w="1361"/>
            <w:shd w:val="clear" w:color="auto" w:fill="FAFAFB"/>
            <w:vAlign w:val="center"/>
          </w:tcPr>
          <w:p>
            <w:pPr>
              <w:spacing w:after="20" w:line="252" w:lineRule="auto"/>
              <w:jc w:val="right"/>
            </w:pPr>
            <w:r>
              <w:rPr>
                <w:sz w:val="15"/>
              </w:rPr>
              <w:t>(R20,744,065)</w:t>
            </w:r>
          </w:p>
        </w:tc>
        <w:tc>
          <w:tcPr>
            <w:tcW w:type="dxa" w:w="1361"/>
            <w:shd w:val="clear" w:color="auto" w:fill="FAFAFB"/>
            <w:vAlign w:val="center"/>
          </w:tcPr>
          <w:p>
            <w:pPr>
              <w:spacing w:after="20" w:line="252" w:lineRule="auto"/>
              <w:jc w:val="right"/>
            </w:pPr>
            <w:r>
              <w:rPr>
                <w:sz w:val="15"/>
              </w:rPr>
              <w:t>(R36,808,127)</w:t>
            </w:r>
          </w:p>
        </w:tc>
        <w:tc>
          <w:tcPr>
            <w:tcW w:type="dxa" w:w="1361"/>
            <w:shd w:val="clear" w:color="auto" w:fill="FAFAFB"/>
            <w:vAlign w:val="center"/>
          </w:tcPr>
          <w:p>
            <w:pPr>
              <w:spacing w:after="20" w:line="252" w:lineRule="auto"/>
              <w:jc w:val="right"/>
            </w:pPr>
            <w:r>
              <w:rPr>
                <w:sz w:val="15"/>
              </w:rPr>
              <w:t>(R57,246,047)</w:t>
            </w:r>
          </w:p>
        </w:tc>
      </w:tr>
      <w:tr>
        <w:trPr>
          <w:cantSplit/>
        </w:trPr>
        <w:tc>
          <w:tcPr>
            <w:tcW w:type="dxa" w:w="2835"/>
            <w:shd w:val="clear" w:color="auto" w:fill="FFF4EB"/>
            <w:vAlign w:val="center"/>
          </w:tcPr>
          <w:p>
            <w:pPr>
              <w:spacing w:after="20" w:line="252" w:lineRule="auto"/>
            </w:pPr>
            <w:r>
              <w:rPr>
                <w:b/>
                <w:sz w:val="15"/>
              </w:rPr>
              <w:t>Gross profit</w:t>
            </w:r>
          </w:p>
        </w:tc>
        <w:tc>
          <w:tcPr>
            <w:tcW w:type="dxa" w:w="1361"/>
            <w:shd w:val="clear" w:color="auto" w:fill="FFF4EB"/>
            <w:vAlign w:val="center"/>
          </w:tcPr>
          <w:p>
            <w:pPr>
              <w:spacing w:after="20" w:line="252" w:lineRule="auto"/>
              <w:jc w:val="right"/>
            </w:pPr>
            <w:r>
              <w:rPr>
                <w:b/>
                <w:sz w:val="15"/>
              </w:rPr>
              <w:t>R1,622,224</w:t>
            </w:r>
          </w:p>
        </w:tc>
        <w:tc>
          <w:tcPr>
            <w:tcW w:type="dxa" w:w="1361"/>
            <w:shd w:val="clear" w:color="auto" w:fill="FFF4EB"/>
            <w:vAlign w:val="center"/>
          </w:tcPr>
          <w:p>
            <w:pPr>
              <w:spacing w:after="20" w:line="252" w:lineRule="auto"/>
              <w:jc w:val="right"/>
            </w:pPr>
            <w:r>
              <w:rPr>
                <w:b/>
                <w:sz w:val="15"/>
              </w:rPr>
              <w:t>R16,586,155</w:t>
            </w:r>
          </w:p>
        </w:tc>
        <w:tc>
          <w:tcPr>
            <w:tcW w:type="dxa" w:w="1361"/>
            <w:shd w:val="clear" w:color="auto" w:fill="FFF4EB"/>
            <w:vAlign w:val="center"/>
          </w:tcPr>
          <w:p>
            <w:pPr>
              <w:spacing w:after="20" w:line="252" w:lineRule="auto"/>
              <w:jc w:val="right"/>
            </w:pPr>
            <w:r>
              <w:rPr>
                <w:b/>
                <w:sz w:val="15"/>
              </w:rPr>
              <w:t>R52,317,151</w:t>
            </w:r>
          </w:p>
        </w:tc>
        <w:tc>
          <w:tcPr>
            <w:tcW w:type="dxa" w:w="1361"/>
            <w:shd w:val="clear" w:color="auto" w:fill="FFF4EB"/>
            <w:vAlign w:val="center"/>
          </w:tcPr>
          <w:p>
            <w:pPr>
              <w:spacing w:after="20" w:line="252" w:lineRule="auto"/>
              <w:jc w:val="right"/>
            </w:pPr>
            <w:r>
              <w:rPr>
                <w:b/>
                <w:sz w:val="15"/>
              </w:rPr>
              <w:t>R108,074,514</w:t>
            </w:r>
          </w:p>
        </w:tc>
        <w:tc>
          <w:tcPr>
            <w:tcW w:type="dxa" w:w="1361"/>
            <w:shd w:val="clear" w:color="auto" w:fill="FFF4EB"/>
            <w:vAlign w:val="center"/>
          </w:tcPr>
          <w:p>
            <w:pPr>
              <w:spacing w:after="20" w:line="252" w:lineRule="auto"/>
              <w:jc w:val="right"/>
            </w:pPr>
            <w:r>
              <w:rPr>
                <w:b/>
                <w:sz w:val="15"/>
              </w:rPr>
              <w:t>R180,736,653</w:t>
            </w:r>
          </w:p>
        </w:tc>
      </w:tr>
      <w:tr>
        <w:trPr>
          <w:cantSplit/>
        </w:trPr>
        <w:tc>
          <w:tcPr>
            <w:tcW w:type="dxa" w:w="2835"/>
            <w:shd w:val="clear" w:color="auto" w:fill="FAFAFB"/>
            <w:vAlign w:val="center"/>
          </w:tcPr>
          <w:p>
            <w:pPr>
              <w:spacing w:after="20" w:line="252" w:lineRule="auto"/>
            </w:pPr>
            <w:r>
              <w:rPr>
                <w:b/>
                <w:sz w:val="15"/>
              </w:rPr>
              <w:t>Payroll (excluding customer success)</w:t>
            </w:r>
          </w:p>
        </w:tc>
        <w:tc>
          <w:tcPr>
            <w:tcW w:type="dxa" w:w="1361"/>
            <w:shd w:val="clear" w:color="auto" w:fill="FAFAFB"/>
            <w:vAlign w:val="center"/>
          </w:tcPr>
          <w:p>
            <w:pPr>
              <w:spacing w:after="20" w:line="252" w:lineRule="auto"/>
              <w:jc w:val="right"/>
            </w:pPr>
            <w:r>
              <w:rPr>
                <w:sz w:val="15"/>
              </w:rPr>
              <w:t>(R5,395,500)</w:t>
            </w:r>
          </w:p>
        </w:tc>
        <w:tc>
          <w:tcPr>
            <w:tcW w:type="dxa" w:w="1361"/>
            <w:shd w:val="clear" w:color="auto" w:fill="FAFAFB"/>
            <w:vAlign w:val="center"/>
          </w:tcPr>
          <w:p>
            <w:pPr>
              <w:spacing w:after="20" w:line="252" w:lineRule="auto"/>
              <w:jc w:val="right"/>
            </w:pPr>
            <w:r>
              <w:rPr>
                <w:sz w:val="15"/>
              </w:rPr>
              <w:t>(R17,625,256)</w:t>
            </w:r>
          </w:p>
        </w:tc>
        <w:tc>
          <w:tcPr>
            <w:tcW w:type="dxa" w:w="1361"/>
            <w:shd w:val="clear" w:color="auto" w:fill="FAFAFB"/>
            <w:vAlign w:val="center"/>
          </w:tcPr>
          <w:p>
            <w:pPr>
              <w:spacing w:after="20" w:line="252" w:lineRule="auto"/>
              <w:jc w:val="right"/>
            </w:pPr>
            <w:r>
              <w:rPr>
                <w:sz w:val="15"/>
              </w:rPr>
              <w:t>(R31,711,026)</w:t>
            </w:r>
          </w:p>
        </w:tc>
        <w:tc>
          <w:tcPr>
            <w:tcW w:type="dxa" w:w="1361"/>
            <w:shd w:val="clear" w:color="auto" w:fill="FAFAFB"/>
            <w:vAlign w:val="center"/>
          </w:tcPr>
          <w:p>
            <w:pPr>
              <w:spacing w:after="20" w:line="252" w:lineRule="auto"/>
              <w:jc w:val="right"/>
            </w:pPr>
            <w:r>
              <w:rPr>
                <w:sz w:val="15"/>
              </w:rPr>
              <w:t>(R49,270,903)</w:t>
            </w:r>
          </w:p>
        </w:tc>
        <w:tc>
          <w:tcPr>
            <w:tcW w:type="dxa" w:w="1361"/>
            <w:shd w:val="clear" w:color="auto" w:fill="FAFAFB"/>
            <w:vAlign w:val="center"/>
          </w:tcPr>
          <w:p>
            <w:pPr>
              <w:spacing w:after="20" w:line="252" w:lineRule="auto"/>
              <w:jc w:val="right"/>
            </w:pPr>
            <w:r>
              <w:rPr>
                <w:sz w:val="15"/>
              </w:rPr>
              <w:t>(R78,807,347)</w:t>
            </w:r>
          </w:p>
        </w:tc>
      </w:tr>
      <w:tr>
        <w:trPr>
          <w:cantSplit/>
        </w:trPr>
        <w:tc>
          <w:tcPr>
            <w:tcW w:type="dxa" w:w="2835"/>
            <w:vAlign w:val="center"/>
          </w:tcPr>
          <w:p>
            <w:pPr>
              <w:spacing w:after="20" w:line="252" w:lineRule="auto"/>
            </w:pPr>
            <w:r>
              <w:rPr>
                <w:b/>
                <w:sz w:val="15"/>
              </w:rPr>
              <w:t>Marketing and sales programmes</w:t>
            </w:r>
          </w:p>
        </w:tc>
        <w:tc>
          <w:tcPr>
            <w:tcW w:type="dxa" w:w="1361"/>
            <w:vAlign w:val="center"/>
          </w:tcPr>
          <w:p>
            <w:pPr>
              <w:spacing w:after="20" w:line="252" w:lineRule="auto"/>
              <w:jc w:val="right"/>
            </w:pPr>
            <w:r>
              <w:rPr>
                <w:sz w:val="15"/>
              </w:rPr>
              <w:t>(R1,577,345)</w:t>
            </w:r>
          </w:p>
        </w:tc>
        <w:tc>
          <w:tcPr>
            <w:tcW w:type="dxa" w:w="1361"/>
            <w:vAlign w:val="center"/>
          </w:tcPr>
          <w:p>
            <w:pPr>
              <w:spacing w:after="20" w:line="252" w:lineRule="auto"/>
              <w:jc w:val="right"/>
            </w:pPr>
            <w:r>
              <w:rPr>
                <w:sz w:val="15"/>
              </w:rPr>
              <w:t>(R6,728,240)</w:t>
            </w:r>
          </w:p>
        </w:tc>
        <w:tc>
          <w:tcPr>
            <w:tcW w:type="dxa" w:w="1361"/>
            <w:vAlign w:val="center"/>
          </w:tcPr>
          <w:p>
            <w:pPr>
              <w:spacing w:after="20" w:line="252" w:lineRule="auto"/>
              <w:jc w:val="right"/>
            </w:pPr>
            <w:r>
              <w:rPr>
                <w:sz w:val="15"/>
              </w:rPr>
              <w:t>(R10,959,241)</w:t>
            </w:r>
          </w:p>
        </w:tc>
        <w:tc>
          <w:tcPr>
            <w:tcW w:type="dxa" w:w="1361"/>
            <w:vAlign w:val="center"/>
          </w:tcPr>
          <w:p>
            <w:pPr>
              <w:spacing w:after="20" w:line="252" w:lineRule="auto"/>
              <w:jc w:val="right"/>
            </w:pPr>
            <w:r>
              <w:rPr>
                <w:sz w:val="15"/>
              </w:rPr>
              <w:t>(R15,478,961)</w:t>
            </w:r>
          </w:p>
        </w:tc>
        <w:tc>
          <w:tcPr>
            <w:tcW w:type="dxa" w:w="1361"/>
            <w:vAlign w:val="center"/>
          </w:tcPr>
          <w:p>
            <w:pPr>
              <w:spacing w:after="20" w:line="252" w:lineRule="auto"/>
              <w:jc w:val="right"/>
            </w:pPr>
            <w:r>
              <w:rPr>
                <w:sz w:val="15"/>
              </w:rPr>
              <w:t>(R19,124,109)</w:t>
            </w:r>
          </w:p>
        </w:tc>
      </w:tr>
      <w:tr>
        <w:trPr>
          <w:cantSplit/>
        </w:trPr>
        <w:tc>
          <w:tcPr>
            <w:tcW w:type="dxa" w:w="2835"/>
            <w:shd w:val="clear" w:color="auto" w:fill="FAFAFB"/>
            <w:vAlign w:val="center"/>
          </w:tcPr>
          <w:p>
            <w:pPr>
              <w:spacing w:after="20" w:line="252" w:lineRule="auto"/>
            </w:pPr>
            <w:r>
              <w:rPr>
                <w:b/>
                <w:sz w:val="15"/>
              </w:rPr>
              <w:t>G&amp;A (non-payroll)</w:t>
            </w:r>
          </w:p>
        </w:tc>
        <w:tc>
          <w:tcPr>
            <w:tcW w:type="dxa" w:w="1361"/>
            <w:shd w:val="clear" w:color="auto" w:fill="FAFAFB"/>
            <w:vAlign w:val="center"/>
          </w:tcPr>
          <w:p>
            <w:pPr>
              <w:spacing w:after="20" w:line="252" w:lineRule="auto"/>
              <w:jc w:val="right"/>
            </w:pPr>
            <w:r>
              <w:rPr>
                <w:sz w:val="15"/>
              </w:rPr>
              <w:t>(R1,052,000)</w:t>
            </w:r>
          </w:p>
        </w:tc>
        <w:tc>
          <w:tcPr>
            <w:tcW w:type="dxa" w:w="1361"/>
            <w:shd w:val="clear" w:color="auto" w:fill="FAFAFB"/>
            <w:vAlign w:val="center"/>
          </w:tcPr>
          <w:p>
            <w:pPr>
              <w:spacing w:after="20" w:line="252" w:lineRule="auto"/>
              <w:jc w:val="right"/>
            </w:pPr>
            <w:r>
              <w:rPr>
                <w:sz w:val="15"/>
              </w:rPr>
              <w:t>(R2,656,000)</w:t>
            </w:r>
          </w:p>
        </w:tc>
        <w:tc>
          <w:tcPr>
            <w:tcW w:type="dxa" w:w="1361"/>
            <w:shd w:val="clear" w:color="auto" w:fill="FAFAFB"/>
            <w:vAlign w:val="center"/>
          </w:tcPr>
          <w:p>
            <w:pPr>
              <w:spacing w:after="20" w:line="252" w:lineRule="auto"/>
              <w:jc w:val="right"/>
            </w:pPr>
            <w:r>
              <w:rPr>
                <w:sz w:val="15"/>
              </w:rPr>
              <w:t>(R4,268,000)</w:t>
            </w:r>
          </w:p>
        </w:tc>
        <w:tc>
          <w:tcPr>
            <w:tcW w:type="dxa" w:w="1361"/>
            <w:shd w:val="clear" w:color="auto" w:fill="FAFAFB"/>
            <w:vAlign w:val="center"/>
          </w:tcPr>
          <w:p>
            <w:pPr>
              <w:spacing w:after="20" w:line="252" w:lineRule="auto"/>
              <w:jc w:val="right"/>
            </w:pPr>
            <w:r>
              <w:rPr>
                <w:sz w:val="15"/>
              </w:rPr>
              <w:t>(R5,680,000)</w:t>
            </w:r>
          </w:p>
        </w:tc>
        <w:tc>
          <w:tcPr>
            <w:tcW w:type="dxa" w:w="1361"/>
            <w:shd w:val="clear" w:color="auto" w:fill="FAFAFB"/>
            <w:vAlign w:val="center"/>
          </w:tcPr>
          <w:p>
            <w:pPr>
              <w:spacing w:after="20" w:line="252" w:lineRule="auto"/>
              <w:jc w:val="right"/>
            </w:pPr>
            <w:r>
              <w:rPr>
                <w:sz w:val="15"/>
              </w:rPr>
              <w:t>(R8,132,000)</w:t>
            </w:r>
          </w:p>
        </w:tc>
      </w:tr>
      <w:tr>
        <w:trPr>
          <w:cantSplit/>
        </w:trPr>
        <w:tc>
          <w:tcPr>
            <w:tcW w:type="dxa" w:w="2835"/>
            <w:vAlign w:val="center"/>
          </w:tcPr>
          <w:p>
            <w:pPr>
              <w:spacing w:after="20" w:line="252" w:lineRule="auto"/>
            </w:pPr>
            <w:r>
              <w:rPr>
                <w:b/>
                <w:sz w:val="15"/>
              </w:rPr>
              <w:t>Meta, legal and compliance</w:t>
            </w:r>
          </w:p>
        </w:tc>
        <w:tc>
          <w:tcPr>
            <w:tcW w:type="dxa" w:w="1361"/>
            <w:vAlign w:val="center"/>
          </w:tcPr>
          <w:p>
            <w:pPr>
              <w:spacing w:after="20" w:line="252" w:lineRule="auto"/>
              <w:jc w:val="right"/>
            </w:pPr>
            <w:r>
              <w:rPr>
                <w:sz w:val="15"/>
              </w:rPr>
              <w:t>(R160,000)</w:t>
            </w:r>
          </w:p>
        </w:tc>
        <w:tc>
          <w:tcPr>
            <w:tcW w:type="dxa" w:w="1361"/>
            <w:vAlign w:val="center"/>
          </w:tcPr>
          <w:p>
            <w:pPr>
              <w:spacing w:after="20" w:line="252" w:lineRule="auto"/>
              <w:jc w:val="right"/>
            </w:pPr>
            <w:r>
              <w:rPr>
                <w:sz w:val="15"/>
              </w:rPr>
              <w:t>(R1,198,000)</w:t>
            </w:r>
          </w:p>
        </w:tc>
        <w:tc>
          <w:tcPr>
            <w:tcW w:type="dxa" w:w="1361"/>
            <w:vAlign w:val="center"/>
          </w:tcPr>
          <w:p>
            <w:pPr>
              <w:spacing w:after="20" w:line="252" w:lineRule="auto"/>
              <w:jc w:val="right"/>
            </w:pPr>
            <w:r>
              <w:rPr>
                <w:sz w:val="15"/>
              </w:rPr>
              <w:t>(R1,018,000)</w:t>
            </w:r>
          </w:p>
        </w:tc>
        <w:tc>
          <w:tcPr>
            <w:tcW w:type="dxa" w:w="1361"/>
            <w:vAlign w:val="center"/>
          </w:tcPr>
          <w:p>
            <w:pPr>
              <w:spacing w:after="20" w:line="252" w:lineRule="auto"/>
              <w:jc w:val="right"/>
            </w:pPr>
            <w:r>
              <w:rPr>
                <w:sz w:val="15"/>
              </w:rPr>
              <w:t>(R888,000)</w:t>
            </w:r>
          </w:p>
        </w:tc>
        <w:tc>
          <w:tcPr>
            <w:tcW w:type="dxa" w:w="1361"/>
            <w:vAlign w:val="center"/>
          </w:tcPr>
          <w:p>
            <w:pPr>
              <w:spacing w:after="20" w:line="252" w:lineRule="auto"/>
              <w:jc w:val="right"/>
            </w:pPr>
            <w:r>
              <w:rPr>
                <w:sz w:val="15"/>
              </w:rPr>
              <w:t>(R888,000)</w:t>
            </w:r>
          </w:p>
        </w:tc>
      </w:tr>
      <w:tr>
        <w:trPr>
          <w:cantSplit/>
        </w:trPr>
        <w:tc>
          <w:tcPr>
            <w:tcW w:type="dxa" w:w="2835"/>
            <w:shd w:val="clear" w:color="auto" w:fill="FAFAFB"/>
            <w:vAlign w:val="center"/>
          </w:tcPr>
          <w:p>
            <w:pPr>
              <w:spacing w:after="20" w:line="252" w:lineRule="auto"/>
            </w:pPr>
            <w:r>
              <w:rPr>
                <w:b/>
                <w:sz w:val="15"/>
              </w:rPr>
              <w:t>Software and tools</w:t>
            </w:r>
          </w:p>
        </w:tc>
        <w:tc>
          <w:tcPr>
            <w:tcW w:type="dxa" w:w="1361"/>
            <w:shd w:val="clear" w:color="auto" w:fill="FAFAFB"/>
            <w:vAlign w:val="center"/>
          </w:tcPr>
          <w:p>
            <w:pPr>
              <w:spacing w:after="20" w:line="252" w:lineRule="auto"/>
              <w:jc w:val="right"/>
            </w:pPr>
            <w:r>
              <w:rPr>
                <w:sz w:val="15"/>
              </w:rPr>
              <w:t>(R318,000)</w:t>
            </w:r>
          </w:p>
        </w:tc>
        <w:tc>
          <w:tcPr>
            <w:tcW w:type="dxa" w:w="1361"/>
            <w:shd w:val="clear" w:color="auto" w:fill="FAFAFB"/>
            <w:vAlign w:val="center"/>
          </w:tcPr>
          <w:p>
            <w:pPr>
              <w:spacing w:after="20" w:line="252" w:lineRule="auto"/>
              <w:jc w:val="right"/>
            </w:pPr>
            <w:r>
              <w:rPr>
                <w:sz w:val="15"/>
              </w:rPr>
              <w:t>(R1,152,000)</w:t>
            </w:r>
          </w:p>
        </w:tc>
        <w:tc>
          <w:tcPr>
            <w:tcW w:type="dxa" w:w="1361"/>
            <w:shd w:val="clear" w:color="auto" w:fill="FAFAFB"/>
            <w:vAlign w:val="center"/>
          </w:tcPr>
          <w:p>
            <w:pPr>
              <w:spacing w:after="20" w:line="252" w:lineRule="auto"/>
              <w:jc w:val="right"/>
            </w:pPr>
            <w:r>
              <w:rPr>
                <w:sz w:val="15"/>
              </w:rPr>
              <w:t>(R2,076,000)</w:t>
            </w:r>
          </w:p>
        </w:tc>
        <w:tc>
          <w:tcPr>
            <w:tcW w:type="dxa" w:w="1361"/>
            <w:shd w:val="clear" w:color="auto" w:fill="FAFAFB"/>
            <w:vAlign w:val="center"/>
          </w:tcPr>
          <w:p>
            <w:pPr>
              <w:spacing w:after="20" w:line="252" w:lineRule="auto"/>
              <w:jc w:val="right"/>
            </w:pPr>
            <w:r>
              <w:rPr>
                <w:sz w:val="15"/>
              </w:rPr>
              <w:t>(R2,955,000)</w:t>
            </w:r>
          </w:p>
        </w:tc>
        <w:tc>
          <w:tcPr>
            <w:tcW w:type="dxa" w:w="1361"/>
            <w:shd w:val="clear" w:color="auto" w:fill="FAFAFB"/>
            <w:vAlign w:val="center"/>
          </w:tcPr>
          <w:p>
            <w:pPr>
              <w:spacing w:after="20" w:line="252" w:lineRule="auto"/>
              <w:jc w:val="right"/>
            </w:pPr>
            <w:r>
              <w:rPr>
                <w:sz w:val="15"/>
              </w:rPr>
              <w:t>(R4,284,000)</w:t>
            </w:r>
          </w:p>
        </w:tc>
      </w:tr>
      <w:tr>
        <w:trPr>
          <w:cantSplit/>
        </w:trPr>
        <w:tc>
          <w:tcPr>
            <w:tcW w:type="dxa" w:w="2835"/>
            <w:vAlign w:val="center"/>
          </w:tcPr>
          <w:p>
            <w:pPr>
              <w:spacing w:after="20" w:line="252" w:lineRule="auto"/>
            </w:pPr>
            <w:r>
              <w:rPr>
                <w:b/>
                <w:sz w:val="15"/>
              </w:rPr>
              <w:t>Travel</w:t>
            </w:r>
          </w:p>
        </w:tc>
        <w:tc>
          <w:tcPr>
            <w:tcW w:type="dxa" w:w="1361"/>
            <w:vAlign w:val="center"/>
          </w:tcPr>
          <w:p>
            <w:pPr>
              <w:spacing w:after="20" w:line="252" w:lineRule="auto"/>
              <w:jc w:val="right"/>
            </w:pPr>
            <w:r>
              <w:rPr>
                <w:sz w:val="15"/>
              </w:rPr>
              <w:t>(R196,000)</w:t>
            </w:r>
          </w:p>
        </w:tc>
        <w:tc>
          <w:tcPr>
            <w:tcW w:type="dxa" w:w="1361"/>
            <w:vAlign w:val="center"/>
          </w:tcPr>
          <w:p>
            <w:pPr>
              <w:spacing w:after="20" w:line="252" w:lineRule="auto"/>
              <w:jc w:val="right"/>
            </w:pPr>
            <w:r>
              <w:rPr>
                <w:sz w:val="15"/>
              </w:rPr>
              <w:t>(R948,000)</w:t>
            </w:r>
          </w:p>
        </w:tc>
        <w:tc>
          <w:tcPr>
            <w:tcW w:type="dxa" w:w="1361"/>
            <w:vAlign w:val="center"/>
          </w:tcPr>
          <w:p>
            <w:pPr>
              <w:spacing w:after="20" w:line="252" w:lineRule="auto"/>
              <w:jc w:val="right"/>
            </w:pPr>
            <w:r>
              <w:rPr>
                <w:sz w:val="15"/>
              </w:rPr>
              <w:t>(R1,744,000)</w:t>
            </w:r>
          </w:p>
        </w:tc>
        <w:tc>
          <w:tcPr>
            <w:tcW w:type="dxa" w:w="1361"/>
            <w:vAlign w:val="center"/>
          </w:tcPr>
          <w:p>
            <w:pPr>
              <w:spacing w:after="20" w:line="252" w:lineRule="auto"/>
              <w:jc w:val="right"/>
            </w:pPr>
            <w:r>
              <w:rPr>
                <w:sz w:val="15"/>
              </w:rPr>
              <w:t>(R2,330,000)</w:t>
            </w:r>
          </w:p>
        </w:tc>
        <w:tc>
          <w:tcPr>
            <w:tcW w:type="dxa" w:w="1361"/>
            <w:vAlign w:val="center"/>
          </w:tcPr>
          <w:p>
            <w:pPr>
              <w:spacing w:after="20" w:line="252" w:lineRule="auto"/>
              <w:jc w:val="right"/>
            </w:pPr>
            <w:r>
              <w:rPr>
                <w:sz w:val="15"/>
              </w:rPr>
              <w:t>(R3,216,000)</w:t>
            </w:r>
          </w:p>
        </w:tc>
      </w:tr>
      <w:tr>
        <w:trPr>
          <w:cantSplit/>
        </w:trPr>
        <w:tc>
          <w:tcPr>
            <w:tcW w:type="dxa" w:w="2835"/>
            <w:shd w:val="clear" w:color="auto" w:fill="FFF4EB"/>
            <w:vAlign w:val="center"/>
          </w:tcPr>
          <w:p>
            <w:pPr>
              <w:spacing w:after="20" w:line="252" w:lineRule="auto"/>
            </w:pPr>
            <w:r>
              <w:rPr>
                <w:b/>
                <w:sz w:val="15"/>
              </w:rPr>
              <w:t>Total operating expenses</w:t>
            </w:r>
          </w:p>
        </w:tc>
        <w:tc>
          <w:tcPr>
            <w:tcW w:type="dxa" w:w="1361"/>
            <w:shd w:val="clear" w:color="auto" w:fill="FFF4EB"/>
            <w:vAlign w:val="center"/>
          </w:tcPr>
          <w:p>
            <w:pPr>
              <w:spacing w:after="20" w:line="252" w:lineRule="auto"/>
              <w:jc w:val="right"/>
            </w:pPr>
            <w:r>
              <w:rPr>
                <w:b/>
                <w:sz w:val="15"/>
              </w:rPr>
              <w:t>(R8,698,845)</w:t>
            </w:r>
          </w:p>
        </w:tc>
        <w:tc>
          <w:tcPr>
            <w:tcW w:type="dxa" w:w="1361"/>
            <w:shd w:val="clear" w:color="auto" w:fill="FFF4EB"/>
            <w:vAlign w:val="center"/>
          </w:tcPr>
          <w:p>
            <w:pPr>
              <w:spacing w:after="20" w:line="252" w:lineRule="auto"/>
              <w:jc w:val="right"/>
            </w:pPr>
            <w:r>
              <w:rPr>
                <w:b/>
                <w:sz w:val="15"/>
              </w:rPr>
              <w:t>(R30,307,496)</w:t>
            </w:r>
          </w:p>
        </w:tc>
        <w:tc>
          <w:tcPr>
            <w:tcW w:type="dxa" w:w="1361"/>
            <w:shd w:val="clear" w:color="auto" w:fill="FFF4EB"/>
            <w:vAlign w:val="center"/>
          </w:tcPr>
          <w:p>
            <w:pPr>
              <w:spacing w:after="20" w:line="252" w:lineRule="auto"/>
              <w:jc w:val="right"/>
            </w:pPr>
            <w:r>
              <w:rPr>
                <w:b/>
                <w:sz w:val="15"/>
              </w:rPr>
              <w:t>(R51,776,266)</w:t>
            </w:r>
          </w:p>
        </w:tc>
        <w:tc>
          <w:tcPr>
            <w:tcW w:type="dxa" w:w="1361"/>
            <w:shd w:val="clear" w:color="auto" w:fill="FFF4EB"/>
            <w:vAlign w:val="center"/>
          </w:tcPr>
          <w:p>
            <w:pPr>
              <w:spacing w:after="20" w:line="252" w:lineRule="auto"/>
              <w:jc w:val="right"/>
            </w:pPr>
            <w:r>
              <w:rPr>
                <w:b/>
                <w:sz w:val="15"/>
              </w:rPr>
              <w:t>(R76,602,864)</w:t>
            </w:r>
          </w:p>
        </w:tc>
        <w:tc>
          <w:tcPr>
            <w:tcW w:type="dxa" w:w="1361"/>
            <w:shd w:val="clear" w:color="auto" w:fill="FFF4EB"/>
            <w:vAlign w:val="center"/>
          </w:tcPr>
          <w:p>
            <w:pPr>
              <w:spacing w:after="20" w:line="252" w:lineRule="auto"/>
              <w:jc w:val="right"/>
            </w:pPr>
            <w:r>
              <w:rPr>
                <w:b/>
                <w:sz w:val="15"/>
              </w:rPr>
              <w:t>(R114,451,456)</w:t>
            </w:r>
          </w:p>
        </w:tc>
      </w:tr>
      <w:tr>
        <w:trPr>
          <w:cantSplit/>
        </w:trPr>
        <w:tc>
          <w:tcPr>
            <w:tcW w:type="dxa" w:w="2835"/>
            <w:shd w:val="clear" w:color="auto" w:fill="FFF4EB"/>
            <w:vAlign w:val="center"/>
          </w:tcPr>
          <w:p>
            <w:pPr>
              <w:spacing w:after="20" w:line="252" w:lineRule="auto"/>
            </w:pPr>
            <w:r>
              <w:rPr>
                <w:b/>
                <w:sz w:val="15"/>
              </w:rPr>
              <w:t>EBITDA</w:t>
            </w:r>
          </w:p>
        </w:tc>
        <w:tc>
          <w:tcPr>
            <w:tcW w:type="dxa" w:w="1361"/>
            <w:shd w:val="clear" w:color="auto" w:fill="FFF4EB"/>
            <w:vAlign w:val="center"/>
          </w:tcPr>
          <w:p>
            <w:pPr>
              <w:spacing w:after="20" w:line="252" w:lineRule="auto"/>
              <w:jc w:val="right"/>
            </w:pPr>
            <w:r>
              <w:rPr>
                <w:b/>
                <w:sz w:val="15"/>
              </w:rPr>
              <w:t>R-7,076,621</w:t>
            </w:r>
          </w:p>
        </w:tc>
        <w:tc>
          <w:tcPr>
            <w:tcW w:type="dxa" w:w="1361"/>
            <w:shd w:val="clear" w:color="auto" w:fill="FFF4EB"/>
            <w:vAlign w:val="center"/>
          </w:tcPr>
          <w:p>
            <w:pPr>
              <w:spacing w:after="20" w:line="252" w:lineRule="auto"/>
              <w:jc w:val="right"/>
            </w:pPr>
            <w:r>
              <w:rPr>
                <w:b/>
                <w:sz w:val="15"/>
              </w:rPr>
              <w:t>R-13,721,340</w:t>
            </w:r>
          </w:p>
        </w:tc>
        <w:tc>
          <w:tcPr>
            <w:tcW w:type="dxa" w:w="1361"/>
            <w:shd w:val="clear" w:color="auto" w:fill="FFF4EB"/>
            <w:vAlign w:val="center"/>
          </w:tcPr>
          <w:p>
            <w:pPr>
              <w:spacing w:after="20" w:line="252" w:lineRule="auto"/>
              <w:jc w:val="right"/>
            </w:pPr>
            <w:r>
              <w:rPr>
                <w:b/>
                <w:sz w:val="15"/>
              </w:rPr>
              <w:t>R540,884</w:t>
            </w:r>
          </w:p>
        </w:tc>
        <w:tc>
          <w:tcPr>
            <w:tcW w:type="dxa" w:w="1361"/>
            <w:shd w:val="clear" w:color="auto" w:fill="FFF4EB"/>
            <w:vAlign w:val="center"/>
          </w:tcPr>
          <w:p>
            <w:pPr>
              <w:spacing w:after="20" w:line="252" w:lineRule="auto"/>
              <w:jc w:val="right"/>
            </w:pPr>
            <w:r>
              <w:rPr>
                <w:b/>
                <w:sz w:val="15"/>
              </w:rPr>
              <w:t>R31,471,651</w:t>
            </w:r>
          </w:p>
        </w:tc>
        <w:tc>
          <w:tcPr>
            <w:tcW w:type="dxa" w:w="1361"/>
            <w:shd w:val="clear" w:color="auto" w:fill="FFF4EB"/>
            <w:vAlign w:val="center"/>
          </w:tcPr>
          <w:p>
            <w:pPr>
              <w:spacing w:after="20" w:line="252" w:lineRule="auto"/>
              <w:jc w:val="right"/>
            </w:pPr>
            <w:r>
              <w:rPr>
                <w:b/>
                <w:sz w:val="15"/>
              </w:rPr>
              <w:t>R66,285,197</w:t>
            </w:r>
          </w:p>
        </w:tc>
      </w:tr>
      <w:tr>
        <w:trPr>
          <w:cantSplit/>
        </w:trPr>
        <w:tc>
          <w:tcPr>
            <w:tcW w:type="dxa" w:w="2835"/>
            <w:shd w:val="clear" w:color="auto" w:fill="FAFAFB"/>
            <w:vAlign w:val="center"/>
          </w:tcPr>
          <w:p>
            <w:pPr>
              <w:spacing w:after="20" w:line="252" w:lineRule="auto"/>
            </w:pPr>
            <w:r>
              <w:rPr>
                <w:b/>
                <w:sz w:val="15"/>
              </w:rPr>
              <w:t>Tax</w:t>
            </w:r>
          </w:p>
        </w:tc>
        <w:tc>
          <w:tcPr>
            <w:tcW w:type="dxa" w:w="1361"/>
            <w:shd w:val="clear" w:color="auto" w:fill="FAFAFB"/>
            <w:vAlign w:val="center"/>
          </w:tcPr>
          <w:p>
            <w:pPr>
              <w:spacing w:after="20" w:line="252" w:lineRule="auto"/>
              <w:jc w:val="right"/>
            </w:pPr>
            <w:r>
              <w:rPr>
                <w:sz w:val="15"/>
              </w:rPr>
              <w:t>(R0)</w:t>
            </w:r>
          </w:p>
        </w:tc>
        <w:tc>
          <w:tcPr>
            <w:tcW w:type="dxa" w:w="1361"/>
            <w:shd w:val="clear" w:color="auto" w:fill="FAFAFB"/>
            <w:vAlign w:val="center"/>
          </w:tcPr>
          <w:p>
            <w:pPr>
              <w:spacing w:after="20" w:line="252" w:lineRule="auto"/>
              <w:jc w:val="right"/>
            </w:pPr>
            <w:r>
              <w:rPr>
                <w:sz w:val="15"/>
              </w:rPr>
              <w:t>(R0)</w:t>
            </w:r>
          </w:p>
        </w:tc>
        <w:tc>
          <w:tcPr>
            <w:tcW w:type="dxa" w:w="1361"/>
            <w:shd w:val="clear" w:color="auto" w:fill="FAFAFB"/>
            <w:vAlign w:val="center"/>
          </w:tcPr>
          <w:p>
            <w:pPr>
              <w:spacing w:after="20" w:line="252" w:lineRule="auto"/>
              <w:jc w:val="right"/>
            </w:pPr>
            <w:r>
              <w:rPr>
                <w:sz w:val="15"/>
              </w:rPr>
              <w:t>(R0)</w:t>
            </w:r>
          </w:p>
        </w:tc>
        <w:tc>
          <w:tcPr>
            <w:tcW w:type="dxa" w:w="1361"/>
            <w:shd w:val="clear" w:color="auto" w:fill="FAFAFB"/>
            <w:vAlign w:val="center"/>
          </w:tcPr>
          <w:p>
            <w:pPr>
              <w:spacing w:after="20" w:line="252" w:lineRule="auto"/>
              <w:jc w:val="right"/>
            </w:pPr>
            <w:r>
              <w:rPr>
                <w:sz w:val="15"/>
              </w:rPr>
              <w:t>(R3,027,935)</w:t>
            </w:r>
          </w:p>
        </w:tc>
        <w:tc>
          <w:tcPr>
            <w:tcW w:type="dxa" w:w="1361"/>
            <w:shd w:val="clear" w:color="auto" w:fill="FAFAFB"/>
            <w:vAlign w:val="center"/>
          </w:tcPr>
          <w:p>
            <w:pPr>
              <w:spacing w:after="20" w:line="252" w:lineRule="auto"/>
              <w:jc w:val="right"/>
            </w:pPr>
            <w:r>
              <w:rPr>
                <w:sz w:val="15"/>
              </w:rPr>
              <w:t>(R17,897,003)</w:t>
            </w:r>
          </w:p>
        </w:tc>
      </w:tr>
      <w:tr>
        <w:trPr>
          <w:cantSplit/>
        </w:trPr>
        <w:tc>
          <w:tcPr>
            <w:tcW w:type="dxa" w:w="2835"/>
            <w:shd w:val="clear" w:color="auto" w:fill="FFF4EB"/>
            <w:vAlign w:val="center"/>
          </w:tcPr>
          <w:p>
            <w:pPr>
              <w:spacing w:after="20" w:line="252" w:lineRule="auto"/>
            </w:pPr>
            <w:r>
              <w:rPr>
                <w:b/>
                <w:sz w:val="15"/>
              </w:rPr>
              <w:t>Net income</w:t>
            </w:r>
          </w:p>
        </w:tc>
        <w:tc>
          <w:tcPr>
            <w:tcW w:type="dxa" w:w="1361"/>
            <w:shd w:val="clear" w:color="auto" w:fill="FFF4EB"/>
            <w:vAlign w:val="center"/>
          </w:tcPr>
          <w:p>
            <w:pPr>
              <w:spacing w:after="20" w:line="252" w:lineRule="auto"/>
              <w:jc w:val="right"/>
            </w:pPr>
            <w:r>
              <w:rPr>
                <w:b/>
                <w:sz w:val="15"/>
              </w:rPr>
              <w:t>R-7,076,621</w:t>
            </w:r>
          </w:p>
        </w:tc>
        <w:tc>
          <w:tcPr>
            <w:tcW w:type="dxa" w:w="1361"/>
            <w:shd w:val="clear" w:color="auto" w:fill="FFF4EB"/>
            <w:vAlign w:val="center"/>
          </w:tcPr>
          <w:p>
            <w:pPr>
              <w:spacing w:after="20" w:line="252" w:lineRule="auto"/>
              <w:jc w:val="right"/>
            </w:pPr>
            <w:r>
              <w:rPr>
                <w:b/>
                <w:sz w:val="15"/>
              </w:rPr>
              <w:t>R-13,721,340</w:t>
            </w:r>
          </w:p>
        </w:tc>
        <w:tc>
          <w:tcPr>
            <w:tcW w:type="dxa" w:w="1361"/>
            <w:shd w:val="clear" w:color="auto" w:fill="FFF4EB"/>
            <w:vAlign w:val="center"/>
          </w:tcPr>
          <w:p>
            <w:pPr>
              <w:spacing w:after="20" w:line="252" w:lineRule="auto"/>
              <w:jc w:val="right"/>
            </w:pPr>
            <w:r>
              <w:rPr>
                <w:b/>
                <w:sz w:val="15"/>
              </w:rPr>
              <w:t>R540,884</w:t>
            </w:r>
          </w:p>
        </w:tc>
        <w:tc>
          <w:tcPr>
            <w:tcW w:type="dxa" w:w="1361"/>
            <w:shd w:val="clear" w:color="auto" w:fill="FFF4EB"/>
            <w:vAlign w:val="center"/>
          </w:tcPr>
          <w:p>
            <w:pPr>
              <w:spacing w:after="20" w:line="252" w:lineRule="auto"/>
              <w:jc w:val="right"/>
            </w:pPr>
            <w:r>
              <w:rPr>
                <w:b/>
                <w:sz w:val="15"/>
              </w:rPr>
              <w:t>R28,443,716</w:t>
            </w:r>
          </w:p>
        </w:tc>
        <w:tc>
          <w:tcPr>
            <w:tcW w:type="dxa" w:w="1361"/>
            <w:shd w:val="clear" w:color="auto" w:fill="FFF4EB"/>
            <w:vAlign w:val="center"/>
          </w:tcPr>
          <w:p>
            <w:pPr>
              <w:spacing w:after="20" w:line="252" w:lineRule="auto"/>
              <w:jc w:val="right"/>
            </w:pPr>
            <w:r>
              <w:rPr>
                <w:b/>
                <w:sz w:val="15"/>
              </w:rPr>
              <w:t>R48,388,194</w:t>
            </w:r>
          </w:p>
        </w:tc>
      </w:tr>
    </w:tbl>
    <w:p>
      <w:pPr>
        <w:spacing w:after="0" w:line="120" w:lineRule="exact"/>
      </w:pPr>
    </w:p>
    <w:p>
      <w:pPr>
        <w:spacing w:after="200"/>
      </w:pPr>
      <w:r>
        <w:rPr>
          <w:color w:val="5B6570"/>
          <w:sz w:val="17"/>
        </w:rPr>
        <w:t>Source: FluxMuse Financial Model v2 (Base case), 11 September 2026.</w:t>
      </w:r>
    </w:p>
    <w:p>
      <w:pPr>
        <w:pStyle w:val="Heading2"/>
      </w:pPr>
      <w:r>
        <w:rPr/>
        <w:t>Cost of revenue detail</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st of revenue (R, Base case)"/>
      </w:tblPr>
      <w:tblGrid>
        <w:gridCol w:w="2834"/>
        <w:gridCol w:w="1360"/>
        <w:gridCol w:w="1360"/>
        <w:gridCol w:w="1360"/>
        <w:gridCol w:w="1360"/>
        <w:gridCol w:w="1360"/>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6"/>
              </w:rPr>
              <w:t>R</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FY1</w:t>
            </w:r>
          </w:p>
          <w:p>
            <w:pPr>
              <w:keepNext/>
              <w:spacing w:after="20" w:line="252" w:lineRule="auto"/>
              <w:jc w:val="right"/>
            </w:pPr>
            <w:r>
              <w:rPr>
                <w:rFonts w:ascii="Poppins" w:hAnsi="Poppins" w:cs="Poppins" w:eastAsia="Poppins"/>
                <w:b/>
                <w:color w:val="20242B"/>
                <w:sz w:val="16"/>
              </w:rPr>
              <w:t>Oct 2026–Sep 2027</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FY2</w:t>
            </w:r>
          </w:p>
          <w:p>
            <w:pPr>
              <w:keepNext/>
              <w:spacing w:after="20" w:line="252" w:lineRule="auto"/>
              <w:jc w:val="right"/>
            </w:pPr>
            <w:r>
              <w:rPr>
                <w:rFonts w:ascii="Poppins" w:hAnsi="Poppins" w:cs="Poppins" w:eastAsia="Poppins"/>
                <w:b/>
                <w:color w:val="20242B"/>
                <w:sz w:val="16"/>
              </w:rPr>
              <w:t>Oct 2027–Sep 2028</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FY3</w:t>
            </w:r>
          </w:p>
          <w:p>
            <w:pPr>
              <w:keepNext/>
              <w:spacing w:after="20" w:line="252" w:lineRule="auto"/>
              <w:jc w:val="right"/>
            </w:pPr>
            <w:r>
              <w:rPr>
                <w:rFonts w:ascii="Poppins" w:hAnsi="Poppins" w:cs="Poppins" w:eastAsia="Poppins"/>
                <w:b/>
                <w:color w:val="20242B"/>
                <w:sz w:val="16"/>
              </w:rPr>
              <w:t>Oct 2028–Sep 2029</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FY4</w:t>
            </w:r>
          </w:p>
          <w:p>
            <w:pPr>
              <w:keepNext/>
              <w:spacing w:after="20" w:line="252" w:lineRule="auto"/>
              <w:jc w:val="right"/>
            </w:pPr>
            <w:r>
              <w:rPr>
                <w:rFonts w:ascii="Poppins" w:hAnsi="Poppins" w:cs="Poppins" w:eastAsia="Poppins"/>
                <w:b/>
                <w:color w:val="20242B"/>
                <w:sz w:val="16"/>
              </w:rPr>
              <w:t>Oct 2029–Sep 2030</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FY5</w:t>
            </w:r>
          </w:p>
          <w:p>
            <w:pPr>
              <w:keepNext/>
              <w:spacing w:after="20" w:line="252" w:lineRule="auto"/>
              <w:jc w:val="right"/>
            </w:pPr>
            <w:r>
              <w:rPr>
                <w:rFonts w:ascii="Poppins" w:hAnsi="Poppins" w:cs="Poppins" w:eastAsia="Poppins"/>
                <w:b/>
                <w:color w:val="20242B"/>
                <w:sz w:val="16"/>
              </w:rPr>
              <w:t>Oct 2030–Sep 2031</w:t>
            </w:r>
          </w:p>
        </w:tc>
      </w:tr>
      <w:tr>
        <w:trPr>
          <w:cantSplit/>
        </w:trPr>
        <w:tc>
          <w:tcPr>
            <w:tcW w:type="dxa" w:w="2835"/>
            <w:vAlign w:val="center"/>
          </w:tcPr>
          <w:p>
            <w:pPr>
              <w:spacing w:after="20" w:line="252" w:lineRule="auto"/>
            </w:pPr>
            <w:r>
              <w:rPr>
                <w:b/>
                <w:sz w:val="16"/>
              </w:rPr>
              <w:t>AI inference</w:t>
            </w:r>
          </w:p>
        </w:tc>
        <w:tc>
          <w:tcPr>
            <w:tcW w:type="dxa" w:w="1361"/>
            <w:vAlign w:val="center"/>
          </w:tcPr>
          <w:p>
            <w:pPr>
              <w:spacing w:after="20" w:line="252" w:lineRule="auto"/>
              <w:jc w:val="right"/>
            </w:pPr>
            <w:r>
              <w:rPr>
                <w:sz w:val="16"/>
              </w:rPr>
              <w:t>R430,040</w:t>
            </w:r>
          </w:p>
        </w:tc>
        <w:tc>
          <w:tcPr>
            <w:tcW w:type="dxa" w:w="1361"/>
            <w:vAlign w:val="center"/>
          </w:tcPr>
          <w:p>
            <w:pPr>
              <w:spacing w:after="20" w:line="252" w:lineRule="auto"/>
              <w:jc w:val="right"/>
            </w:pPr>
            <w:r>
              <w:rPr>
                <w:sz w:val="16"/>
              </w:rPr>
              <w:t>R2,424,729</w:t>
            </w:r>
          </w:p>
        </w:tc>
        <w:tc>
          <w:tcPr>
            <w:tcW w:type="dxa" w:w="1361"/>
            <w:vAlign w:val="center"/>
          </w:tcPr>
          <w:p>
            <w:pPr>
              <w:spacing w:after="20" w:line="252" w:lineRule="auto"/>
              <w:jc w:val="right"/>
            </w:pPr>
            <w:r>
              <w:rPr>
                <w:sz w:val="16"/>
              </w:rPr>
              <w:t>R5,959,114</w:t>
            </w:r>
          </w:p>
        </w:tc>
        <w:tc>
          <w:tcPr>
            <w:tcW w:type="dxa" w:w="1361"/>
            <w:vAlign w:val="center"/>
          </w:tcPr>
          <w:p>
            <w:pPr>
              <w:spacing w:after="20" w:line="252" w:lineRule="auto"/>
              <w:jc w:val="right"/>
            </w:pPr>
            <w:r>
              <w:rPr>
                <w:sz w:val="16"/>
              </w:rPr>
              <w:t>R9,969,964</w:t>
            </w:r>
          </w:p>
        </w:tc>
        <w:tc>
          <w:tcPr>
            <w:tcW w:type="dxa" w:w="1361"/>
            <w:vAlign w:val="center"/>
          </w:tcPr>
          <w:p>
            <w:pPr>
              <w:spacing w:after="20" w:line="252" w:lineRule="auto"/>
              <w:jc w:val="right"/>
            </w:pPr>
            <w:r>
              <w:rPr>
                <w:sz w:val="16"/>
              </w:rPr>
              <w:t>R14,044,041</w:t>
            </w:r>
          </w:p>
        </w:tc>
      </w:tr>
      <w:tr>
        <w:trPr>
          <w:cantSplit/>
        </w:trPr>
        <w:tc>
          <w:tcPr>
            <w:tcW w:type="dxa" w:w="2835"/>
            <w:shd w:val="clear" w:color="auto" w:fill="FAFAFB"/>
            <w:vAlign w:val="center"/>
          </w:tcPr>
          <w:p>
            <w:pPr>
              <w:spacing w:after="20" w:line="252" w:lineRule="auto"/>
            </w:pPr>
            <w:r>
              <w:rPr>
                <w:b/>
                <w:sz w:val="16"/>
              </w:rPr>
              <w:t>Hosting</w:t>
            </w:r>
          </w:p>
        </w:tc>
        <w:tc>
          <w:tcPr>
            <w:tcW w:type="dxa" w:w="1361"/>
            <w:shd w:val="clear" w:color="auto" w:fill="FAFAFB"/>
            <w:vAlign w:val="center"/>
          </w:tcPr>
          <w:p>
            <w:pPr>
              <w:spacing w:after="20" w:line="252" w:lineRule="auto"/>
              <w:jc w:val="right"/>
            </w:pPr>
            <w:r>
              <w:rPr>
                <w:sz w:val="16"/>
              </w:rPr>
              <w:t>R363,933</w:t>
            </w:r>
          </w:p>
        </w:tc>
        <w:tc>
          <w:tcPr>
            <w:tcW w:type="dxa" w:w="1361"/>
            <w:shd w:val="clear" w:color="auto" w:fill="FAFAFB"/>
            <w:vAlign w:val="center"/>
          </w:tcPr>
          <w:p>
            <w:pPr>
              <w:spacing w:after="20" w:line="252" w:lineRule="auto"/>
              <w:jc w:val="right"/>
            </w:pPr>
            <w:r>
              <w:rPr>
                <w:sz w:val="16"/>
              </w:rPr>
              <w:t>R799,586</w:t>
            </w:r>
          </w:p>
        </w:tc>
        <w:tc>
          <w:tcPr>
            <w:tcW w:type="dxa" w:w="1361"/>
            <w:shd w:val="clear" w:color="auto" w:fill="FAFAFB"/>
            <w:vAlign w:val="center"/>
          </w:tcPr>
          <w:p>
            <w:pPr>
              <w:spacing w:after="20" w:line="252" w:lineRule="auto"/>
              <w:jc w:val="right"/>
            </w:pPr>
            <w:r>
              <w:rPr>
                <w:sz w:val="16"/>
              </w:rPr>
              <w:t>R1,553,635</w:t>
            </w:r>
          </w:p>
        </w:tc>
        <w:tc>
          <w:tcPr>
            <w:tcW w:type="dxa" w:w="1361"/>
            <w:shd w:val="clear" w:color="auto" w:fill="FAFAFB"/>
            <w:vAlign w:val="center"/>
          </w:tcPr>
          <w:p>
            <w:pPr>
              <w:spacing w:after="20" w:line="252" w:lineRule="auto"/>
              <w:jc w:val="right"/>
            </w:pPr>
            <w:r>
              <w:rPr>
                <w:sz w:val="16"/>
              </w:rPr>
              <w:t>R2,505,405</w:t>
            </w:r>
          </w:p>
        </w:tc>
        <w:tc>
          <w:tcPr>
            <w:tcW w:type="dxa" w:w="1361"/>
            <w:shd w:val="clear" w:color="auto" w:fill="FAFAFB"/>
            <w:vAlign w:val="center"/>
          </w:tcPr>
          <w:p>
            <w:pPr>
              <w:spacing w:after="20" w:line="252" w:lineRule="auto"/>
              <w:jc w:val="right"/>
            </w:pPr>
            <w:r>
              <w:rPr>
                <w:sz w:val="16"/>
              </w:rPr>
              <w:t>R3,575,997</w:t>
            </w:r>
          </w:p>
        </w:tc>
      </w:tr>
      <w:tr>
        <w:trPr>
          <w:cantSplit/>
        </w:trPr>
        <w:tc>
          <w:tcPr>
            <w:tcW w:type="dxa" w:w="2835"/>
            <w:vAlign w:val="center"/>
          </w:tcPr>
          <w:p>
            <w:pPr>
              <w:spacing w:after="20" w:line="252" w:lineRule="auto"/>
            </w:pPr>
            <w:r>
              <w:rPr>
                <w:b/>
                <w:sz w:val="16"/>
              </w:rPr>
              <w:t>WhatsApp Meta fees (pass-through)</w:t>
            </w:r>
          </w:p>
        </w:tc>
        <w:tc>
          <w:tcPr>
            <w:tcW w:type="dxa" w:w="1361"/>
            <w:vAlign w:val="center"/>
          </w:tcPr>
          <w:p>
            <w:pPr>
              <w:spacing w:after="20" w:line="252" w:lineRule="auto"/>
              <w:jc w:val="right"/>
            </w:pPr>
            <w:r>
              <w:rPr>
                <w:sz w:val="16"/>
              </w:rPr>
              <w:t>R263,501</w:t>
            </w:r>
          </w:p>
        </w:tc>
        <w:tc>
          <w:tcPr>
            <w:tcW w:type="dxa" w:w="1361"/>
            <w:vAlign w:val="center"/>
          </w:tcPr>
          <w:p>
            <w:pPr>
              <w:spacing w:after="20" w:line="252" w:lineRule="auto"/>
              <w:jc w:val="right"/>
            </w:pPr>
            <w:r>
              <w:rPr>
                <w:sz w:val="16"/>
              </w:rPr>
              <w:t>R1,787,977</w:t>
            </w:r>
          </w:p>
        </w:tc>
        <w:tc>
          <w:tcPr>
            <w:tcW w:type="dxa" w:w="1361"/>
            <w:vAlign w:val="center"/>
          </w:tcPr>
          <w:p>
            <w:pPr>
              <w:spacing w:after="20" w:line="252" w:lineRule="auto"/>
              <w:jc w:val="right"/>
            </w:pPr>
            <w:r>
              <w:rPr>
                <w:sz w:val="16"/>
              </w:rPr>
              <w:t>R5,075,032</w:t>
            </w:r>
          </w:p>
        </w:tc>
        <w:tc>
          <w:tcPr>
            <w:tcW w:type="dxa" w:w="1361"/>
            <w:vAlign w:val="center"/>
          </w:tcPr>
          <w:p>
            <w:pPr>
              <w:spacing w:after="20" w:line="252" w:lineRule="auto"/>
              <w:jc w:val="right"/>
            </w:pPr>
            <w:r>
              <w:rPr>
                <w:sz w:val="16"/>
              </w:rPr>
              <w:t>R9,660,651</w:t>
            </w:r>
          </w:p>
        </w:tc>
        <w:tc>
          <w:tcPr>
            <w:tcW w:type="dxa" w:w="1361"/>
            <w:vAlign w:val="center"/>
          </w:tcPr>
          <w:p>
            <w:pPr>
              <w:spacing w:after="20" w:line="252" w:lineRule="auto"/>
              <w:jc w:val="right"/>
            </w:pPr>
            <w:r>
              <w:rPr>
                <w:sz w:val="16"/>
              </w:rPr>
              <w:t>R15,283,878</w:t>
            </w:r>
          </w:p>
        </w:tc>
      </w:tr>
      <w:tr>
        <w:trPr>
          <w:cantSplit/>
        </w:trPr>
        <w:tc>
          <w:tcPr>
            <w:tcW w:type="dxa" w:w="2835"/>
            <w:shd w:val="clear" w:color="auto" w:fill="FAFAFB"/>
            <w:vAlign w:val="center"/>
          </w:tcPr>
          <w:p>
            <w:pPr>
              <w:spacing w:after="20" w:line="252" w:lineRule="auto"/>
            </w:pPr>
            <w:r>
              <w:rPr>
                <w:b/>
                <w:sz w:val="16"/>
              </w:rPr>
              <w:t>Payment processing</w:t>
            </w:r>
          </w:p>
        </w:tc>
        <w:tc>
          <w:tcPr>
            <w:tcW w:type="dxa" w:w="1361"/>
            <w:shd w:val="clear" w:color="auto" w:fill="FAFAFB"/>
            <w:vAlign w:val="center"/>
          </w:tcPr>
          <w:p>
            <w:pPr>
              <w:spacing w:after="20" w:line="252" w:lineRule="auto"/>
              <w:jc w:val="right"/>
            </w:pPr>
            <w:r>
              <w:rPr>
                <w:sz w:val="16"/>
              </w:rPr>
              <w:t>R99,843</w:t>
            </w:r>
          </w:p>
        </w:tc>
        <w:tc>
          <w:tcPr>
            <w:tcW w:type="dxa" w:w="1361"/>
            <w:shd w:val="clear" w:color="auto" w:fill="FAFAFB"/>
            <w:vAlign w:val="center"/>
          </w:tcPr>
          <w:p>
            <w:pPr>
              <w:spacing w:after="20" w:line="252" w:lineRule="auto"/>
              <w:jc w:val="right"/>
            </w:pPr>
            <w:r>
              <w:rPr>
                <w:sz w:val="16"/>
              </w:rPr>
              <w:t>R769,307</w:t>
            </w:r>
          </w:p>
        </w:tc>
        <w:tc>
          <w:tcPr>
            <w:tcW w:type="dxa" w:w="1361"/>
            <w:shd w:val="clear" w:color="auto" w:fill="FAFAFB"/>
            <w:vAlign w:val="center"/>
          </w:tcPr>
          <w:p>
            <w:pPr>
              <w:spacing w:after="20" w:line="252" w:lineRule="auto"/>
              <w:jc w:val="right"/>
            </w:pPr>
            <w:r>
              <w:rPr>
                <w:sz w:val="16"/>
              </w:rPr>
              <w:t>R2,446,581</w:t>
            </w:r>
          </w:p>
        </w:tc>
        <w:tc>
          <w:tcPr>
            <w:tcW w:type="dxa" w:w="1361"/>
            <w:shd w:val="clear" w:color="auto" w:fill="FAFAFB"/>
            <w:vAlign w:val="center"/>
          </w:tcPr>
          <w:p>
            <w:pPr>
              <w:spacing w:after="20" w:line="252" w:lineRule="auto"/>
              <w:jc w:val="right"/>
            </w:pPr>
            <w:r>
              <w:rPr>
                <w:sz w:val="16"/>
              </w:rPr>
              <w:t>R4,941,366</w:t>
            </w:r>
          </w:p>
        </w:tc>
        <w:tc>
          <w:tcPr>
            <w:tcW w:type="dxa" w:w="1361"/>
            <w:shd w:val="clear" w:color="auto" w:fill="FAFAFB"/>
            <w:vAlign w:val="center"/>
          </w:tcPr>
          <w:p>
            <w:pPr>
              <w:spacing w:after="20" w:line="252" w:lineRule="auto"/>
              <w:jc w:val="right"/>
            </w:pPr>
            <w:r>
              <w:rPr>
                <w:sz w:val="16"/>
              </w:rPr>
              <w:t>R8,149,221</w:t>
            </w:r>
          </w:p>
        </w:tc>
      </w:tr>
      <w:tr>
        <w:trPr>
          <w:cantSplit/>
        </w:trPr>
        <w:tc>
          <w:tcPr>
            <w:tcW w:type="dxa" w:w="2835"/>
            <w:vAlign w:val="center"/>
          </w:tcPr>
          <w:p>
            <w:pPr>
              <w:spacing w:after="20" w:line="252" w:lineRule="auto"/>
            </w:pPr>
            <w:r>
              <w:rPr>
                <w:b/>
                <w:sz w:val="16"/>
              </w:rPr>
              <w:t>Variable support</w:t>
            </w:r>
          </w:p>
        </w:tc>
        <w:tc>
          <w:tcPr>
            <w:tcW w:type="dxa" w:w="1361"/>
            <w:vAlign w:val="center"/>
          </w:tcPr>
          <w:p>
            <w:pPr>
              <w:spacing w:after="20" w:line="252" w:lineRule="auto"/>
              <w:jc w:val="right"/>
            </w:pPr>
            <w:r>
              <w:rPr>
                <w:sz w:val="16"/>
              </w:rPr>
              <w:t>R91,333</w:t>
            </w:r>
          </w:p>
        </w:tc>
        <w:tc>
          <w:tcPr>
            <w:tcW w:type="dxa" w:w="1361"/>
            <w:vAlign w:val="center"/>
          </w:tcPr>
          <w:p>
            <w:pPr>
              <w:spacing w:after="20" w:line="252" w:lineRule="auto"/>
              <w:jc w:val="right"/>
            </w:pPr>
            <w:r>
              <w:rPr>
                <w:sz w:val="16"/>
              </w:rPr>
              <w:t>R627,980</w:t>
            </w:r>
          </w:p>
        </w:tc>
        <w:tc>
          <w:tcPr>
            <w:tcW w:type="dxa" w:w="1361"/>
            <w:vAlign w:val="center"/>
          </w:tcPr>
          <w:p>
            <w:pPr>
              <w:spacing w:after="20" w:line="252" w:lineRule="auto"/>
              <w:jc w:val="right"/>
            </w:pPr>
            <w:r>
              <w:rPr>
                <w:sz w:val="16"/>
              </w:rPr>
              <w:t>R1,705,193</w:t>
            </w:r>
          </w:p>
        </w:tc>
        <w:tc>
          <w:tcPr>
            <w:tcW w:type="dxa" w:w="1361"/>
            <w:vAlign w:val="center"/>
          </w:tcPr>
          <w:p>
            <w:pPr>
              <w:spacing w:after="20" w:line="252" w:lineRule="auto"/>
              <w:jc w:val="right"/>
            </w:pPr>
            <w:r>
              <w:rPr>
                <w:sz w:val="16"/>
              </w:rPr>
              <w:t>R3,064,864</w:t>
            </w:r>
          </w:p>
        </w:tc>
        <w:tc>
          <w:tcPr>
            <w:tcW w:type="dxa" w:w="1361"/>
            <w:vAlign w:val="center"/>
          </w:tcPr>
          <w:p>
            <w:pPr>
              <w:spacing w:after="20" w:line="252" w:lineRule="auto"/>
              <w:jc w:val="right"/>
            </w:pPr>
            <w:r>
              <w:rPr>
                <w:sz w:val="16"/>
              </w:rPr>
              <w:t>R4,594,282</w:t>
            </w:r>
          </w:p>
        </w:tc>
      </w:tr>
      <w:tr>
        <w:trPr>
          <w:cantSplit/>
        </w:trPr>
        <w:tc>
          <w:tcPr>
            <w:tcW w:type="dxa" w:w="2835"/>
            <w:shd w:val="clear" w:color="auto" w:fill="FAFAFB"/>
            <w:vAlign w:val="center"/>
          </w:tcPr>
          <w:p>
            <w:pPr>
              <w:spacing w:after="20" w:line="252" w:lineRule="auto"/>
            </w:pPr>
            <w:r>
              <w:rPr>
                <w:b/>
                <w:sz w:val="16"/>
              </w:rPr>
              <w:t>Customer success team</w:t>
            </w:r>
          </w:p>
        </w:tc>
        <w:tc>
          <w:tcPr>
            <w:tcW w:type="dxa" w:w="1361"/>
            <w:shd w:val="clear" w:color="auto" w:fill="FAFAFB"/>
            <w:vAlign w:val="center"/>
          </w:tcPr>
          <w:p>
            <w:pPr>
              <w:spacing w:after="20" w:line="252" w:lineRule="auto"/>
              <w:jc w:val="right"/>
            </w:pPr>
            <w:r>
              <w:rPr>
                <w:sz w:val="16"/>
              </w:rPr>
              <w:t>R572,000</w:t>
            </w:r>
          </w:p>
        </w:tc>
        <w:tc>
          <w:tcPr>
            <w:tcW w:type="dxa" w:w="1361"/>
            <w:shd w:val="clear" w:color="auto" w:fill="FAFAFB"/>
            <w:vAlign w:val="center"/>
          </w:tcPr>
          <w:p>
            <w:pPr>
              <w:spacing w:after="20" w:line="252" w:lineRule="auto"/>
              <w:jc w:val="right"/>
            </w:pPr>
            <w:r>
              <w:rPr>
                <w:sz w:val="16"/>
              </w:rPr>
              <w:t>R1,865,600</w:t>
            </w:r>
          </w:p>
        </w:tc>
        <w:tc>
          <w:tcPr>
            <w:tcW w:type="dxa" w:w="1361"/>
            <w:shd w:val="clear" w:color="auto" w:fill="FAFAFB"/>
            <w:vAlign w:val="center"/>
          </w:tcPr>
          <w:p>
            <w:pPr>
              <w:spacing w:after="20" w:line="252" w:lineRule="auto"/>
              <w:jc w:val="right"/>
            </w:pPr>
            <w:r>
              <w:rPr>
                <w:sz w:val="16"/>
              </w:rPr>
              <w:t>R4,004,510</w:t>
            </w:r>
          </w:p>
        </w:tc>
        <w:tc>
          <w:tcPr>
            <w:tcW w:type="dxa" w:w="1361"/>
            <w:shd w:val="clear" w:color="auto" w:fill="FAFAFB"/>
            <w:vAlign w:val="center"/>
          </w:tcPr>
          <w:p>
            <w:pPr>
              <w:spacing w:after="20" w:line="252" w:lineRule="auto"/>
              <w:jc w:val="right"/>
            </w:pPr>
            <w:r>
              <w:rPr>
                <w:sz w:val="16"/>
              </w:rPr>
              <w:t>R6,665,878</w:t>
            </w:r>
          </w:p>
        </w:tc>
        <w:tc>
          <w:tcPr>
            <w:tcW w:type="dxa" w:w="1361"/>
            <w:shd w:val="clear" w:color="auto" w:fill="FAFAFB"/>
            <w:vAlign w:val="center"/>
          </w:tcPr>
          <w:p>
            <w:pPr>
              <w:spacing w:after="20" w:line="252" w:lineRule="auto"/>
              <w:jc w:val="right"/>
            </w:pPr>
            <w:r>
              <w:rPr>
                <w:sz w:val="16"/>
              </w:rPr>
              <w:t>R11,598,628</w:t>
            </w:r>
          </w:p>
        </w:tc>
      </w:tr>
      <w:tr>
        <w:trPr>
          <w:cantSplit/>
        </w:trPr>
        <w:tc>
          <w:tcPr>
            <w:tcW w:type="dxa" w:w="2835"/>
            <w:shd w:val="clear" w:color="auto" w:fill="FFF4EB"/>
            <w:vAlign w:val="center"/>
          </w:tcPr>
          <w:p>
            <w:pPr>
              <w:spacing w:after="20" w:line="252" w:lineRule="auto"/>
            </w:pPr>
            <w:r>
              <w:rPr>
                <w:b/>
                <w:sz w:val="16"/>
              </w:rPr>
              <w:t>Total cost of revenue</w:t>
            </w:r>
          </w:p>
        </w:tc>
        <w:tc>
          <w:tcPr>
            <w:tcW w:type="dxa" w:w="1361"/>
            <w:shd w:val="clear" w:color="auto" w:fill="FFF4EB"/>
            <w:vAlign w:val="center"/>
          </w:tcPr>
          <w:p>
            <w:pPr>
              <w:spacing w:after="20" w:line="252" w:lineRule="auto"/>
              <w:jc w:val="right"/>
            </w:pPr>
            <w:r>
              <w:rPr>
                <w:b/>
                <w:sz w:val="16"/>
              </w:rPr>
              <w:t>R1,820,651</w:t>
            </w:r>
          </w:p>
        </w:tc>
        <w:tc>
          <w:tcPr>
            <w:tcW w:type="dxa" w:w="1361"/>
            <w:shd w:val="clear" w:color="auto" w:fill="FFF4EB"/>
            <w:vAlign w:val="center"/>
          </w:tcPr>
          <w:p>
            <w:pPr>
              <w:spacing w:after="20" w:line="252" w:lineRule="auto"/>
              <w:jc w:val="right"/>
            </w:pPr>
            <w:r>
              <w:rPr>
                <w:b/>
                <w:sz w:val="16"/>
              </w:rPr>
              <w:t>R8,275,178</w:t>
            </w:r>
          </w:p>
        </w:tc>
        <w:tc>
          <w:tcPr>
            <w:tcW w:type="dxa" w:w="1361"/>
            <w:shd w:val="clear" w:color="auto" w:fill="FFF4EB"/>
            <w:vAlign w:val="center"/>
          </w:tcPr>
          <w:p>
            <w:pPr>
              <w:spacing w:after="20" w:line="252" w:lineRule="auto"/>
              <w:jc w:val="right"/>
            </w:pPr>
            <w:r>
              <w:rPr>
                <w:b/>
                <w:sz w:val="16"/>
              </w:rPr>
              <w:t>R20,744,065</w:t>
            </w:r>
          </w:p>
        </w:tc>
        <w:tc>
          <w:tcPr>
            <w:tcW w:type="dxa" w:w="1361"/>
            <w:shd w:val="clear" w:color="auto" w:fill="FFF4EB"/>
            <w:vAlign w:val="center"/>
          </w:tcPr>
          <w:p>
            <w:pPr>
              <w:spacing w:after="20" w:line="252" w:lineRule="auto"/>
              <w:jc w:val="right"/>
            </w:pPr>
            <w:r>
              <w:rPr>
                <w:b/>
                <w:sz w:val="16"/>
              </w:rPr>
              <w:t>R36,808,127</w:t>
            </w:r>
          </w:p>
        </w:tc>
        <w:tc>
          <w:tcPr>
            <w:tcW w:type="dxa" w:w="1361"/>
            <w:shd w:val="clear" w:color="auto" w:fill="FFF4EB"/>
            <w:vAlign w:val="center"/>
          </w:tcPr>
          <w:p>
            <w:pPr>
              <w:spacing w:after="20" w:line="252" w:lineRule="auto"/>
              <w:jc w:val="right"/>
            </w:pPr>
            <w:r>
              <w:rPr>
                <w:b/>
                <w:sz w:val="16"/>
              </w:rPr>
              <w:t>R57,246,047</w:t>
            </w:r>
          </w:p>
        </w:tc>
      </w:tr>
    </w:tbl>
    <w:p>
      <w:pPr>
        <w:spacing w:after="0" w:line="120" w:lineRule="exact"/>
      </w:pPr>
    </w:p>
    <w:p>
      <w:pPr>
        <w:spacing w:after="200"/>
      </w:pPr>
      <w:r>
        <w:rPr>
          <w:color w:val="5B6570"/>
          <w:sz w:val="17"/>
        </w:rPr>
        <w:t>Source: FluxMuse Financial Model v2 (Base case), 11 September 2026.</w:t>
      </w:r>
    </w:p>
    <w:p>
      <w:pPr>
        <w:pStyle w:val="Heading2"/>
      </w:pPr>
      <w:r>
        <w:rPr/>
        <w:t>Annual cash flow</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nnual cash flow (R, Base case)"/>
      </w:tblPr>
      <w:tblGrid>
        <w:gridCol w:w="2834"/>
        <w:gridCol w:w="1360"/>
        <w:gridCol w:w="1360"/>
        <w:gridCol w:w="1360"/>
        <w:gridCol w:w="1360"/>
        <w:gridCol w:w="1360"/>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6"/>
              </w:rPr>
              <w:t>R</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FY1</w:t>
            </w:r>
          </w:p>
          <w:p>
            <w:pPr>
              <w:keepNext/>
              <w:spacing w:after="20" w:line="252" w:lineRule="auto"/>
              <w:jc w:val="right"/>
            </w:pPr>
            <w:r>
              <w:rPr>
                <w:rFonts w:ascii="Poppins" w:hAnsi="Poppins" w:cs="Poppins" w:eastAsia="Poppins"/>
                <w:b/>
                <w:color w:val="20242B"/>
                <w:sz w:val="16"/>
              </w:rPr>
              <w:t>Oct 2026–Sep 2027</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FY2</w:t>
            </w:r>
          </w:p>
          <w:p>
            <w:pPr>
              <w:keepNext/>
              <w:spacing w:after="20" w:line="252" w:lineRule="auto"/>
              <w:jc w:val="right"/>
            </w:pPr>
            <w:r>
              <w:rPr>
                <w:rFonts w:ascii="Poppins" w:hAnsi="Poppins" w:cs="Poppins" w:eastAsia="Poppins"/>
                <w:b/>
                <w:color w:val="20242B"/>
                <w:sz w:val="16"/>
              </w:rPr>
              <w:t>Oct 2027–Sep 2028</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FY3</w:t>
            </w:r>
          </w:p>
          <w:p>
            <w:pPr>
              <w:keepNext/>
              <w:spacing w:after="20" w:line="252" w:lineRule="auto"/>
              <w:jc w:val="right"/>
            </w:pPr>
            <w:r>
              <w:rPr>
                <w:rFonts w:ascii="Poppins" w:hAnsi="Poppins" w:cs="Poppins" w:eastAsia="Poppins"/>
                <w:b/>
                <w:color w:val="20242B"/>
                <w:sz w:val="16"/>
              </w:rPr>
              <w:t>Oct 2028–Sep 2029</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FY4</w:t>
            </w:r>
          </w:p>
          <w:p>
            <w:pPr>
              <w:keepNext/>
              <w:spacing w:after="20" w:line="252" w:lineRule="auto"/>
              <w:jc w:val="right"/>
            </w:pPr>
            <w:r>
              <w:rPr>
                <w:rFonts w:ascii="Poppins" w:hAnsi="Poppins" w:cs="Poppins" w:eastAsia="Poppins"/>
                <w:b/>
                <w:color w:val="20242B"/>
                <w:sz w:val="16"/>
              </w:rPr>
              <w:t>Oct 2029–Sep 2030</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FY5</w:t>
            </w:r>
          </w:p>
          <w:p>
            <w:pPr>
              <w:keepNext/>
              <w:spacing w:after="20" w:line="252" w:lineRule="auto"/>
              <w:jc w:val="right"/>
            </w:pPr>
            <w:r>
              <w:rPr>
                <w:rFonts w:ascii="Poppins" w:hAnsi="Poppins" w:cs="Poppins" w:eastAsia="Poppins"/>
                <w:b/>
                <w:color w:val="20242B"/>
                <w:sz w:val="16"/>
              </w:rPr>
              <w:t>Oct 2030–Sep 2031</w:t>
            </w:r>
          </w:p>
        </w:tc>
      </w:tr>
      <w:tr>
        <w:trPr>
          <w:cantSplit/>
        </w:trPr>
        <w:tc>
          <w:tcPr>
            <w:tcW w:type="dxa" w:w="2835"/>
            <w:vAlign w:val="center"/>
          </w:tcPr>
          <w:p>
            <w:pPr>
              <w:spacing w:after="20" w:line="252" w:lineRule="auto"/>
            </w:pPr>
            <w:r>
              <w:rPr>
                <w:b/>
                <w:sz w:val="16"/>
              </w:rPr>
              <w:t>Opening cash</w:t>
            </w:r>
          </w:p>
        </w:tc>
        <w:tc>
          <w:tcPr>
            <w:tcW w:type="dxa" w:w="1361"/>
            <w:vAlign w:val="center"/>
          </w:tcPr>
          <w:p>
            <w:pPr>
              <w:spacing w:after="20" w:line="252" w:lineRule="auto"/>
              <w:jc w:val="right"/>
            </w:pPr>
            <w:r>
              <w:rPr>
                <w:sz w:val="16"/>
              </w:rPr>
              <w:t>R500,000</w:t>
            </w:r>
          </w:p>
        </w:tc>
        <w:tc>
          <w:tcPr>
            <w:tcW w:type="dxa" w:w="1361"/>
            <w:vAlign w:val="center"/>
          </w:tcPr>
          <w:p>
            <w:pPr>
              <w:spacing w:after="20" w:line="252" w:lineRule="auto"/>
              <w:jc w:val="right"/>
            </w:pPr>
            <w:r>
              <w:rPr>
                <w:sz w:val="16"/>
              </w:rPr>
              <w:t>R19,093,812</w:t>
            </w:r>
          </w:p>
        </w:tc>
        <w:tc>
          <w:tcPr>
            <w:tcW w:type="dxa" w:w="1361"/>
            <w:vAlign w:val="center"/>
          </w:tcPr>
          <w:p>
            <w:pPr>
              <w:spacing w:after="20" w:line="252" w:lineRule="auto"/>
              <w:jc w:val="right"/>
            </w:pPr>
            <w:r>
              <w:rPr>
                <w:sz w:val="16"/>
              </w:rPr>
              <w:t>R7,957,772</w:t>
            </w:r>
          </w:p>
        </w:tc>
        <w:tc>
          <w:tcPr>
            <w:tcW w:type="dxa" w:w="1361"/>
            <w:vAlign w:val="center"/>
          </w:tcPr>
          <w:p>
            <w:pPr>
              <w:spacing w:after="20" w:line="252" w:lineRule="auto"/>
              <w:jc w:val="right"/>
            </w:pPr>
            <w:r>
              <w:rPr>
                <w:sz w:val="16"/>
              </w:rPr>
              <w:t>R13,217,207</w:t>
            </w:r>
          </w:p>
        </w:tc>
        <w:tc>
          <w:tcPr>
            <w:tcW w:type="dxa" w:w="1361"/>
            <w:vAlign w:val="center"/>
          </w:tcPr>
          <w:p>
            <w:pPr>
              <w:spacing w:after="20" w:line="252" w:lineRule="auto"/>
              <w:jc w:val="right"/>
            </w:pPr>
            <w:r>
              <w:rPr>
                <w:sz w:val="16"/>
              </w:rPr>
              <w:t>R48,375,947</w:t>
            </w:r>
          </w:p>
        </w:tc>
      </w:tr>
      <w:tr>
        <w:trPr>
          <w:cantSplit/>
        </w:trPr>
        <w:tc>
          <w:tcPr>
            <w:tcW w:type="dxa" w:w="2835"/>
            <w:shd w:val="clear" w:color="auto" w:fill="FAFAFB"/>
            <w:vAlign w:val="center"/>
          </w:tcPr>
          <w:p>
            <w:pPr>
              <w:spacing w:after="20" w:line="252" w:lineRule="auto"/>
            </w:pPr>
            <w:r>
              <w:rPr>
                <w:b/>
                <w:sz w:val="16"/>
              </w:rPr>
              <w:t>EBITDA</w:t>
            </w:r>
          </w:p>
        </w:tc>
        <w:tc>
          <w:tcPr>
            <w:tcW w:type="dxa" w:w="1361"/>
            <w:shd w:val="clear" w:color="auto" w:fill="FAFAFB"/>
            <w:vAlign w:val="center"/>
          </w:tcPr>
          <w:p>
            <w:pPr>
              <w:spacing w:after="20" w:line="252" w:lineRule="auto"/>
              <w:jc w:val="right"/>
            </w:pPr>
            <w:r>
              <w:rPr>
                <w:sz w:val="16"/>
              </w:rPr>
              <w:t>R-7,076,621</w:t>
            </w:r>
          </w:p>
        </w:tc>
        <w:tc>
          <w:tcPr>
            <w:tcW w:type="dxa" w:w="1361"/>
            <w:shd w:val="clear" w:color="auto" w:fill="FAFAFB"/>
            <w:vAlign w:val="center"/>
          </w:tcPr>
          <w:p>
            <w:pPr>
              <w:spacing w:after="20" w:line="252" w:lineRule="auto"/>
              <w:jc w:val="right"/>
            </w:pPr>
            <w:r>
              <w:rPr>
                <w:sz w:val="16"/>
              </w:rPr>
              <w:t>R-13,721,340</w:t>
            </w:r>
          </w:p>
        </w:tc>
        <w:tc>
          <w:tcPr>
            <w:tcW w:type="dxa" w:w="1361"/>
            <w:shd w:val="clear" w:color="auto" w:fill="FAFAFB"/>
            <w:vAlign w:val="center"/>
          </w:tcPr>
          <w:p>
            <w:pPr>
              <w:spacing w:after="20" w:line="252" w:lineRule="auto"/>
              <w:jc w:val="right"/>
            </w:pPr>
            <w:r>
              <w:rPr>
                <w:sz w:val="16"/>
              </w:rPr>
              <w:t>R540,884</w:t>
            </w:r>
          </w:p>
        </w:tc>
        <w:tc>
          <w:tcPr>
            <w:tcW w:type="dxa" w:w="1361"/>
            <w:shd w:val="clear" w:color="auto" w:fill="FAFAFB"/>
            <w:vAlign w:val="center"/>
          </w:tcPr>
          <w:p>
            <w:pPr>
              <w:spacing w:after="20" w:line="252" w:lineRule="auto"/>
              <w:jc w:val="right"/>
            </w:pPr>
            <w:r>
              <w:rPr>
                <w:sz w:val="16"/>
              </w:rPr>
              <w:t>R31,471,651</w:t>
            </w:r>
          </w:p>
        </w:tc>
        <w:tc>
          <w:tcPr>
            <w:tcW w:type="dxa" w:w="1361"/>
            <w:shd w:val="clear" w:color="auto" w:fill="FAFAFB"/>
            <w:vAlign w:val="center"/>
          </w:tcPr>
          <w:p>
            <w:pPr>
              <w:spacing w:after="20" w:line="252" w:lineRule="auto"/>
              <w:jc w:val="right"/>
            </w:pPr>
            <w:r>
              <w:rPr>
                <w:sz w:val="16"/>
              </w:rPr>
              <w:t>R66,285,197</w:t>
            </w:r>
          </w:p>
        </w:tc>
      </w:tr>
      <w:tr>
        <w:trPr>
          <w:cantSplit/>
        </w:trPr>
        <w:tc>
          <w:tcPr>
            <w:tcW w:type="dxa" w:w="2835"/>
            <w:vAlign w:val="center"/>
          </w:tcPr>
          <w:p>
            <w:pPr>
              <w:spacing w:after="20" w:line="252" w:lineRule="auto"/>
            </w:pPr>
            <w:r>
              <w:rPr>
                <w:b/>
                <w:sz w:val="16"/>
              </w:rPr>
              <w:t>Tax paid</w:t>
            </w:r>
          </w:p>
        </w:tc>
        <w:tc>
          <w:tcPr>
            <w:tcW w:type="dxa" w:w="1361"/>
            <w:vAlign w:val="center"/>
          </w:tcPr>
          <w:p>
            <w:pPr>
              <w:spacing w:after="20" w:line="252" w:lineRule="auto"/>
              <w:jc w:val="right"/>
            </w:pPr>
            <w:r>
              <w:rPr>
                <w:sz w:val="16"/>
              </w:rPr>
              <w:t>R0</w:t>
            </w:r>
          </w:p>
        </w:tc>
        <w:tc>
          <w:tcPr>
            <w:tcW w:type="dxa" w:w="1361"/>
            <w:vAlign w:val="center"/>
          </w:tcPr>
          <w:p>
            <w:pPr>
              <w:spacing w:after="20" w:line="252" w:lineRule="auto"/>
              <w:jc w:val="right"/>
            </w:pPr>
            <w:r>
              <w:rPr>
                <w:sz w:val="16"/>
              </w:rPr>
              <w:t>R0</w:t>
            </w:r>
          </w:p>
        </w:tc>
        <w:tc>
          <w:tcPr>
            <w:tcW w:type="dxa" w:w="1361"/>
            <w:vAlign w:val="center"/>
          </w:tcPr>
          <w:p>
            <w:pPr>
              <w:spacing w:after="20" w:line="252" w:lineRule="auto"/>
              <w:jc w:val="right"/>
            </w:pPr>
            <w:r>
              <w:rPr>
                <w:sz w:val="16"/>
              </w:rPr>
              <w:t>R0</w:t>
            </w:r>
          </w:p>
        </w:tc>
        <w:tc>
          <w:tcPr>
            <w:tcW w:type="dxa" w:w="1361"/>
            <w:vAlign w:val="center"/>
          </w:tcPr>
          <w:p>
            <w:pPr>
              <w:spacing w:after="20" w:line="252" w:lineRule="auto"/>
              <w:jc w:val="right"/>
            </w:pPr>
            <w:r>
              <w:rPr>
                <w:sz w:val="16"/>
              </w:rPr>
              <w:t>R-3,027,935</w:t>
            </w:r>
          </w:p>
        </w:tc>
        <w:tc>
          <w:tcPr>
            <w:tcW w:type="dxa" w:w="1361"/>
            <w:vAlign w:val="center"/>
          </w:tcPr>
          <w:p>
            <w:pPr>
              <w:spacing w:after="20" w:line="252" w:lineRule="auto"/>
              <w:jc w:val="right"/>
            </w:pPr>
            <w:r>
              <w:rPr>
                <w:sz w:val="16"/>
              </w:rPr>
              <w:t>R-17,897,003</w:t>
            </w:r>
          </w:p>
        </w:tc>
      </w:tr>
      <w:tr>
        <w:trPr>
          <w:cantSplit/>
        </w:trPr>
        <w:tc>
          <w:tcPr>
            <w:tcW w:type="dxa" w:w="2835"/>
            <w:shd w:val="clear" w:color="auto" w:fill="FAFAFB"/>
            <w:vAlign w:val="center"/>
          </w:tcPr>
          <w:p>
            <w:pPr>
              <w:spacing w:after="20" w:line="252" w:lineRule="auto"/>
            </w:pPr>
            <w:r>
              <w:rPr>
                <w:b/>
                <w:sz w:val="16"/>
              </w:rPr>
              <w:t>Increase in deferred revenue</w:t>
            </w:r>
          </w:p>
        </w:tc>
        <w:tc>
          <w:tcPr>
            <w:tcW w:type="dxa" w:w="1361"/>
            <w:shd w:val="clear" w:color="auto" w:fill="FAFAFB"/>
            <w:vAlign w:val="center"/>
          </w:tcPr>
          <w:p>
            <w:pPr>
              <w:spacing w:after="20" w:line="252" w:lineRule="auto"/>
              <w:jc w:val="right"/>
            </w:pPr>
            <w:r>
              <w:rPr>
                <w:sz w:val="16"/>
              </w:rPr>
              <w:t>R788,421</w:t>
            </w:r>
          </w:p>
        </w:tc>
        <w:tc>
          <w:tcPr>
            <w:tcW w:type="dxa" w:w="1361"/>
            <w:shd w:val="clear" w:color="auto" w:fill="FAFAFB"/>
            <w:vAlign w:val="center"/>
          </w:tcPr>
          <w:p>
            <w:pPr>
              <w:spacing w:after="20" w:line="252" w:lineRule="auto"/>
              <w:jc w:val="right"/>
            </w:pPr>
            <w:r>
              <w:rPr>
                <w:sz w:val="16"/>
              </w:rPr>
              <w:t>R2,900,125</w:t>
            </w:r>
          </w:p>
        </w:tc>
        <w:tc>
          <w:tcPr>
            <w:tcW w:type="dxa" w:w="1361"/>
            <w:shd w:val="clear" w:color="auto" w:fill="FAFAFB"/>
            <w:vAlign w:val="center"/>
          </w:tcPr>
          <w:p>
            <w:pPr>
              <w:spacing w:after="20" w:line="252" w:lineRule="auto"/>
              <w:jc w:val="right"/>
            </w:pPr>
            <w:r>
              <w:rPr>
                <w:sz w:val="16"/>
              </w:rPr>
              <w:t>R5,253,804</w:t>
            </w:r>
          </w:p>
        </w:tc>
        <w:tc>
          <w:tcPr>
            <w:tcW w:type="dxa" w:w="1361"/>
            <w:shd w:val="clear" w:color="auto" w:fill="FAFAFB"/>
            <w:vAlign w:val="center"/>
          </w:tcPr>
          <w:p>
            <w:pPr>
              <w:spacing w:after="20" w:line="252" w:lineRule="auto"/>
              <w:jc w:val="right"/>
            </w:pPr>
            <w:r>
              <w:rPr>
                <w:sz w:val="16"/>
              </w:rPr>
              <w:t>R7,448,676</w:t>
            </w:r>
          </w:p>
        </w:tc>
        <w:tc>
          <w:tcPr>
            <w:tcW w:type="dxa" w:w="1361"/>
            <w:shd w:val="clear" w:color="auto" w:fill="FAFAFB"/>
            <w:vAlign w:val="center"/>
          </w:tcPr>
          <w:p>
            <w:pPr>
              <w:spacing w:after="20" w:line="252" w:lineRule="auto"/>
              <w:jc w:val="right"/>
            </w:pPr>
            <w:r>
              <w:rPr>
                <w:sz w:val="16"/>
              </w:rPr>
              <w:t>R8,643,219</w:t>
            </w:r>
          </w:p>
        </w:tc>
      </w:tr>
      <w:tr>
        <w:trPr>
          <w:cantSplit/>
        </w:trPr>
        <w:tc>
          <w:tcPr>
            <w:tcW w:type="dxa" w:w="2835"/>
            <w:vAlign w:val="center"/>
          </w:tcPr>
          <w:p>
            <w:pPr>
              <w:spacing w:after="20" w:line="252" w:lineRule="auto"/>
            </w:pPr>
            <w:r>
              <w:rPr>
                <w:b/>
                <w:sz w:val="16"/>
              </w:rPr>
              <w:t>Increase in receivables</w:t>
            </w:r>
          </w:p>
        </w:tc>
        <w:tc>
          <w:tcPr>
            <w:tcW w:type="dxa" w:w="1361"/>
            <w:vAlign w:val="center"/>
          </w:tcPr>
          <w:p>
            <w:pPr>
              <w:spacing w:after="20" w:line="252" w:lineRule="auto"/>
              <w:jc w:val="right"/>
            </w:pPr>
            <w:r>
              <w:rPr>
                <w:sz w:val="16"/>
              </w:rPr>
              <w:t>(R117,988)</w:t>
            </w:r>
          </w:p>
        </w:tc>
        <w:tc>
          <w:tcPr>
            <w:tcW w:type="dxa" w:w="1361"/>
            <w:vAlign w:val="center"/>
          </w:tcPr>
          <w:p>
            <w:pPr>
              <w:spacing w:after="20" w:line="252" w:lineRule="auto"/>
              <w:jc w:val="right"/>
            </w:pPr>
            <w:r>
              <w:rPr>
                <w:sz w:val="16"/>
              </w:rPr>
              <w:t>(R314,824)</w:t>
            </w:r>
          </w:p>
        </w:tc>
        <w:tc>
          <w:tcPr>
            <w:tcW w:type="dxa" w:w="1361"/>
            <w:vAlign w:val="center"/>
          </w:tcPr>
          <w:p>
            <w:pPr>
              <w:spacing w:after="20" w:line="252" w:lineRule="auto"/>
              <w:jc w:val="right"/>
            </w:pPr>
            <w:r>
              <w:rPr>
                <w:sz w:val="16"/>
              </w:rPr>
              <w:t>(R535,252)</w:t>
            </w:r>
          </w:p>
        </w:tc>
        <w:tc>
          <w:tcPr>
            <w:tcW w:type="dxa" w:w="1361"/>
            <w:vAlign w:val="center"/>
          </w:tcPr>
          <w:p>
            <w:pPr>
              <w:spacing w:after="20" w:line="252" w:lineRule="auto"/>
              <w:jc w:val="right"/>
            </w:pPr>
            <w:r>
              <w:rPr>
                <w:sz w:val="16"/>
              </w:rPr>
              <w:t>(R733,652)</w:t>
            </w:r>
          </w:p>
        </w:tc>
        <w:tc>
          <w:tcPr>
            <w:tcW w:type="dxa" w:w="1361"/>
            <w:vAlign w:val="center"/>
          </w:tcPr>
          <w:p>
            <w:pPr>
              <w:spacing w:after="20" w:line="252" w:lineRule="auto"/>
              <w:jc w:val="right"/>
            </w:pPr>
            <w:r>
              <w:rPr>
                <w:sz w:val="16"/>
              </w:rPr>
              <w:t>(R957,865)</w:t>
            </w:r>
          </w:p>
        </w:tc>
      </w:tr>
      <w:tr>
        <w:trPr>
          <w:cantSplit/>
        </w:trPr>
        <w:tc>
          <w:tcPr>
            <w:tcW w:type="dxa" w:w="2835"/>
            <w:shd w:val="clear" w:color="auto" w:fill="FFF4EB"/>
            <w:vAlign w:val="center"/>
          </w:tcPr>
          <w:p>
            <w:pPr>
              <w:spacing w:after="20" w:line="252" w:lineRule="auto"/>
            </w:pPr>
            <w:r>
              <w:rPr>
                <w:b/>
                <w:sz w:val="16"/>
              </w:rPr>
              <w:t>Operating cash flow</w:t>
            </w:r>
          </w:p>
        </w:tc>
        <w:tc>
          <w:tcPr>
            <w:tcW w:type="dxa" w:w="1361"/>
            <w:shd w:val="clear" w:color="auto" w:fill="FFF4EB"/>
            <w:vAlign w:val="center"/>
          </w:tcPr>
          <w:p>
            <w:pPr>
              <w:spacing w:after="20" w:line="252" w:lineRule="auto"/>
              <w:jc w:val="right"/>
            </w:pPr>
            <w:r>
              <w:rPr>
                <w:b/>
                <w:sz w:val="16"/>
              </w:rPr>
              <w:t>R-6,406,188</w:t>
            </w:r>
          </w:p>
        </w:tc>
        <w:tc>
          <w:tcPr>
            <w:tcW w:type="dxa" w:w="1361"/>
            <w:shd w:val="clear" w:color="auto" w:fill="FFF4EB"/>
            <w:vAlign w:val="center"/>
          </w:tcPr>
          <w:p>
            <w:pPr>
              <w:spacing w:after="20" w:line="252" w:lineRule="auto"/>
              <w:jc w:val="right"/>
            </w:pPr>
            <w:r>
              <w:rPr>
                <w:b/>
                <w:sz w:val="16"/>
              </w:rPr>
              <w:t>R-11,136,040</w:t>
            </w:r>
          </w:p>
        </w:tc>
        <w:tc>
          <w:tcPr>
            <w:tcW w:type="dxa" w:w="1361"/>
            <w:shd w:val="clear" w:color="auto" w:fill="FFF4EB"/>
            <w:vAlign w:val="center"/>
          </w:tcPr>
          <w:p>
            <w:pPr>
              <w:spacing w:after="20" w:line="252" w:lineRule="auto"/>
              <w:jc w:val="right"/>
            </w:pPr>
            <w:r>
              <w:rPr>
                <w:b/>
                <w:sz w:val="16"/>
              </w:rPr>
              <w:t>R5,259,435</w:t>
            </w:r>
          </w:p>
        </w:tc>
        <w:tc>
          <w:tcPr>
            <w:tcW w:type="dxa" w:w="1361"/>
            <w:shd w:val="clear" w:color="auto" w:fill="FFF4EB"/>
            <w:vAlign w:val="center"/>
          </w:tcPr>
          <w:p>
            <w:pPr>
              <w:spacing w:after="20" w:line="252" w:lineRule="auto"/>
              <w:jc w:val="right"/>
            </w:pPr>
            <w:r>
              <w:rPr>
                <w:b/>
                <w:sz w:val="16"/>
              </w:rPr>
              <w:t>R35,158,739</w:t>
            </w:r>
          </w:p>
        </w:tc>
        <w:tc>
          <w:tcPr>
            <w:tcW w:type="dxa" w:w="1361"/>
            <w:shd w:val="clear" w:color="auto" w:fill="FFF4EB"/>
            <w:vAlign w:val="center"/>
          </w:tcPr>
          <w:p>
            <w:pPr>
              <w:spacing w:after="20" w:line="252" w:lineRule="auto"/>
              <w:jc w:val="right"/>
            </w:pPr>
            <w:r>
              <w:rPr>
                <w:b/>
                <w:sz w:val="16"/>
              </w:rPr>
              <w:t>R56,073,548</w:t>
            </w:r>
          </w:p>
        </w:tc>
      </w:tr>
      <w:tr>
        <w:trPr>
          <w:cantSplit/>
        </w:trPr>
        <w:tc>
          <w:tcPr>
            <w:tcW w:type="dxa" w:w="2835"/>
            <w:vAlign w:val="center"/>
          </w:tcPr>
          <w:p>
            <w:pPr>
              <w:spacing w:after="20" w:line="252" w:lineRule="auto"/>
            </w:pPr>
            <w:r>
              <w:rPr>
                <w:b/>
                <w:sz w:val="16"/>
              </w:rPr>
              <w:t>Seed equity</w:t>
            </w:r>
          </w:p>
        </w:tc>
        <w:tc>
          <w:tcPr>
            <w:tcW w:type="dxa" w:w="1361"/>
            <w:vAlign w:val="center"/>
          </w:tcPr>
          <w:p>
            <w:pPr>
              <w:spacing w:after="20" w:line="252" w:lineRule="auto"/>
              <w:jc w:val="right"/>
            </w:pPr>
            <w:r>
              <w:rPr>
                <w:sz w:val="16"/>
              </w:rPr>
              <w:t>R25,000,000</w:t>
            </w:r>
          </w:p>
        </w:tc>
        <w:tc>
          <w:tcPr>
            <w:tcW w:type="dxa" w:w="1361"/>
            <w:vAlign w:val="center"/>
          </w:tcPr>
          <w:p>
            <w:pPr>
              <w:spacing w:after="20" w:line="252" w:lineRule="auto"/>
              <w:jc w:val="right"/>
            </w:pPr>
            <w:r>
              <w:rPr>
                <w:sz w:val="16"/>
              </w:rPr>
              <w:t>R0</w:t>
            </w:r>
          </w:p>
        </w:tc>
        <w:tc>
          <w:tcPr>
            <w:tcW w:type="dxa" w:w="1361"/>
            <w:vAlign w:val="center"/>
          </w:tcPr>
          <w:p>
            <w:pPr>
              <w:spacing w:after="20" w:line="252" w:lineRule="auto"/>
              <w:jc w:val="right"/>
            </w:pPr>
            <w:r>
              <w:rPr>
                <w:sz w:val="16"/>
              </w:rPr>
              <w:t>R0</w:t>
            </w:r>
          </w:p>
        </w:tc>
        <w:tc>
          <w:tcPr>
            <w:tcW w:type="dxa" w:w="1361"/>
            <w:vAlign w:val="center"/>
          </w:tcPr>
          <w:p>
            <w:pPr>
              <w:spacing w:after="20" w:line="252" w:lineRule="auto"/>
              <w:jc w:val="right"/>
            </w:pPr>
            <w:r>
              <w:rPr>
                <w:sz w:val="16"/>
              </w:rPr>
              <w:t>R0</w:t>
            </w:r>
          </w:p>
        </w:tc>
        <w:tc>
          <w:tcPr>
            <w:tcW w:type="dxa" w:w="1361"/>
            <w:vAlign w:val="center"/>
          </w:tcPr>
          <w:p>
            <w:pPr>
              <w:spacing w:after="20" w:line="252" w:lineRule="auto"/>
              <w:jc w:val="right"/>
            </w:pPr>
            <w:r>
              <w:rPr>
                <w:sz w:val="16"/>
              </w:rPr>
              <w:t>R0</w:t>
            </w:r>
          </w:p>
        </w:tc>
      </w:tr>
      <w:tr>
        <w:trPr>
          <w:cantSplit/>
        </w:trPr>
        <w:tc>
          <w:tcPr>
            <w:tcW w:type="dxa" w:w="2835"/>
            <w:shd w:val="clear" w:color="auto" w:fill="FFF4EB"/>
            <w:vAlign w:val="center"/>
          </w:tcPr>
          <w:p>
            <w:pPr>
              <w:spacing w:after="20" w:line="252" w:lineRule="auto"/>
            </w:pPr>
            <w:r>
              <w:rPr>
                <w:b/>
                <w:sz w:val="16"/>
              </w:rPr>
              <w:t>Net cash flow</w:t>
            </w:r>
          </w:p>
        </w:tc>
        <w:tc>
          <w:tcPr>
            <w:tcW w:type="dxa" w:w="1361"/>
            <w:shd w:val="clear" w:color="auto" w:fill="FFF4EB"/>
            <w:vAlign w:val="center"/>
          </w:tcPr>
          <w:p>
            <w:pPr>
              <w:spacing w:after="20" w:line="252" w:lineRule="auto"/>
              <w:jc w:val="right"/>
            </w:pPr>
            <w:r>
              <w:rPr>
                <w:b/>
                <w:sz w:val="16"/>
              </w:rPr>
              <w:t>R18,593,812</w:t>
            </w:r>
          </w:p>
        </w:tc>
        <w:tc>
          <w:tcPr>
            <w:tcW w:type="dxa" w:w="1361"/>
            <w:shd w:val="clear" w:color="auto" w:fill="FFF4EB"/>
            <w:vAlign w:val="center"/>
          </w:tcPr>
          <w:p>
            <w:pPr>
              <w:spacing w:after="20" w:line="252" w:lineRule="auto"/>
              <w:jc w:val="right"/>
            </w:pPr>
            <w:r>
              <w:rPr>
                <w:b/>
                <w:sz w:val="16"/>
              </w:rPr>
              <w:t>R-11,136,040</w:t>
            </w:r>
          </w:p>
        </w:tc>
        <w:tc>
          <w:tcPr>
            <w:tcW w:type="dxa" w:w="1361"/>
            <w:shd w:val="clear" w:color="auto" w:fill="FFF4EB"/>
            <w:vAlign w:val="center"/>
          </w:tcPr>
          <w:p>
            <w:pPr>
              <w:spacing w:after="20" w:line="252" w:lineRule="auto"/>
              <w:jc w:val="right"/>
            </w:pPr>
            <w:r>
              <w:rPr>
                <w:b/>
                <w:sz w:val="16"/>
              </w:rPr>
              <w:t>R5,259,435</w:t>
            </w:r>
          </w:p>
        </w:tc>
        <w:tc>
          <w:tcPr>
            <w:tcW w:type="dxa" w:w="1361"/>
            <w:shd w:val="clear" w:color="auto" w:fill="FFF4EB"/>
            <w:vAlign w:val="center"/>
          </w:tcPr>
          <w:p>
            <w:pPr>
              <w:spacing w:after="20" w:line="252" w:lineRule="auto"/>
              <w:jc w:val="right"/>
            </w:pPr>
            <w:r>
              <w:rPr>
                <w:b/>
                <w:sz w:val="16"/>
              </w:rPr>
              <w:t>R35,158,739</w:t>
            </w:r>
          </w:p>
        </w:tc>
        <w:tc>
          <w:tcPr>
            <w:tcW w:type="dxa" w:w="1361"/>
            <w:shd w:val="clear" w:color="auto" w:fill="FFF4EB"/>
            <w:vAlign w:val="center"/>
          </w:tcPr>
          <w:p>
            <w:pPr>
              <w:spacing w:after="20" w:line="252" w:lineRule="auto"/>
              <w:jc w:val="right"/>
            </w:pPr>
            <w:r>
              <w:rPr>
                <w:b/>
                <w:sz w:val="16"/>
              </w:rPr>
              <w:t>R56,073,548</w:t>
            </w:r>
          </w:p>
        </w:tc>
      </w:tr>
      <w:tr>
        <w:trPr>
          <w:cantSplit/>
        </w:trPr>
        <w:tc>
          <w:tcPr>
            <w:tcW w:type="dxa" w:w="2835"/>
            <w:shd w:val="clear" w:color="auto" w:fill="FFF4EB"/>
            <w:vAlign w:val="center"/>
          </w:tcPr>
          <w:p>
            <w:pPr>
              <w:spacing w:after="20" w:line="252" w:lineRule="auto"/>
            </w:pPr>
            <w:r>
              <w:rPr>
                <w:b/>
                <w:sz w:val="16"/>
              </w:rPr>
              <w:t>Closing cash</w:t>
            </w:r>
          </w:p>
        </w:tc>
        <w:tc>
          <w:tcPr>
            <w:tcW w:type="dxa" w:w="1361"/>
            <w:shd w:val="clear" w:color="auto" w:fill="FFF4EB"/>
            <w:vAlign w:val="center"/>
          </w:tcPr>
          <w:p>
            <w:pPr>
              <w:spacing w:after="20" w:line="252" w:lineRule="auto"/>
              <w:jc w:val="right"/>
            </w:pPr>
            <w:r>
              <w:rPr>
                <w:b/>
                <w:sz w:val="16"/>
              </w:rPr>
              <w:t>R19,093,812</w:t>
            </w:r>
          </w:p>
        </w:tc>
        <w:tc>
          <w:tcPr>
            <w:tcW w:type="dxa" w:w="1361"/>
            <w:shd w:val="clear" w:color="auto" w:fill="FFF4EB"/>
            <w:vAlign w:val="center"/>
          </w:tcPr>
          <w:p>
            <w:pPr>
              <w:spacing w:after="20" w:line="252" w:lineRule="auto"/>
              <w:jc w:val="right"/>
            </w:pPr>
            <w:r>
              <w:rPr>
                <w:b/>
                <w:sz w:val="16"/>
              </w:rPr>
              <w:t>R7,957,772</w:t>
            </w:r>
          </w:p>
        </w:tc>
        <w:tc>
          <w:tcPr>
            <w:tcW w:type="dxa" w:w="1361"/>
            <w:shd w:val="clear" w:color="auto" w:fill="FFF4EB"/>
            <w:vAlign w:val="center"/>
          </w:tcPr>
          <w:p>
            <w:pPr>
              <w:spacing w:after="20" w:line="252" w:lineRule="auto"/>
              <w:jc w:val="right"/>
            </w:pPr>
            <w:r>
              <w:rPr>
                <w:b/>
                <w:sz w:val="16"/>
              </w:rPr>
              <w:t>R13,217,207</w:t>
            </w:r>
          </w:p>
        </w:tc>
        <w:tc>
          <w:tcPr>
            <w:tcW w:type="dxa" w:w="1361"/>
            <w:shd w:val="clear" w:color="auto" w:fill="FFF4EB"/>
            <w:vAlign w:val="center"/>
          </w:tcPr>
          <w:p>
            <w:pPr>
              <w:spacing w:after="20" w:line="252" w:lineRule="auto"/>
              <w:jc w:val="right"/>
            </w:pPr>
            <w:r>
              <w:rPr>
                <w:b/>
                <w:sz w:val="16"/>
              </w:rPr>
              <w:t>R48,375,947</w:t>
            </w:r>
          </w:p>
        </w:tc>
        <w:tc>
          <w:tcPr>
            <w:tcW w:type="dxa" w:w="1361"/>
            <w:shd w:val="clear" w:color="auto" w:fill="FFF4EB"/>
            <w:vAlign w:val="center"/>
          </w:tcPr>
          <w:p>
            <w:pPr>
              <w:spacing w:after="20" w:line="252" w:lineRule="auto"/>
              <w:jc w:val="right"/>
            </w:pPr>
            <w:r>
              <w:rPr>
                <w:b/>
                <w:sz w:val="16"/>
              </w:rPr>
              <w:t>R104,449,495</w:t>
            </w:r>
          </w:p>
        </w:tc>
      </w:tr>
      <w:tr>
        <w:trPr>
          <w:cantSplit/>
        </w:trPr>
        <w:tc>
          <w:tcPr>
            <w:tcW w:type="dxa" w:w="2835"/>
            <w:shd w:val="clear" w:color="auto" w:fill="FAFAFB"/>
            <w:vAlign w:val="center"/>
          </w:tcPr>
          <w:p>
            <w:pPr>
              <w:spacing w:after="20" w:line="252" w:lineRule="auto"/>
            </w:pPr>
            <w:r>
              <w:rPr>
                <w:b/>
                <w:sz w:val="16"/>
              </w:rPr>
              <w:t>Lowest month-end cash in year</w:t>
            </w:r>
          </w:p>
        </w:tc>
        <w:tc>
          <w:tcPr>
            <w:tcW w:type="dxa" w:w="1361"/>
            <w:shd w:val="clear" w:color="auto" w:fill="FAFAFB"/>
            <w:vAlign w:val="center"/>
          </w:tcPr>
          <w:p>
            <w:pPr>
              <w:spacing w:after="20" w:line="252" w:lineRule="auto"/>
              <w:jc w:val="right"/>
            </w:pPr>
            <w:r>
              <w:rPr>
                <w:sz w:val="16"/>
              </w:rPr>
              <w:t>R-57,528</w:t>
            </w:r>
          </w:p>
        </w:tc>
        <w:tc>
          <w:tcPr>
            <w:tcW w:type="dxa" w:w="1361"/>
            <w:shd w:val="clear" w:color="auto" w:fill="FAFAFB"/>
            <w:vAlign w:val="center"/>
          </w:tcPr>
          <w:p>
            <w:pPr>
              <w:spacing w:after="20" w:line="252" w:lineRule="auto"/>
              <w:jc w:val="right"/>
            </w:pPr>
            <w:r>
              <w:rPr>
                <w:sz w:val="16"/>
              </w:rPr>
              <w:t>R7,957,772</w:t>
            </w:r>
          </w:p>
        </w:tc>
        <w:tc>
          <w:tcPr>
            <w:tcW w:type="dxa" w:w="1361"/>
            <w:shd w:val="clear" w:color="auto" w:fill="FAFAFB"/>
            <w:vAlign w:val="center"/>
          </w:tcPr>
          <w:p>
            <w:pPr>
              <w:spacing w:after="20" w:line="252" w:lineRule="auto"/>
              <w:jc w:val="right"/>
            </w:pPr>
            <w:r>
              <w:rPr>
                <w:sz w:val="16"/>
              </w:rPr>
              <w:t>R8,008,686</w:t>
            </w:r>
          </w:p>
        </w:tc>
        <w:tc>
          <w:tcPr>
            <w:tcW w:type="dxa" w:w="1361"/>
            <w:shd w:val="clear" w:color="auto" w:fill="FAFAFB"/>
            <w:vAlign w:val="center"/>
          </w:tcPr>
          <w:p>
            <w:pPr>
              <w:spacing w:after="20" w:line="252" w:lineRule="auto"/>
              <w:jc w:val="right"/>
            </w:pPr>
            <w:r>
              <w:rPr>
                <w:sz w:val="16"/>
              </w:rPr>
              <w:t>R15,712,041</w:t>
            </w:r>
          </w:p>
        </w:tc>
        <w:tc>
          <w:tcPr>
            <w:tcW w:type="dxa" w:w="1361"/>
            <w:shd w:val="clear" w:color="auto" w:fill="FAFAFB"/>
            <w:vAlign w:val="center"/>
          </w:tcPr>
          <w:p>
            <w:pPr>
              <w:spacing w:after="20" w:line="252" w:lineRule="auto"/>
              <w:jc w:val="right"/>
            </w:pPr>
            <w:r>
              <w:rPr>
                <w:sz w:val="16"/>
              </w:rPr>
              <w:t>R53,600,931</w:t>
            </w:r>
          </w:p>
        </w:tc>
      </w:tr>
    </w:tbl>
    <w:p>
      <w:pPr>
        <w:spacing w:after="0" w:line="120" w:lineRule="exact"/>
      </w:pPr>
    </w:p>
    <w:p>
      <w:pPr>
        <w:spacing w:after="200"/>
      </w:pPr>
      <w:r>
        <w:rPr>
          <w:color w:val="5B6570"/>
          <w:sz w:val="17"/>
        </w:rPr>
        <w:t>Source: FluxMuse Financial Model v2 (Base case), 11 September 2026.</w:t>
      </w:r>
    </w:p>
    <w:p>
      <w:pPr>
        <w:pStyle w:val="Heading2"/>
      </w:pPr>
      <w:r>
        <w:rPr/>
        <w:t>Headcount and payroll by department</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yroll by department (R, Base case)"/>
      </w:tblPr>
      <w:tblGrid>
        <w:gridCol w:w="2834"/>
        <w:gridCol w:w="1360"/>
        <w:gridCol w:w="1360"/>
        <w:gridCol w:w="1360"/>
        <w:gridCol w:w="1360"/>
        <w:gridCol w:w="1360"/>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6"/>
              </w:rPr>
              <w:t>R</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FY1</w:t>
            </w:r>
          </w:p>
          <w:p>
            <w:pPr>
              <w:keepNext/>
              <w:spacing w:after="20" w:line="252" w:lineRule="auto"/>
              <w:jc w:val="right"/>
            </w:pPr>
            <w:r>
              <w:rPr>
                <w:rFonts w:ascii="Poppins" w:hAnsi="Poppins" w:cs="Poppins" w:eastAsia="Poppins"/>
                <w:b/>
                <w:color w:val="20242B"/>
                <w:sz w:val="16"/>
              </w:rPr>
              <w:t>Oct 2026–Sep 2027</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FY2</w:t>
            </w:r>
          </w:p>
          <w:p>
            <w:pPr>
              <w:keepNext/>
              <w:spacing w:after="20" w:line="252" w:lineRule="auto"/>
              <w:jc w:val="right"/>
            </w:pPr>
            <w:r>
              <w:rPr>
                <w:rFonts w:ascii="Poppins" w:hAnsi="Poppins" w:cs="Poppins" w:eastAsia="Poppins"/>
                <w:b/>
                <w:color w:val="20242B"/>
                <w:sz w:val="16"/>
              </w:rPr>
              <w:t>Oct 2027–Sep 2028</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FY3</w:t>
            </w:r>
          </w:p>
          <w:p>
            <w:pPr>
              <w:keepNext/>
              <w:spacing w:after="20" w:line="252" w:lineRule="auto"/>
              <w:jc w:val="right"/>
            </w:pPr>
            <w:r>
              <w:rPr>
                <w:rFonts w:ascii="Poppins" w:hAnsi="Poppins" w:cs="Poppins" w:eastAsia="Poppins"/>
                <w:b/>
                <w:color w:val="20242B"/>
                <w:sz w:val="16"/>
              </w:rPr>
              <w:t>Oct 2028–Sep 2029</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FY4</w:t>
            </w:r>
          </w:p>
          <w:p>
            <w:pPr>
              <w:keepNext/>
              <w:spacing w:after="20" w:line="252" w:lineRule="auto"/>
              <w:jc w:val="right"/>
            </w:pPr>
            <w:r>
              <w:rPr>
                <w:rFonts w:ascii="Poppins" w:hAnsi="Poppins" w:cs="Poppins" w:eastAsia="Poppins"/>
                <w:b/>
                <w:color w:val="20242B"/>
                <w:sz w:val="16"/>
              </w:rPr>
              <w:t>Oct 2029–Sep 2030</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6"/>
              </w:rPr>
              <w:t>FY5</w:t>
            </w:r>
          </w:p>
          <w:p>
            <w:pPr>
              <w:keepNext/>
              <w:spacing w:after="20" w:line="252" w:lineRule="auto"/>
              <w:jc w:val="right"/>
            </w:pPr>
            <w:r>
              <w:rPr>
                <w:rFonts w:ascii="Poppins" w:hAnsi="Poppins" w:cs="Poppins" w:eastAsia="Poppins"/>
                <w:b/>
                <w:color w:val="20242B"/>
                <w:sz w:val="16"/>
              </w:rPr>
              <w:t>Oct 2030–Sep 2031</w:t>
            </w:r>
          </w:p>
        </w:tc>
      </w:tr>
      <w:tr>
        <w:trPr>
          <w:cantSplit/>
        </w:trPr>
        <w:tc>
          <w:tcPr>
            <w:tcW w:type="dxa" w:w="2835"/>
            <w:vAlign w:val="center"/>
          </w:tcPr>
          <w:p>
            <w:pPr>
              <w:spacing w:after="20" w:line="252" w:lineRule="auto"/>
            </w:pPr>
            <w:r>
              <w:rPr>
                <w:b/>
                <w:sz w:val="16"/>
              </w:rPr>
              <w:t>Leadership</w:t>
            </w:r>
          </w:p>
        </w:tc>
        <w:tc>
          <w:tcPr>
            <w:tcW w:type="dxa" w:w="1361"/>
            <w:vAlign w:val="center"/>
          </w:tcPr>
          <w:p>
            <w:pPr>
              <w:spacing w:after="20" w:line="252" w:lineRule="auto"/>
              <w:jc w:val="right"/>
            </w:pPr>
            <w:r>
              <w:rPr>
                <w:sz w:val="16"/>
              </w:rPr>
              <w:t>R1,320,000</w:t>
            </w:r>
          </w:p>
        </w:tc>
        <w:tc>
          <w:tcPr>
            <w:tcW w:type="dxa" w:w="1361"/>
            <w:vAlign w:val="center"/>
          </w:tcPr>
          <w:p>
            <w:pPr>
              <w:spacing w:after="20" w:line="252" w:lineRule="auto"/>
              <w:jc w:val="right"/>
            </w:pPr>
            <w:r>
              <w:rPr>
                <w:sz w:val="16"/>
              </w:rPr>
              <w:t>R1,399,200</w:t>
            </w:r>
          </w:p>
        </w:tc>
        <w:tc>
          <w:tcPr>
            <w:tcW w:type="dxa" w:w="1361"/>
            <w:vAlign w:val="center"/>
          </w:tcPr>
          <w:p>
            <w:pPr>
              <w:spacing w:after="20" w:line="252" w:lineRule="auto"/>
              <w:jc w:val="right"/>
            </w:pPr>
            <w:r>
              <w:rPr>
                <w:sz w:val="16"/>
              </w:rPr>
              <w:t>R1,483,152</w:t>
            </w:r>
          </w:p>
        </w:tc>
        <w:tc>
          <w:tcPr>
            <w:tcW w:type="dxa" w:w="1361"/>
            <w:vAlign w:val="center"/>
          </w:tcPr>
          <w:p>
            <w:pPr>
              <w:spacing w:after="20" w:line="252" w:lineRule="auto"/>
              <w:jc w:val="right"/>
            </w:pPr>
            <w:r>
              <w:rPr>
                <w:sz w:val="16"/>
              </w:rPr>
              <w:t>R1,572,141</w:t>
            </w:r>
          </w:p>
        </w:tc>
        <w:tc>
          <w:tcPr>
            <w:tcW w:type="dxa" w:w="1361"/>
            <w:vAlign w:val="center"/>
          </w:tcPr>
          <w:p>
            <w:pPr>
              <w:spacing w:after="20" w:line="252" w:lineRule="auto"/>
              <w:jc w:val="right"/>
            </w:pPr>
            <w:r>
              <w:rPr>
                <w:sz w:val="16"/>
              </w:rPr>
              <w:t>R1,666,470</w:t>
            </w:r>
          </w:p>
        </w:tc>
      </w:tr>
      <w:tr>
        <w:trPr>
          <w:cantSplit/>
        </w:trPr>
        <w:tc>
          <w:tcPr>
            <w:tcW w:type="dxa" w:w="2835"/>
            <w:shd w:val="clear" w:color="auto" w:fill="FAFAFB"/>
            <w:vAlign w:val="center"/>
          </w:tcPr>
          <w:p>
            <w:pPr>
              <w:spacing w:after="20" w:line="252" w:lineRule="auto"/>
            </w:pPr>
            <w:r>
              <w:rPr>
                <w:b/>
                <w:sz w:val="16"/>
              </w:rPr>
              <w:t>Engineering &amp; product</w:t>
            </w:r>
          </w:p>
        </w:tc>
        <w:tc>
          <w:tcPr>
            <w:tcW w:type="dxa" w:w="1361"/>
            <w:shd w:val="clear" w:color="auto" w:fill="FAFAFB"/>
            <w:vAlign w:val="center"/>
          </w:tcPr>
          <w:p>
            <w:pPr>
              <w:spacing w:after="20" w:line="252" w:lineRule="auto"/>
              <w:jc w:val="right"/>
            </w:pPr>
            <w:r>
              <w:rPr>
                <w:sz w:val="16"/>
              </w:rPr>
              <w:t>R2,244,000</w:t>
            </w:r>
          </w:p>
        </w:tc>
        <w:tc>
          <w:tcPr>
            <w:tcW w:type="dxa" w:w="1361"/>
            <w:shd w:val="clear" w:color="auto" w:fill="FAFAFB"/>
            <w:vAlign w:val="center"/>
          </w:tcPr>
          <w:p>
            <w:pPr>
              <w:spacing w:after="20" w:line="252" w:lineRule="auto"/>
              <w:jc w:val="right"/>
            </w:pPr>
            <w:r>
              <w:rPr>
                <w:sz w:val="16"/>
              </w:rPr>
              <w:t>R7,777,220</w:t>
            </w:r>
          </w:p>
        </w:tc>
        <w:tc>
          <w:tcPr>
            <w:tcW w:type="dxa" w:w="1361"/>
            <w:shd w:val="clear" w:color="auto" w:fill="FAFAFB"/>
            <w:vAlign w:val="center"/>
          </w:tcPr>
          <w:p>
            <w:pPr>
              <w:spacing w:after="20" w:line="252" w:lineRule="auto"/>
              <w:jc w:val="right"/>
            </w:pPr>
            <w:r>
              <w:rPr>
                <w:sz w:val="16"/>
              </w:rPr>
              <w:t>R13,558,481</w:t>
            </w:r>
          </w:p>
        </w:tc>
        <w:tc>
          <w:tcPr>
            <w:tcW w:type="dxa" w:w="1361"/>
            <w:shd w:val="clear" w:color="auto" w:fill="FAFAFB"/>
            <w:vAlign w:val="center"/>
          </w:tcPr>
          <w:p>
            <w:pPr>
              <w:spacing w:after="20" w:line="252" w:lineRule="auto"/>
              <w:jc w:val="right"/>
            </w:pPr>
            <w:r>
              <w:rPr>
                <w:sz w:val="16"/>
              </w:rPr>
              <w:t>R21,872,413</w:t>
            </w:r>
          </w:p>
        </w:tc>
        <w:tc>
          <w:tcPr>
            <w:tcW w:type="dxa" w:w="1361"/>
            <w:shd w:val="clear" w:color="auto" w:fill="FAFAFB"/>
            <w:vAlign w:val="center"/>
          </w:tcPr>
          <w:p>
            <w:pPr>
              <w:spacing w:after="20" w:line="252" w:lineRule="auto"/>
              <w:jc w:val="right"/>
            </w:pPr>
            <w:r>
              <w:rPr>
                <w:sz w:val="16"/>
              </w:rPr>
              <w:t>R37,981,619</w:t>
            </w:r>
          </w:p>
        </w:tc>
      </w:tr>
      <w:tr>
        <w:trPr>
          <w:cantSplit/>
        </w:trPr>
        <w:tc>
          <w:tcPr>
            <w:tcW w:type="dxa" w:w="2835"/>
            <w:vAlign w:val="center"/>
          </w:tcPr>
          <w:p>
            <w:pPr>
              <w:spacing w:after="20" w:line="252" w:lineRule="auto"/>
            </w:pPr>
            <w:r>
              <w:rPr>
                <w:b/>
                <w:sz w:val="16"/>
              </w:rPr>
              <w:t>Marketing</w:t>
            </w:r>
          </w:p>
        </w:tc>
        <w:tc>
          <w:tcPr>
            <w:tcW w:type="dxa" w:w="1361"/>
            <w:vAlign w:val="center"/>
          </w:tcPr>
          <w:p>
            <w:pPr>
              <w:spacing w:after="20" w:line="252" w:lineRule="auto"/>
              <w:jc w:val="right"/>
            </w:pPr>
            <w:r>
              <w:rPr>
                <w:sz w:val="16"/>
              </w:rPr>
              <w:t>R1,064,800</w:t>
            </w:r>
          </w:p>
        </w:tc>
        <w:tc>
          <w:tcPr>
            <w:tcW w:type="dxa" w:w="1361"/>
            <w:vAlign w:val="center"/>
          </w:tcPr>
          <w:p>
            <w:pPr>
              <w:spacing w:after="20" w:line="252" w:lineRule="auto"/>
              <w:jc w:val="right"/>
            </w:pPr>
            <w:r>
              <w:rPr>
                <w:sz w:val="16"/>
              </w:rPr>
              <w:t>R2,789,072</w:t>
            </w:r>
          </w:p>
        </w:tc>
        <w:tc>
          <w:tcPr>
            <w:tcW w:type="dxa" w:w="1361"/>
            <w:vAlign w:val="center"/>
          </w:tcPr>
          <w:p>
            <w:pPr>
              <w:spacing w:after="20" w:line="252" w:lineRule="auto"/>
              <w:jc w:val="right"/>
            </w:pPr>
            <w:r>
              <w:rPr>
                <w:sz w:val="16"/>
              </w:rPr>
              <w:t>R4,582,940</w:t>
            </w:r>
          </w:p>
        </w:tc>
        <w:tc>
          <w:tcPr>
            <w:tcW w:type="dxa" w:w="1361"/>
            <w:vAlign w:val="center"/>
          </w:tcPr>
          <w:p>
            <w:pPr>
              <w:spacing w:after="20" w:line="252" w:lineRule="auto"/>
              <w:jc w:val="right"/>
            </w:pPr>
            <w:r>
              <w:rPr>
                <w:sz w:val="16"/>
              </w:rPr>
              <w:t>R6,202,097</w:t>
            </w:r>
          </w:p>
        </w:tc>
        <w:tc>
          <w:tcPr>
            <w:tcW w:type="dxa" w:w="1361"/>
            <w:vAlign w:val="center"/>
          </w:tcPr>
          <w:p>
            <w:pPr>
              <w:spacing w:after="20" w:line="252" w:lineRule="auto"/>
              <w:jc w:val="right"/>
            </w:pPr>
            <w:r>
              <w:rPr>
                <w:sz w:val="16"/>
              </w:rPr>
              <w:t>R11,115,352</w:t>
            </w:r>
          </w:p>
        </w:tc>
      </w:tr>
      <w:tr>
        <w:trPr>
          <w:cantSplit/>
        </w:trPr>
        <w:tc>
          <w:tcPr>
            <w:tcW w:type="dxa" w:w="2835"/>
            <w:shd w:val="clear" w:color="auto" w:fill="FAFAFB"/>
            <w:vAlign w:val="center"/>
          </w:tcPr>
          <w:p>
            <w:pPr>
              <w:spacing w:after="20" w:line="252" w:lineRule="auto"/>
            </w:pPr>
            <w:r>
              <w:rPr>
                <w:b/>
                <w:sz w:val="16"/>
              </w:rPr>
              <w:t>Sales &amp; partnerships</w:t>
            </w:r>
          </w:p>
        </w:tc>
        <w:tc>
          <w:tcPr>
            <w:tcW w:type="dxa" w:w="1361"/>
            <w:shd w:val="clear" w:color="auto" w:fill="FAFAFB"/>
            <w:vAlign w:val="center"/>
          </w:tcPr>
          <w:p>
            <w:pPr>
              <w:spacing w:after="20" w:line="252" w:lineRule="auto"/>
              <w:jc w:val="right"/>
            </w:pPr>
            <w:r>
              <w:rPr>
                <w:sz w:val="16"/>
              </w:rPr>
              <w:t>R440,000</w:t>
            </w:r>
          </w:p>
        </w:tc>
        <w:tc>
          <w:tcPr>
            <w:tcW w:type="dxa" w:w="1361"/>
            <w:shd w:val="clear" w:color="auto" w:fill="FAFAFB"/>
            <w:vAlign w:val="center"/>
          </w:tcPr>
          <w:p>
            <w:pPr>
              <w:spacing w:after="20" w:line="252" w:lineRule="auto"/>
              <w:jc w:val="right"/>
            </w:pPr>
            <w:r>
              <w:rPr>
                <w:sz w:val="16"/>
              </w:rPr>
              <w:t>R2,180,420</w:t>
            </w:r>
          </w:p>
        </w:tc>
        <w:tc>
          <w:tcPr>
            <w:tcW w:type="dxa" w:w="1361"/>
            <w:shd w:val="clear" w:color="auto" w:fill="FAFAFB"/>
            <w:vAlign w:val="center"/>
          </w:tcPr>
          <w:p>
            <w:pPr>
              <w:spacing w:after="20" w:line="252" w:lineRule="auto"/>
              <w:jc w:val="right"/>
            </w:pPr>
            <w:r>
              <w:rPr>
                <w:sz w:val="16"/>
              </w:rPr>
              <w:t>R4,313,500</w:t>
            </w:r>
          </w:p>
        </w:tc>
        <w:tc>
          <w:tcPr>
            <w:tcW w:type="dxa" w:w="1361"/>
            <w:shd w:val="clear" w:color="auto" w:fill="FAFAFB"/>
            <w:vAlign w:val="center"/>
          </w:tcPr>
          <w:p>
            <w:pPr>
              <w:spacing w:after="20" w:line="252" w:lineRule="auto"/>
              <w:jc w:val="right"/>
            </w:pPr>
            <w:r>
              <w:rPr>
                <w:sz w:val="16"/>
              </w:rPr>
              <w:t>R8,116,179</w:t>
            </w:r>
          </w:p>
        </w:tc>
        <w:tc>
          <w:tcPr>
            <w:tcW w:type="dxa" w:w="1361"/>
            <w:shd w:val="clear" w:color="auto" w:fill="FAFAFB"/>
            <w:vAlign w:val="center"/>
          </w:tcPr>
          <w:p>
            <w:pPr>
              <w:spacing w:after="20" w:line="252" w:lineRule="auto"/>
              <w:jc w:val="right"/>
            </w:pPr>
            <w:r>
              <w:rPr>
                <w:sz w:val="16"/>
              </w:rPr>
              <w:t>R13,678,938</w:t>
            </w:r>
          </w:p>
        </w:tc>
      </w:tr>
      <w:tr>
        <w:trPr>
          <w:cantSplit/>
        </w:trPr>
        <w:tc>
          <w:tcPr>
            <w:tcW w:type="dxa" w:w="2835"/>
            <w:vAlign w:val="center"/>
          </w:tcPr>
          <w:p>
            <w:pPr>
              <w:spacing w:after="20" w:line="252" w:lineRule="auto"/>
            </w:pPr>
            <w:r>
              <w:rPr>
                <w:b/>
                <w:sz w:val="16"/>
              </w:rPr>
              <w:t>Customer success</w:t>
            </w:r>
          </w:p>
        </w:tc>
        <w:tc>
          <w:tcPr>
            <w:tcW w:type="dxa" w:w="1361"/>
            <w:vAlign w:val="center"/>
          </w:tcPr>
          <w:p>
            <w:pPr>
              <w:spacing w:after="20" w:line="252" w:lineRule="auto"/>
              <w:jc w:val="right"/>
            </w:pPr>
            <w:r>
              <w:rPr>
                <w:sz w:val="16"/>
              </w:rPr>
              <w:t>R572,000</w:t>
            </w:r>
          </w:p>
        </w:tc>
        <w:tc>
          <w:tcPr>
            <w:tcW w:type="dxa" w:w="1361"/>
            <w:vAlign w:val="center"/>
          </w:tcPr>
          <w:p>
            <w:pPr>
              <w:spacing w:after="20" w:line="252" w:lineRule="auto"/>
              <w:jc w:val="right"/>
            </w:pPr>
            <w:r>
              <w:rPr>
                <w:sz w:val="16"/>
              </w:rPr>
              <w:t>R1,865,600</w:t>
            </w:r>
          </w:p>
        </w:tc>
        <w:tc>
          <w:tcPr>
            <w:tcW w:type="dxa" w:w="1361"/>
            <w:vAlign w:val="center"/>
          </w:tcPr>
          <w:p>
            <w:pPr>
              <w:spacing w:after="20" w:line="252" w:lineRule="auto"/>
              <w:jc w:val="right"/>
            </w:pPr>
            <w:r>
              <w:rPr>
                <w:sz w:val="16"/>
              </w:rPr>
              <w:t>R4,004,510</w:t>
            </w:r>
          </w:p>
        </w:tc>
        <w:tc>
          <w:tcPr>
            <w:tcW w:type="dxa" w:w="1361"/>
            <w:vAlign w:val="center"/>
          </w:tcPr>
          <w:p>
            <w:pPr>
              <w:spacing w:after="20" w:line="252" w:lineRule="auto"/>
              <w:jc w:val="right"/>
            </w:pPr>
            <w:r>
              <w:rPr>
                <w:sz w:val="16"/>
              </w:rPr>
              <w:t>R6,665,878</w:t>
            </w:r>
          </w:p>
        </w:tc>
        <w:tc>
          <w:tcPr>
            <w:tcW w:type="dxa" w:w="1361"/>
            <w:vAlign w:val="center"/>
          </w:tcPr>
          <w:p>
            <w:pPr>
              <w:spacing w:after="20" w:line="252" w:lineRule="auto"/>
              <w:jc w:val="right"/>
            </w:pPr>
            <w:r>
              <w:rPr>
                <w:sz w:val="16"/>
              </w:rPr>
              <w:t>R11,598,628</w:t>
            </w:r>
          </w:p>
        </w:tc>
      </w:tr>
      <w:tr>
        <w:trPr>
          <w:cantSplit/>
        </w:trPr>
        <w:tc>
          <w:tcPr>
            <w:tcW w:type="dxa" w:w="2835"/>
            <w:shd w:val="clear" w:color="auto" w:fill="FAFAFB"/>
            <w:vAlign w:val="center"/>
          </w:tcPr>
          <w:p>
            <w:pPr>
              <w:spacing w:after="20" w:line="252" w:lineRule="auto"/>
            </w:pPr>
            <w:r>
              <w:rPr>
                <w:b/>
                <w:sz w:val="16"/>
              </w:rPr>
              <w:t>G&amp;A &amp; compliance</w:t>
            </w:r>
          </w:p>
        </w:tc>
        <w:tc>
          <w:tcPr>
            <w:tcW w:type="dxa" w:w="1361"/>
            <w:shd w:val="clear" w:color="auto" w:fill="FAFAFB"/>
            <w:vAlign w:val="center"/>
          </w:tcPr>
          <w:p>
            <w:pPr>
              <w:spacing w:after="20" w:line="252" w:lineRule="auto"/>
              <w:jc w:val="right"/>
            </w:pPr>
            <w:r>
              <w:rPr>
                <w:sz w:val="16"/>
              </w:rPr>
              <w:t>R326,700</w:t>
            </w:r>
          </w:p>
        </w:tc>
        <w:tc>
          <w:tcPr>
            <w:tcW w:type="dxa" w:w="1361"/>
            <w:shd w:val="clear" w:color="auto" w:fill="FAFAFB"/>
            <w:vAlign w:val="center"/>
          </w:tcPr>
          <w:p>
            <w:pPr>
              <w:spacing w:after="20" w:line="252" w:lineRule="auto"/>
              <w:jc w:val="right"/>
            </w:pPr>
            <w:r>
              <w:rPr>
                <w:sz w:val="16"/>
              </w:rPr>
              <w:t>R1,322,244</w:t>
            </w:r>
          </w:p>
        </w:tc>
        <w:tc>
          <w:tcPr>
            <w:tcW w:type="dxa" w:w="1361"/>
            <w:shd w:val="clear" w:color="auto" w:fill="FAFAFB"/>
            <w:vAlign w:val="center"/>
          </w:tcPr>
          <w:p>
            <w:pPr>
              <w:spacing w:after="20" w:line="252" w:lineRule="auto"/>
              <w:jc w:val="right"/>
            </w:pPr>
            <w:r>
              <w:rPr>
                <w:sz w:val="16"/>
              </w:rPr>
              <w:t>R2,977,428</w:t>
            </w:r>
          </w:p>
        </w:tc>
        <w:tc>
          <w:tcPr>
            <w:tcW w:type="dxa" w:w="1361"/>
            <w:shd w:val="clear" w:color="auto" w:fill="FAFAFB"/>
            <w:vAlign w:val="center"/>
          </w:tcPr>
          <w:p>
            <w:pPr>
              <w:spacing w:after="20" w:line="252" w:lineRule="auto"/>
              <w:jc w:val="right"/>
            </w:pPr>
            <w:r>
              <w:rPr>
                <w:sz w:val="16"/>
              </w:rPr>
              <w:t>R5,376,723</w:t>
            </w:r>
          </w:p>
        </w:tc>
        <w:tc>
          <w:tcPr>
            <w:tcW w:type="dxa" w:w="1361"/>
            <w:shd w:val="clear" w:color="auto" w:fill="FAFAFB"/>
            <w:vAlign w:val="center"/>
          </w:tcPr>
          <w:p>
            <w:pPr>
              <w:spacing w:after="20" w:line="252" w:lineRule="auto"/>
              <w:jc w:val="right"/>
            </w:pPr>
            <w:r>
              <w:rPr>
                <w:sz w:val="16"/>
              </w:rPr>
              <w:t>R7,865,736</w:t>
            </w:r>
          </w:p>
        </w:tc>
      </w:tr>
      <w:tr>
        <w:trPr>
          <w:cantSplit/>
        </w:trPr>
        <w:tc>
          <w:tcPr>
            <w:tcW w:type="dxa" w:w="2835"/>
            <w:vAlign w:val="center"/>
          </w:tcPr>
          <w:p>
            <w:pPr>
              <w:spacing w:after="20" w:line="252" w:lineRule="auto"/>
            </w:pPr>
            <w:r>
              <w:rPr>
                <w:b/>
                <w:sz w:val="16"/>
              </w:rPr>
              <w:t>Country teams</w:t>
            </w:r>
          </w:p>
        </w:tc>
        <w:tc>
          <w:tcPr>
            <w:tcW w:type="dxa" w:w="1361"/>
            <w:vAlign w:val="center"/>
          </w:tcPr>
          <w:p>
            <w:pPr>
              <w:spacing w:after="20" w:line="252" w:lineRule="auto"/>
              <w:jc w:val="right"/>
            </w:pPr>
            <w:r>
              <w:rPr>
                <w:sz w:val="16"/>
              </w:rPr>
              <w:t>R0</w:t>
            </w:r>
          </w:p>
        </w:tc>
        <w:tc>
          <w:tcPr>
            <w:tcW w:type="dxa" w:w="1361"/>
            <w:vAlign w:val="center"/>
          </w:tcPr>
          <w:p>
            <w:pPr>
              <w:spacing w:after="20" w:line="252" w:lineRule="auto"/>
              <w:jc w:val="right"/>
            </w:pPr>
            <w:r>
              <w:rPr>
                <w:sz w:val="16"/>
              </w:rPr>
              <w:t>R2,157,100</w:t>
            </w:r>
          </w:p>
        </w:tc>
        <w:tc>
          <w:tcPr>
            <w:tcW w:type="dxa" w:w="1361"/>
            <w:vAlign w:val="center"/>
          </w:tcPr>
          <w:p>
            <w:pPr>
              <w:spacing w:after="20" w:line="252" w:lineRule="auto"/>
              <w:jc w:val="right"/>
            </w:pPr>
            <w:r>
              <w:rPr>
                <w:sz w:val="16"/>
              </w:rPr>
              <w:t>R4,795,525</w:t>
            </w:r>
          </w:p>
        </w:tc>
        <w:tc>
          <w:tcPr>
            <w:tcW w:type="dxa" w:w="1361"/>
            <w:vAlign w:val="center"/>
          </w:tcPr>
          <w:p>
            <w:pPr>
              <w:spacing w:after="20" w:line="252" w:lineRule="auto"/>
              <w:jc w:val="right"/>
            </w:pPr>
            <w:r>
              <w:rPr>
                <w:sz w:val="16"/>
              </w:rPr>
              <w:t>R6,131,350</w:t>
            </w:r>
          </w:p>
        </w:tc>
        <w:tc>
          <w:tcPr>
            <w:tcW w:type="dxa" w:w="1361"/>
            <w:vAlign w:val="center"/>
          </w:tcPr>
          <w:p>
            <w:pPr>
              <w:spacing w:after="20" w:line="252" w:lineRule="auto"/>
              <w:jc w:val="right"/>
            </w:pPr>
            <w:r>
              <w:rPr>
                <w:sz w:val="16"/>
              </w:rPr>
              <w:t>R6,499,231</w:t>
            </w:r>
          </w:p>
        </w:tc>
      </w:tr>
    </w:tbl>
    <w:p>
      <w:pPr>
        <w:spacing w:after="0" w:line="120" w:lineRule="exact"/>
      </w:pPr>
    </w:p>
    <w:p>
      <w:pPr>
        <w:spacing w:after="200"/>
      </w:pPr>
      <w:r>
        <w:rPr>
          <w:color w:val="5B6570"/>
          <w:sz w:val="17"/>
        </w:rPr>
        <w:t>Source: FluxMuse Financial Model v2 (Base case), 11 September 2026.</w:t>
      </w:r>
    </w:p>
    <w:p>
      <w:pPr>
        <w:spacing w:after="160"/>
      </w:pPr>
      <w:r>
        <w:rPr>
          <w:i/>
          <w:color w:val="5B6570"/>
          <w:sz w:val="18"/>
        </w:rPr>
        <w:t>Customer-success payroll sits in cost of revenue, not operating expenses, so it appears in the cost-of-revenue table above as well.</w:t>
      </w:r>
    </w:p>
    <w:p>
      <w:pPr>
        <w:pStyle w:val="Heading2"/>
      </w:pPr>
      <w:r>
        <w:rPr/>
        <w:t>Workspaces by segment, market and tier</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Paying workspaces at year end (Base case)"/>
      </w:tblPr>
      <w:tblGrid>
        <w:gridCol w:w="2834"/>
        <w:gridCol w:w="1360"/>
        <w:gridCol w:w="1360"/>
        <w:gridCol w:w="1360"/>
        <w:gridCol w:w="1360"/>
        <w:gridCol w:w="1360"/>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7"/>
              </w:rPr>
              <w:t>Workspaces</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7"/>
              </w:rPr>
              <w:t>FY1</w:t>
            </w:r>
          </w:p>
          <w:p>
            <w:pPr>
              <w:keepNext/>
              <w:spacing w:after="20" w:line="252" w:lineRule="auto"/>
              <w:jc w:val="right"/>
            </w:pPr>
            <w:r>
              <w:rPr>
                <w:rFonts w:ascii="Poppins" w:hAnsi="Poppins" w:cs="Poppins" w:eastAsia="Poppins"/>
                <w:b/>
                <w:color w:val="20242B"/>
                <w:sz w:val="17"/>
              </w:rPr>
              <w:t>Oct 2026–Sep 2027</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7"/>
              </w:rPr>
              <w:t>FY2</w:t>
            </w:r>
          </w:p>
          <w:p>
            <w:pPr>
              <w:keepNext/>
              <w:spacing w:after="20" w:line="252" w:lineRule="auto"/>
              <w:jc w:val="right"/>
            </w:pPr>
            <w:r>
              <w:rPr>
                <w:rFonts w:ascii="Poppins" w:hAnsi="Poppins" w:cs="Poppins" w:eastAsia="Poppins"/>
                <w:b/>
                <w:color w:val="20242B"/>
                <w:sz w:val="17"/>
              </w:rPr>
              <w:t>Oct 2027–Sep 2028</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7"/>
              </w:rPr>
              <w:t>FY3</w:t>
            </w:r>
          </w:p>
          <w:p>
            <w:pPr>
              <w:keepNext/>
              <w:spacing w:after="20" w:line="252" w:lineRule="auto"/>
              <w:jc w:val="right"/>
            </w:pPr>
            <w:r>
              <w:rPr>
                <w:rFonts w:ascii="Poppins" w:hAnsi="Poppins" w:cs="Poppins" w:eastAsia="Poppins"/>
                <w:b/>
                <w:color w:val="20242B"/>
                <w:sz w:val="17"/>
              </w:rPr>
              <w:t>Oct 2028–Sep 2029</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7"/>
              </w:rPr>
              <w:t>FY4</w:t>
            </w:r>
          </w:p>
          <w:p>
            <w:pPr>
              <w:keepNext/>
              <w:spacing w:after="20" w:line="252" w:lineRule="auto"/>
              <w:jc w:val="right"/>
            </w:pPr>
            <w:r>
              <w:rPr>
                <w:rFonts w:ascii="Poppins" w:hAnsi="Poppins" w:cs="Poppins" w:eastAsia="Poppins"/>
                <w:b/>
                <w:color w:val="20242B"/>
                <w:sz w:val="17"/>
              </w:rPr>
              <w:t>Oct 2029–Sep 2030</w:t>
            </w:r>
          </w:p>
        </w:tc>
        <w:tc>
          <w:tcPr>
            <w:tcW w:type="dxa" w:w="1361"/>
            <w:shd w:val="clear" w:color="auto" w:fill="FF6A00"/>
            <w:vAlign w:val="center"/>
          </w:tcPr>
          <w:p>
            <w:pPr>
              <w:keepNext/>
              <w:spacing w:after="20" w:line="252" w:lineRule="auto"/>
              <w:jc w:val="right"/>
            </w:pPr>
            <w:r>
              <w:rPr>
                <w:rFonts w:ascii="Poppins" w:hAnsi="Poppins" w:cs="Poppins" w:eastAsia="Poppins"/>
                <w:b/>
                <w:color w:val="20242B"/>
                <w:sz w:val="17"/>
              </w:rPr>
              <w:t>FY5</w:t>
            </w:r>
          </w:p>
          <w:p>
            <w:pPr>
              <w:keepNext/>
              <w:spacing w:after="20" w:line="252" w:lineRule="auto"/>
              <w:jc w:val="right"/>
            </w:pPr>
            <w:r>
              <w:rPr>
                <w:rFonts w:ascii="Poppins" w:hAnsi="Poppins" w:cs="Poppins" w:eastAsia="Poppins"/>
                <w:b/>
                <w:color w:val="20242B"/>
                <w:sz w:val="17"/>
              </w:rPr>
              <w:t>Oct 2030–Sep 2031</w:t>
            </w:r>
          </w:p>
        </w:tc>
      </w:tr>
      <w:tr>
        <w:trPr>
          <w:cantSplit/>
        </w:trPr>
        <w:tc>
          <w:tcPr>
            <w:tcW w:type="dxa" w:w="2835"/>
            <w:vAlign w:val="center"/>
          </w:tcPr>
          <w:p>
            <w:pPr>
              <w:spacing w:after="20" w:line="252" w:lineRule="auto"/>
            </w:pPr>
            <w:r>
              <w:rPr>
                <w:b/>
                <w:sz w:val="17"/>
              </w:rPr>
              <w:t>Solo</w:t>
            </w:r>
          </w:p>
        </w:tc>
        <w:tc>
          <w:tcPr>
            <w:tcW w:type="dxa" w:w="1361"/>
            <w:vAlign w:val="center"/>
          </w:tcPr>
          <w:p>
            <w:pPr>
              <w:spacing w:after="20" w:line="252" w:lineRule="auto"/>
              <w:jc w:val="right"/>
            </w:pPr>
            <w:r>
              <w:rPr>
                <w:sz w:val="17"/>
              </w:rPr>
              <w:t>229</w:t>
            </w:r>
          </w:p>
        </w:tc>
        <w:tc>
          <w:tcPr>
            <w:tcW w:type="dxa" w:w="1361"/>
            <w:vAlign w:val="center"/>
          </w:tcPr>
          <w:p>
            <w:pPr>
              <w:spacing w:after="20" w:line="252" w:lineRule="auto"/>
              <w:jc w:val="right"/>
            </w:pPr>
            <w:r>
              <w:rPr>
                <w:sz w:val="17"/>
              </w:rPr>
              <w:t>926</w:t>
            </w:r>
          </w:p>
        </w:tc>
        <w:tc>
          <w:tcPr>
            <w:tcW w:type="dxa" w:w="1361"/>
            <w:vAlign w:val="center"/>
          </w:tcPr>
          <w:p>
            <w:pPr>
              <w:spacing w:after="20" w:line="252" w:lineRule="auto"/>
              <w:jc w:val="right"/>
            </w:pPr>
            <w:r>
              <w:rPr>
                <w:sz w:val="17"/>
              </w:rPr>
              <w:t>1,933</w:t>
            </w:r>
          </w:p>
        </w:tc>
        <w:tc>
          <w:tcPr>
            <w:tcW w:type="dxa" w:w="1361"/>
            <w:vAlign w:val="center"/>
          </w:tcPr>
          <w:p>
            <w:pPr>
              <w:spacing w:after="20" w:line="252" w:lineRule="auto"/>
              <w:jc w:val="right"/>
            </w:pPr>
            <w:r>
              <w:rPr>
                <w:sz w:val="17"/>
              </w:rPr>
              <w:t>3,062</w:t>
            </w:r>
          </w:p>
        </w:tc>
        <w:tc>
          <w:tcPr>
            <w:tcW w:type="dxa" w:w="1361"/>
            <w:vAlign w:val="center"/>
          </w:tcPr>
          <w:p>
            <w:pPr>
              <w:spacing w:after="20" w:line="252" w:lineRule="auto"/>
              <w:jc w:val="right"/>
            </w:pPr>
            <w:r>
              <w:rPr>
                <w:sz w:val="17"/>
              </w:rPr>
              <w:t>4,173</w:t>
            </w:r>
          </w:p>
        </w:tc>
      </w:tr>
      <w:tr>
        <w:trPr>
          <w:cantSplit/>
        </w:trPr>
        <w:tc>
          <w:tcPr>
            <w:tcW w:type="dxa" w:w="2835"/>
            <w:shd w:val="clear" w:color="auto" w:fill="FAFAFB"/>
            <w:vAlign w:val="center"/>
          </w:tcPr>
          <w:p>
            <w:pPr>
              <w:spacing w:after="20" w:line="252" w:lineRule="auto"/>
            </w:pPr>
            <w:r>
              <w:rPr>
                <w:b/>
                <w:sz w:val="17"/>
              </w:rPr>
              <w:t>SMEs</w:t>
            </w:r>
          </w:p>
        </w:tc>
        <w:tc>
          <w:tcPr>
            <w:tcW w:type="dxa" w:w="1361"/>
            <w:shd w:val="clear" w:color="auto" w:fill="FAFAFB"/>
            <w:vAlign w:val="center"/>
          </w:tcPr>
          <w:p>
            <w:pPr>
              <w:spacing w:after="20" w:line="252" w:lineRule="auto"/>
              <w:jc w:val="right"/>
            </w:pPr>
            <w:r>
              <w:rPr>
                <w:sz w:val="17"/>
              </w:rPr>
              <w:t>175</w:t>
            </w:r>
          </w:p>
        </w:tc>
        <w:tc>
          <w:tcPr>
            <w:tcW w:type="dxa" w:w="1361"/>
            <w:shd w:val="clear" w:color="auto" w:fill="FAFAFB"/>
            <w:vAlign w:val="center"/>
          </w:tcPr>
          <w:p>
            <w:pPr>
              <w:spacing w:after="20" w:line="252" w:lineRule="auto"/>
              <w:jc w:val="right"/>
            </w:pPr>
            <w:r>
              <w:rPr>
                <w:sz w:val="17"/>
              </w:rPr>
              <w:t>768</w:t>
            </w:r>
          </w:p>
        </w:tc>
        <w:tc>
          <w:tcPr>
            <w:tcW w:type="dxa" w:w="1361"/>
            <w:shd w:val="clear" w:color="auto" w:fill="FAFAFB"/>
            <w:vAlign w:val="center"/>
          </w:tcPr>
          <w:p>
            <w:pPr>
              <w:spacing w:after="20" w:line="252" w:lineRule="auto"/>
              <w:jc w:val="right"/>
            </w:pPr>
            <w:r>
              <w:rPr>
                <w:sz w:val="17"/>
              </w:rPr>
              <w:t>1,749</w:t>
            </w:r>
          </w:p>
        </w:tc>
        <w:tc>
          <w:tcPr>
            <w:tcW w:type="dxa" w:w="1361"/>
            <w:shd w:val="clear" w:color="auto" w:fill="FAFAFB"/>
            <w:vAlign w:val="center"/>
          </w:tcPr>
          <w:p>
            <w:pPr>
              <w:spacing w:after="20" w:line="252" w:lineRule="auto"/>
              <w:jc w:val="right"/>
            </w:pPr>
            <w:r>
              <w:rPr>
                <w:sz w:val="17"/>
              </w:rPr>
              <w:t>2,970</w:t>
            </w:r>
          </w:p>
        </w:tc>
        <w:tc>
          <w:tcPr>
            <w:tcW w:type="dxa" w:w="1361"/>
            <w:shd w:val="clear" w:color="auto" w:fill="FAFAFB"/>
            <w:vAlign w:val="center"/>
          </w:tcPr>
          <w:p>
            <w:pPr>
              <w:spacing w:after="20" w:line="252" w:lineRule="auto"/>
              <w:jc w:val="right"/>
            </w:pPr>
            <w:r>
              <w:rPr>
                <w:sz w:val="17"/>
              </w:rPr>
              <w:t>4,305</w:t>
            </w:r>
          </w:p>
        </w:tc>
      </w:tr>
      <w:tr>
        <w:trPr>
          <w:cantSplit/>
        </w:trPr>
        <w:tc>
          <w:tcPr>
            <w:tcW w:type="dxa" w:w="2835"/>
            <w:vAlign w:val="center"/>
          </w:tcPr>
          <w:p>
            <w:pPr>
              <w:spacing w:after="20" w:line="252" w:lineRule="auto"/>
            </w:pPr>
            <w:r>
              <w:rPr>
                <w:b/>
                <w:sz w:val="17"/>
              </w:rPr>
              <w:t>Agencies</w:t>
            </w:r>
          </w:p>
        </w:tc>
        <w:tc>
          <w:tcPr>
            <w:tcW w:type="dxa" w:w="1361"/>
            <w:vAlign w:val="center"/>
          </w:tcPr>
          <w:p>
            <w:pPr>
              <w:spacing w:after="20" w:line="252" w:lineRule="auto"/>
              <w:jc w:val="right"/>
            </w:pPr>
            <w:r>
              <w:rPr>
                <w:sz w:val="17"/>
              </w:rPr>
              <w:t>17</w:t>
            </w:r>
          </w:p>
        </w:tc>
        <w:tc>
          <w:tcPr>
            <w:tcW w:type="dxa" w:w="1361"/>
            <w:vAlign w:val="center"/>
          </w:tcPr>
          <w:p>
            <w:pPr>
              <w:spacing w:after="20" w:line="252" w:lineRule="auto"/>
              <w:jc w:val="right"/>
            </w:pPr>
            <w:r>
              <w:rPr>
                <w:sz w:val="17"/>
              </w:rPr>
              <w:t>62</w:t>
            </w:r>
          </w:p>
        </w:tc>
        <w:tc>
          <w:tcPr>
            <w:tcW w:type="dxa" w:w="1361"/>
            <w:vAlign w:val="center"/>
          </w:tcPr>
          <w:p>
            <w:pPr>
              <w:spacing w:after="20" w:line="252" w:lineRule="auto"/>
              <w:jc w:val="right"/>
            </w:pPr>
            <w:r>
              <w:rPr>
                <w:sz w:val="17"/>
              </w:rPr>
              <w:t>133</w:t>
            </w:r>
          </w:p>
        </w:tc>
        <w:tc>
          <w:tcPr>
            <w:tcW w:type="dxa" w:w="1361"/>
            <w:vAlign w:val="center"/>
          </w:tcPr>
          <w:p>
            <w:pPr>
              <w:spacing w:after="20" w:line="252" w:lineRule="auto"/>
              <w:jc w:val="right"/>
            </w:pPr>
            <w:r>
              <w:rPr>
                <w:sz w:val="17"/>
              </w:rPr>
              <w:t>218</w:t>
            </w:r>
          </w:p>
        </w:tc>
        <w:tc>
          <w:tcPr>
            <w:tcW w:type="dxa" w:w="1361"/>
            <w:vAlign w:val="center"/>
          </w:tcPr>
          <w:p>
            <w:pPr>
              <w:spacing w:after="20" w:line="252" w:lineRule="auto"/>
              <w:jc w:val="right"/>
            </w:pPr>
            <w:r>
              <w:rPr>
                <w:sz w:val="17"/>
              </w:rPr>
              <w:t>321</w:t>
            </w:r>
          </w:p>
        </w:tc>
      </w:tr>
      <w:tr>
        <w:trPr>
          <w:cantSplit/>
        </w:trPr>
        <w:tc>
          <w:tcPr>
            <w:tcW w:type="dxa" w:w="2835"/>
            <w:shd w:val="clear" w:color="auto" w:fill="FAFAFB"/>
            <w:vAlign w:val="center"/>
          </w:tcPr>
          <w:p>
            <w:pPr>
              <w:spacing w:after="20" w:line="252" w:lineRule="auto"/>
            </w:pPr>
            <w:r>
              <w:rPr>
                <w:b/>
                <w:sz w:val="17"/>
              </w:rPr>
              <w:t>Enterprise</w:t>
            </w:r>
          </w:p>
        </w:tc>
        <w:tc>
          <w:tcPr>
            <w:tcW w:type="dxa" w:w="1361"/>
            <w:shd w:val="clear" w:color="auto" w:fill="FAFAFB"/>
            <w:vAlign w:val="center"/>
          </w:tcPr>
          <w:p>
            <w:pPr>
              <w:spacing w:after="20" w:line="252" w:lineRule="auto"/>
              <w:jc w:val="right"/>
            </w:pPr>
            <w:r>
              <w:rPr>
                <w:sz w:val="17"/>
              </w:rPr>
              <w:t>1</w:t>
            </w:r>
          </w:p>
        </w:tc>
        <w:tc>
          <w:tcPr>
            <w:tcW w:type="dxa" w:w="1361"/>
            <w:shd w:val="clear" w:color="auto" w:fill="FAFAFB"/>
            <w:vAlign w:val="center"/>
          </w:tcPr>
          <w:p>
            <w:pPr>
              <w:spacing w:after="20" w:line="252" w:lineRule="auto"/>
              <w:jc w:val="right"/>
            </w:pPr>
            <w:r>
              <w:rPr>
                <w:sz w:val="17"/>
              </w:rPr>
              <w:t>3</w:t>
            </w:r>
          </w:p>
        </w:tc>
        <w:tc>
          <w:tcPr>
            <w:tcW w:type="dxa" w:w="1361"/>
            <w:shd w:val="clear" w:color="auto" w:fill="FAFAFB"/>
            <w:vAlign w:val="center"/>
          </w:tcPr>
          <w:p>
            <w:pPr>
              <w:spacing w:after="20" w:line="252" w:lineRule="auto"/>
              <w:jc w:val="right"/>
            </w:pPr>
            <w:r>
              <w:rPr>
                <w:sz w:val="17"/>
              </w:rPr>
              <w:t>6</w:t>
            </w:r>
          </w:p>
        </w:tc>
        <w:tc>
          <w:tcPr>
            <w:tcW w:type="dxa" w:w="1361"/>
            <w:shd w:val="clear" w:color="auto" w:fill="FAFAFB"/>
            <w:vAlign w:val="center"/>
          </w:tcPr>
          <w:p>
            <w:pPr>
              <w:spacing w:after="20" w:line="252" w:lineRule="auto"/>
              <w:jc w:val="right"/>
            </w:pPr>
            <w:r>
              <w:rPr>
                <w:sz w:val="17"/>
              </w:rPr>
              <w:t>11</w:t>
            </w:r>
          </w:p>
        </w:tc>
        <w:tc>
          <w:tcPr>
            <w:tcW w:type="dxa" w:w="1361"/>
            <w:shd w:val="clear" w:color="auto" w:fill="FAFAFB"/>
            <w:vAlign w:val="center"/>
          </w:tcPr>
          <w:p>
            <w:pPr>
              <w:spacing w:after="20" w:line="252" w:lineRule="auto"/>
              <w:jc w:val="right"/>
            </w:pPr>
            <w:r>
              <w:rPr>
                <w:sz w:val="17"/>
              </w:rPr>
              <w:t>17</w:t>
            </w:r>
          </w:p>
        </w:tc>
      </w:tr>
      <w:tr>
        <w:trPr>
          <w:cantSplit/>
        </w:trPr>
        <w:tc>
          <w:tcPr>
            <w:tcW w:type="dxa" w:w="2835"/>
            <w:vAlign w:val="center"/>
          </w:tcPr>
          <w:p>
            <w:pPr>
              <w:spacing w:after="20" w:line="252" w:lineRule="auto"/>
            </w:pPr>
            <w:r>
              <w:rPr>
                <w:b/>
                <w:sz w:val="17"/>
              </w:rPr>
              <w:t>South Africa</w:t>
            </w:r>
          </w:p>
        </w:tc>
        <w:tc>
          <w:tcPr>
            <w:tcW w:type="dxa" w:w="1361"/>
            <w:vAlign w:val="center"/>
          </w:tcPr>
          <w:p>
            <w:pPr>
              <w:spacing w:after="20" w:line="252" w:lineRule="auto"/>
              <w:jc w:val="right"/>
            </w:pPr>
            <w:r>
              <w:rPr>
                <w:sz w:val="17"/>
              </w:rPr>
              <w:t>421</w:t>
            </w:r>
          </w:p>
        </w:tc>
        <w:tc>
          <w:tcPr>
            <w:tcW w:type="dxa" w:w="1361"/>
            <w:vAlign w:val="center"/>
          </w:tcPr>
          <w:p>
            <w:pPr>
              <w:spacing w:after="20" w:line="252" w:lineRule="auto"/>
              <w:jc w:val="right"/>
            </w:pPr>
            <w:r>
              <w:rPr>
                <w:sz w:val="17"/>
              </w:rPr>
              <w:t>1,360</w:t>
            </w:r>
          </w:p>
        </w:tc>
        <w:tc>
          <w:tcPr>
            <w:tcW w:type="dxa" w:w="1361"/>
            <w:vAlign w:val="center"/>
          </w:tcPr>
          <w:p>
            <w:pPr>
              <w:spacing w:after="20" w:line="252" w:lineRule="auto"/>
              <w:jc w:val="right"/>
            </w:pPr>
            <w:r>
              <w:rPr>
                <w:sz w:val="17"/>
              </w:rPr>
              <w:t>2,574</w:t>
            </w:r>
          </w:p>
        </w:tc>
        <w:tc>
          <w:tcPr>
            <w:tcW w:type="dxa" w:w="1361"/>
            <w:vAlign w:val="center"/>
          </w:tcPr>
          <w:p>
            <w:pPr>
              <w:spacing w:after="20" w:line="252" w:lineRule="auto"/>
              <w:jc w:val="right"/>
            </w:pPr>
            <w:r>
              <w:rPr>
                <w:sz w:val="17"/>
              </w:rPr>
              <w:t>4,091</w:t>
            </w:r>
          </w:p>
        </w:tc>
        <w:tc>
          <w:tcPr>
            <w:tcW w:type="dxa" w:w="1361"/>
            <w:vAlign w:val="center"/>
          </w:tcPr>
          <w:p>
            <w:pPr>
              <w:spacing w:after="20" w:line="252" w:lineRule="auto"/>
              <w:jc w:val="right"/>
            </w:pPr>
            <w:r>
              <w:rPr>
                <w:sz w:val="17"/>
              </w:rPr>
              <w:t>5,724</w:t>
            </w:r>
          </w:p>
        </w:tc>
      </w:tr>
      <w:tr>
        <w:trPr>
          <w:cantSplit/>
        </w:trPr>
        <w:tc>
          <w:tcPr>
            <w:tcW w:type="dxa" w:w="2835"/>
            <w:shd w:val="clear" w:color="auto" w:fill="FAFAFB"/>
            <w:vAlign w:val="center"/>
          </w:tcPr>
          <w:p>
            <w:pPr>
              <w:spacing w:after="20" w:line="252" w:lineRule="auto"/>
            </w:pPr>
            <w:r>
              <w:rPr>
                <w:b/>
                <w:sz w:val="17"/>
              </w:rPr>
              <w:t>Nigeria</w:t>
            </w:r>
          </w:p>
        </w:tc>
        <w:tc>
          <w:tcPr>
            <w:tcW w:type="dxa" w:w="1361"/>
            <w:shd w:val="clear" w:color="auto" w:fill="FAFAFB"/>
            <w:vAlign w:val="center"/>
          </w:tcPr>
          <w:p>
            <w:pPr>
              <w:spacing w:after="20" w:line="252" w:lineRule="auto"/>
              <w:jc w:val="right"/>
            </w:pPr>
            <w:r>
              <w:rPr>
                <w:sz w:val="17"/>
              </w:rPr>
              <w:t>0</w:t>
            </w:r>
          </w:p>
        </w:tc>
        <w:tc>
          <w:tcPr>
            <w:tcW w:type="dxa" w:w="1361"/>
            <w:shd w:val="clear" w:color="auto" w:fill="FAFAFB"/>
            <w:vAlign w:val="center"/>
          </w:tcPr>
          <w:p>
            <w:pPr>
              <w:spacing w:after="20" w:line="252" w:lineRule="auto"/>
              <w:jc w:val="right"/>
            </w:pPr>
            <w:r>
              <w:rPr>
                <w:sz w:val="17"/>
              </w:rPr>
              <w:t>221</w:t>
            </w:r>
          </w:p>
        </w:tc>
        <w:tc>
          <w:tcPr>
            <w:tcW w:type="dxa" w:w="1361"/>
            <w:shd w:val="clear" w:color="auto" w:fill="FAFAFB"/>
            <w:vAlign w:val="center"/>
          </w:tcPr>
          <w:p>
            <w:pPr>
              <w:spacing w:after="20" w:line="252" w:lineRule="auto"/>
              <w:jc w:val="right"/>
            </w:pPr>
            <w:r>
              <w:rPr>
                <w:sz w:val="17"/>
              </w:rPr>
              <w:t>544</w:t>
            </w:r>
          </w:p>
        </w:tc>
        <w:tc>
          <w:tcPr>
            <w:tcW w:type="dxa" w:w="1361"/>
            <w:shd w:val="clear" w:color="auto" w:fill="FAFAFB"/>
            <w:vAlign w:val="center"/>
          </w:tcPr>
          <w:p>
            <w:pPr>
              <w:spacing w:after="20" w:line="252" w:lineRule="auto"/>
              <w:jc w:val="right"/>
            </w:pPr>
            <w:r>
              <w:rPr>
                <w:sz w:val="17"/>
              </w:rPr>
              <w:t>907</w:t>
            </w:r>
          </w:p>
        </w:tc>
        <w:tc>
          <w:tcPr>
            <w:tcW w:type="dxa" w:w="1361"/>
            <w:shd w:val="clear" w:color="auto" w:fill="FAFAFB"/>
            <w:vAlign w:val="center"/>
          </w:tcPr>
          <w:p>
            <w:pPr>
              <w:spacing w:after="20" w:line="252" w:lineRule="auto"/>
              <w:jc w:val="right"/>
            </w:pPr>
            <w:r>
              <w:rPr>
                <w:sz w:val="17"/>
              </w:rPr>
              <w:t>1,275</w:t>
            </w:r>
          </w:p>
        </w:tc>
      </w:tr>
      <w:tr>
        <w:trPr>
          <w:cantSplit/>
        </w:trPr>
        <w:tc>
          <w:tcPr>
            <w:tcW w:type="dxa" w:w="2835"/>
            <w:vAlign w:val="center"/>
          </w:tcPr>
          <w:p>
            <w:pPr>
              <w:spacing w:after="20" w:line="252" w:lineRule="auto"/>
            </w:pPr>
            <w:r>
              <w:rPr>
                <w:b/>
                <w:sz w:val="17"/>
              </w:rPr>
              <w:t>Kenya</w:t>
            </w:r>
          </w:p>
        </w:tc>
        <w:tc>
          <w:tcPr>
            <w:tcW w:type="dxa" w:w="1361"/>
            <w:vAlign w:val="center"/>
          </w:tcPr>
          <w:p>
            <w:pPr>
              <w:spacing w:after="20" w:line="252" w:lineRule="auto"/>
              <w:jc w:val="right"/>
            </w:pPr>
            <w:r>
              <w:rPr>
                <w:sz w:val="17"/>
              </w:rPr>
              <w:t>0</w:t>
            </w:r>
          </w:p>
        </w:tc>
        <w:tc>
          <w:tcPr>
            <w:tcW w:type="dxa" w:w="1361"/>
            <w:vAlign w:val="center"/>
          </w:tcPr>
          <w:p>
            <w:pPr>
              <w:spacing w:after="20" w:line="252" w:lineRule="auto"/>
              <w:jc w:val="right"/>
            </w:pPr>
            <w:r>
              <w:rPr>
                <w:sz w:val="17"/>
              </w:rPr>
              <w:t>118</w:t>
            </w:r>
          </w:p>
        </w:tc>
        <w:tc>
          <w:tcPr>
            <w:tcW w:type="dxa" w:w="1361"/>
            <w:vAlign w:val="center"/>
          </w:tcPr>
          <w:p>
            <w:pPr>
              <w:spacing w:after="20" w:line="252" w:lineRule="auto"/>
              <w:jc w:val="right"/>
            </w:pPr>
            <w:r>
              <w:rPr>
                <w:sz w:val="17"/>
              </w:rPr>
              <w:t>340</w:t>
            </w:r>
          </w:p>
        </w:tc>
        <w:tc>
          <w:tcPr>
            <w:tcW w:type="dxa" w:w="1361"/>
            <w:vAlign w:val="center"/>
          </w:tcPr>
          <w:p>
            <w:pPr>
              <w:spacing w:after="20" w:line="252" w:lineRule="auto"/>
              <w:jc w:val="right"/>
            </w:pPr>
            <w:r>
              <w:rPr>
                <w:sz w:val="17"/>
              </w:rPr>
              <w:t>586</w:t>
            </w:r>
          </w:p>
        </w:tc>
        <w:tc>
          <w:tcPr>
            <w:tcW w:type="dxa" w:w="1361"/>
            <w:vAlign w:val="center"/>
          </w:tcPr>
          <w:p>
            <w:pPr>
              <w:spacing w:after="20" w:line="252" w:lineRule="auto"/>
              <w:jc w:val="right"/>
            </w:pPr>
            <w:r>
              <w:rPr>
                <w:sz w:val="17"/>
              </w:rPr>
              <w:t>837</w:t>
            </w:r>
          </w:p>
        </w:tc>
      </w:tr>
      <w:tr>
        <w:trPr>
          <w:cantSplit/>
        </w:trPr>
        <w:tc>
          <w:tcPr>
            <w:tcW w:type="dxa" w:w="2835"/>
            <w:shd w:val="clear" w:color="auto" w:fill="FAFAFB"/>
            <w:vAlign w:val="center"/>
          </w:tcPr>
          <w:p>
            <w:pPr>
              <w:spacing w:after="20" w:line="252" w:lineRule="auto"/>
            </w:pPr>
            <w:r>
              <w:rPr>
                <w:b/>
                <w:sz w:val="17"/>
              </w:rPr>
              <w:t>Ghana</w:t>
            </w:r>
          </w:p>
        </w:tc>
        <w:tc>
          <w:tcPr>
            <w:tcW w:type="dxa" w:w="1361"/>
            <w:shd w:val="clear" w:color="auto" w:fill="FAFAFB"/>
            <w:vAlign w:val="center"/>
          </w:tcPr>
          <w:p>
            <w:pPr>
              <w:spacing w:after="20" w:line="252" w:lineRule="auto"/>
              <w:jc w:val="right"/>
            </w:pPr>
            <w:r>
              <w:rPr>
                <w:sz w:val="17"/>
              </w:rPr>
              <w:t>0</w:t>
            </w:r>
          </w:p>
        </w:tc>
        <w:tc>
          <w:tcPr>
            <w:tcW w:type="dxa" w:w="1361"/>
            <w:shd w:val="clear" w:color="auto" w:fill="FAFAFB"/>
            <w:vAlign w:val="center"/>
          </w:tcPr>
          <w:p>
            <w:pPr>
              <w:spacing w:after="20" w:line="252" w:lineRule="auto"/>
              <w:jc w:val="right"/>
            </w:pPr>
            <w:r>
              <w:rPr>
                <w:sz w:val="17"/>
              </w:rPr>
              <w:t>60</w:t>
            </w:r>
          </w:p>
        </w:tc>
        <w:tc>
          <w:tcPr>
            <w:tcW w:type="dxa" w:w="1361"/>
            <w:shd w:val="clear" w:color="auto" w:fill="FAFAFB"/>
            <w:vAlign w:val="center"/>
          </w:tcPr>
          <w:p>
            <w:pPr>
              <w:spacing w:after="20" w:line="252" w:lineRule="auto"/>
              <w:jc w:val="right"/>
            </w:pPr>
            <w:r>
              <w:rPr>
                <w:sz w:val="17"/>
              </w:rPr>
              <w:t>216</w:t>
            </w:r>
          </w:p>
        </w:tc>
        <w:tc>
          <w:tcPr>
            <w:tcW w:type="dxa" w:w="1361"/>
            <w:shd w:val="clear" w:color="auto" w:fill="FAFAFB"/>
            <w:vAlign w:val="center"/>
          </w:tcPr>
          <w:p>
            <w:pPr>
              <w:spacing w:after="20" w:line="252" w:lineRule="auto"/>
              <w:jc w:val="right"/>
            </w:pPr>
            <w:r>
              <w:rPr>
                <w:sz w:val="17"/>
              </w:rPr>
              <w:t>383</w:t>
            </w:r>
          </w:p>
        </w:tc>
        <w:tc>
          <w:tcPr>
            <w:tcW w:type="dxa" w:w="1361"/>
            <w:shd w:val="clear" w:color="auto" w:fill="FAFAFB"/>
            <w:vAlign w:val="center"/>
          </w:tcPr>
          <w:p>
            <w:pPr>
              <w:spacing w:after="20" w:line="252" w:lineRule="auto"/>
              <w:jc w:val="right"/>
            </w:pPr>
            <w:r>
              <w:rPr>
                <w:sz w:val="17"/>
              </w:rPr>
              <w:t>548</w:t>
            </w:r>
          </w:p>
        </w:tc>
      </w:tr>
      <w:tr>
        <w:trPr>
          <w:cantSplit/>
        </w:trPr>
        <w:tc>
          <w:tcPr>
            <w:tcW w:type="dxa" w:w="2835"/>
            <w:vAlign w:val="center"/>
          </w:tcPr>
          <w:p>
            <w:pPr>
              <w:spacing w:after="20" w:line="252" w:lineRule="auto"/>
            </w:pPr>
            <w:r>
              <w:rPr>
                <w:b/>
                <w:sz w:val="17"/>
              </w:rPr>
              <w:t>Rest of Africa (USD)</w:t>
            </w:r>
          </w:p>
        </w:tc>
        <w:tc>
          <w:tcPr>
            <w:tcW w:type="dxa" w:w="1361"/>
            <w:vAlign w:val="center"/>
          </w:tcPr>
          <w:p>
            <w:pPr>
              <w:spacing w:after="20" w:line="252" w:lineRule="auto"/>
              <w:jc w:val="right"/>
            </w:pPr>
            <w:r>
              <w:rPr>
                <w:sz w:val="17"/>
              </w:rPr>
              <w:t>0</w:t>
            </w:r>
          </w:p>
        </w:tc>
        <w:tc>
          <w:tcPr>
            <w:tcW w:type="dxa" w:w="1361"/>
            <w:vAlign w:val="center"/>
          </w:tcPr>
          <w:p>
            <w:pPr>
              <w:spacing w:after="20" w:line="252" w:lineRule="auto"/>
              <w:jc w:val="right"/>
            </w:pPr>
            <w:r>
              <w:rPr>
                <w:sz w:val="17"/>
              </w:rPr>
              <w:t>0</w:t>
            </w:r>
          </w:p>
        </w:tc>
        <w:tc>
          <w:tcPr>
            <w:tcW w:type="dxa" w:w="1361"/>
            <w:vAlign w:val="center"/>
          </w:tcPr>
          <w:p>
            <w:pPr>
              <w:spacing w:after="20" w:line="252" w:lineRule="auto"/>
              <w:jc w:val="right"/>
            </w:pPr>
            <w:r>
              <w:rPr>
                <w:sz w:val="17"/>
              </w:rPr>
              <w:t>146</w:t>
            </w:r>
          </w:p>
        </w:tc>
        <w:tc>
          <w:tcPr>
            <w:tcW w:type="dxa" w:w="1361"/>
            <w:vAlign w:val="center"/>
          </w:tcPr>
          <w:p>
            <w:pPr>
              <w:spacing w:after="20" w:line="252" w:lineRule="auto"/>
              <w:jc w:val="right"/>
            </w:pPr>
            <w:r>
              <w:rPr>
                <w:sz w:val="17"/>
              </w:rPr>
              <w:t>294</w:t>
            </w:r>
          </w:p>
        </w:tc>
        <w:tc>
          <w:tcPr>
            <w:tcW w:type="dxa" w:w="1361"/>
            <w:vAlign w:val="center"/>
          </w:tcPr>
          <w:p>
            <w:pPr>
              <w:spacing w:after="20" w:line="252" w:lineRule="auto"/>
              <w:jc w:val="right"/>
            </w:pPr>
            <w:r>
              <w:rPr>
                <w:sz w:val="17"/>
              </w:rPr>
              <w:t>433</w:t>
            </w:r>
          </w:p>
        </w:tc>
      </w:tr>
      <w:tr>
        <w:trPr>
          <w:cantSplit/>
        </w:trPr>
        <w:tc>
          <w:tcPr>
            <w:tcW w:type="dxa" w:w="2835"/>
            <w:shd w:val="clear" w:color="auto" w:fill="FFF4EB"/>
            <w:vAlign w:val="center"/>
          </w:tcPr>
          <w:p>
            <w:pPr>
              <w:spacing w:after="20" w:line="252" w:lineRule="auto"/>
            </w:pPr>
            <w:r>
              <w:rPr>
                <w:b/>
                <w:sz w:val="17"/>
              </w:rPr>
              <w:t>Total paying workspaces</w:t>
            </w:r>
          </w:p>
        </w:tc>
        <w:tc>
          <w:tcPr>
            <w:tcW w:type="dxa" w:w="1361"/>
            <w:shd w:val="clear" w:color="auto" w:fill="FFF4EB"/>
            <w:vAlign w:val="center"/>
          </w:tcPr>
          <w:p>
            <w:pPr>
              <w:spacing w:after="20" w:line="252" w:lineRule="auto"/>
              <w:jc w:val="right"/>
            </w:pPr>
            <w:r>
              <w:rPr>
                <w:b/>
                <w:sz w:val="17"/>
              </w:rPr>
              <w:t>421</w:t>
            </w:r>
          </w:p>
        </w:tc>
        <w:tc>
          <w:tcPr>
            <w:tcW w:type="dxa" w:w="1361"/>
            <w:shd w:val="clear" w:color="auto" w:fill="FFF4EB"/>
            <w:vAlign w:val="center"/>
          </w:tcPr>
          <w:p>
            <w:pPr>
              <w:spacing w:after="20" w:line="252" w:lineRule="auto"/>
              <w:jc w:val="right"/>
            </w:pPr>
            <w:r>
              <w:rPr>
                <w:b/>
                <w:sz w:val="17"/>
              </w:rPr>
              <w:t>1,759</w:t>
            </w:r>
          </w:p>
        </w:tc>
        <w:tc>
          <w:tcPr>
            <w:tcW w:type="dxa" w:w="1361"/>
            <w:shd w:val="clear" w:color="auto" w:fill="FFF4EB"/>
            <w:vAlign w:val="center"/>
          </w:tcPr>
          <w:p>
            <w:pPr>
              <w:spacing w:after="20" w:line="252" w:lineRule="auto"/>
              <w:jc w:val="right"/>
            </w:pPr>
            <w:r>
              <w:rPr>
                <w:b/>
                <w:sz w:val="17"/>
              </w:rPr>
              <w:t>3,820</w:t>
            </w:r>
          </w:p>
        </w:tc>
        <w:tc>
          <w:tcPr>
            <w:tcW w:type="dxa" w:w="1361"/>
            <w:shd w:val="clear" w:color="auto" w:fill="FFF4EB"/>
            <w:vAlign w:val="center"/>
          </w:tcPr>
          <w:p>
            <w:pPr>
              <w:spacing w:after="20" w:line="252" w:lineRule="auto"/>
              <w:jc w:val="right"/>
            </w:pPr>
            <w:r>
              <w:rPr>
                <w:b/>
                <w:sz w:val="17"/>
              </w:rPr>
              <w:t>6,261</w:t>
            </w:r>
          </w:p>
        </w:tc>
        <w:tc>
          <w:tcPr>
            <w:tcW w:type="dxa" w:w="1361"/>
            <w:shd w:val="clear" w:color="auto" w:fill="FFF4EB"/>
            <w:vAlign w:val="center"/>
          </w:tcPr>
          <w:p>
            <w:pPr>
              <w:spacing w:after="20" w:line="252" w:lineRule="auto"/>
              <w:jc w:val="right"/>
            </w:pPr>
            <w:r>
              <w:rPr>
                <w:b/>
                <w:sz w:val="17"/>
              </w:rPr>
              <w:t>8,816</w:t>
            </w:r>
          </w:p>
        </w:tc>
      </w:tr>
    </w:tbl>
    <w:p>
      <w:pPr>
        <w:spacing w:after="0" w:line="120" w:lineRule="exact"/>
      </w:pPr>
    </w:p>
    <w:p>
      <w:pPr>
        <w:spacing w:after="200"/>
      </w:pPr>
      <w:r>
        <w:rPr>
          <w:color w:val="5B6570"/>
          <w:sz w:val="17"/>
        </w:rPr>
        <w:t>Source: FluxMuse Financial Model v2 (Base case), 11 September 2026.</w:t>
      </w:r>
    </w:p>
    <w:p>
      <w:pPr>
        <w:spacing w:after="160"/>
      </w:pPr>
      <w:r>
        <w:rPr>
          <w:i/>
          <w:color w:val="5B6570"/>
          <w:sz w:val="18"/>
        </w:rPr>
        <w:t>Botswana, Namibia and every gated country are zero in all five years.</w:t>
      </w:r>
    </w:p>
    <w:p>
      <w:pPr>
        <w:pStyle w:val="Heading1"/>
        <w:pageBreakBefore/>
      </w:pPr>
      <w:r>
        <w:rPr/>
        <w:t>Appendix E. Model assumptions and open confirmations</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internal-only banner"/>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1A8"/>
            <w:tcMar>
              <w:top w:w="140" w:type="dxa"/>
              <w:left w:w="220" w:type="dxa"/>
              <w:bottom w:w="120" w:type="dxa"/>
              <w:right w:w="200" w:type="dxa"/>
            </w:tcMar>
          </w:tcPr>
          <w:p>
            <w:pPr>
              <w:spacing w:after="80"/>
            </w:pPr>
            <w:r>
              <w:rPr>
                <w:rFonts w:ascii="Poppins" w:hAnsi="Poppins" w:cs="Poppins" w:eastAsia="Poppins"/>
                <w:b/>
                <w:color w:val="20242B"/>
                <w:sz w:val="23"/>
              </w:rPr>
              <w:t>Internal section: remove before sending to an external party</w:t>
            </w:r>
          </w:p>
          <w:p>
            <w:pPr>
              <w:spacing w:after="80"/>
            </w:pPr>
            <w:r>
              <w:rPr>
                <w:sz w:val="19"/>
              </w:rPr>
              <w:t>Appendix E lists assumptions that still need founder sign-off. Delete this appendix, or delete the open-confirmations table below, before the plan goes to an investor or funder.</w:t>
            </w:r>
          </w:p>
        </w:tc>
      </w:tr>
    </w:tbl>
    <w:p>
      <w:pPr>
        <w:spacing w:after="0" w:line="160" w:lineRule="exact"/>
      </w:pPr>
    </w:p>
    <w:p>
      <w:pPr>
        <w:pStyle w:val="Heading2"/>
      </w:pPr>
      <w:r>
        <w:rPr/>
        <w:t>Key assumptions</w:t>
      </w:r>
    </w:p>
    <w:p>
      <w:pPr>
        <w:pStyle w:val="ListNumber"/>
        <w:numPr>
          <w:ilvl w:val="0"/>
          <w:numId w:val="10"/>
        </w:numPr>
      </w:pPr>
      <w:r>
        <w:rPr/>
        <w:t xml:space="preserve">Month 1 = Oct 2026. Opening cash R500,000 </w:t>
      </w:r>
      <w:r>
        <w:rPr>
          <w:b/>
          <w:color w:val="20242B"/>
          <w:shd w:val="clear" w:color="auto" w:fill="FFF1A8"/>
        </w:rPr>
        <w:t>[[CONFIRM]]</w:t>
      </w:r>
      <w:r>
        <w:rPr/>
        <w:t>. Lean pre-seed mode until the R25M seed lands in Feb 2027: two founders on reduced salaries, lean hosting and overheads, pilot costs; no paid marketing or hires.</w:t>
      </w:r>
    </w:p>
    <w:p>
      <w:pPr>
        <w:pStyle w:val="ListNumber"/>
        <w:numPr>
          <w:ilvl w:val="0"/>
          <w:numId w:val="10"/>
        </w:numPr>
      </w:pPr>
      <w:r>
        <w:rPr/>
        <w:t>Pilot: 12 Gauteng brands free Oct-Nov 2026; 75% convert on 1 Dec 2026 at 50% off the first 2 monthly bills (R249 / R999 / R2,499 / R3,999). SA commercial launch 1 Dec 2026; no other paying customers before December.</w:t>
      </w:r>
    </w:p>
    <w:p>
      <w:pPr>
        <w:pStyle w:val="ListNumber"/>
        <w:numPr>
          <w:ilvl w:val="0"/>
          <w:numId w:val="10"/>
        </w:numPr>
      </w:pPr>
      <w:r>
        <w:rPr/>
        <w:t xml:space="preserve">Founding Member (option B, decided): 30% off the first 2 monthly bills (R349 / R1,399 / R3,499) for Solo and SME sign-ups inside launch windows (ZA 1 Dec 2026-31 Jan 2027; NG/KE/GH first 60 days; USD markets none); not offered on Agency. Annual plans get 2 bonus months, modelled by recognising the annual fee over 14 months for those cohorts. +20% sign-ups inside windows </w:t>
      </w:r>
      <w:r>
        <w:rPr>
          <w:b/>
          <w:color w:val="20242B"/>
          <w:shd w:val="clear" w:color="auto" w:fill="FFF1A8"/>
        </w:rPr>
        <w:t>[[CONFIRM]]</w:t>
      </w:r>
      <w:r>
        <w:rPr/>
        <w:t>.</w:t>
      </w:r>
    </w:p>
    <w:p>
      <w:pPr>
        <w:pStyle w:val="ListNumber"/>
        <w:numPr>
          <w:ilvl w:val="0"/>
          <w:numId w:val="10"/>
        </w:numPr>
      </w:pPr>
      <w:r>
        <w:rPr/>
        <w:t>Pricing at parity: ZAR list R499 / R1,999 / R4,999 / R7,999 / from R19,999; NG/KE/GH fixed local price points converted at 1 ZAR = ₦82.83 / KSh 8.07 / GH₵ 0.68; 19 USD markets at $27 / $109 / $269 / $429 / $1,099 at R18.50. Annual = 10x monthly, 25% of subscriptions on annual billing; +6% list escalator each October.</w:t>
      </w:r>
    </w:p>
    <w:p>
      <w:pPr>
        <w:pStyle w:val="ListNumber"/>
        <w:numPr>
          <w:ilvl w:val="0"/>
          <w:numId w:val="10"/>
        </w:numPr>
      </w:pPr>
      <w:r>
        <w:rPr/>
        <w:t>Partner wholesale: agency-segment customers (100%) pay R5,599 / ₦463,000 / KSh 44,999 / GH₵ 3,799 / $299 a month (Agency list -30%). Client sub-accounts are included in the partner's Agency subscription; partner referral commission is undecided and not modelled.</w:t>
      </w:r>
    </w:p>
    <w:p>
      <w:pPr>
        <w:pStyle w:val="ListNumber"/>
        <w:numPr>
          <w:ilvl w:val="0"/>
          <w:numId w:val="10"/>
        </w:numPr>
      </w:pPr>
      <w:r>
        <w:rPr/>
        <w:t xml:space="preserve">FX: ZAR value of local prices drifts with annual depreciation vs ZAR of NGN -10%, GHS -8%, KES -3%, USD 0% </w:t>
      </w:r>
      <w:r>
        <w:rPr>
          <w:b/>
          <w:color w:val="20242B"/>
          <w:shd w:val="clear" w:color="auto" w:fill="FFF1A8"/>
        </w:rPr>
        <w:t>[[CONFIRM]]</w:t>
      </w:r>
      <w:r>
        <w:rPr/>
        <w:t>; quarterly repricing restores parity when drift exceeds 10% (one-quarter lag).</w:t>
      </w:r>
    </w:p>
    <w:p>
      <w:pPr>
        <w:pStyle w:val="ListNumber"/>
        <w:numPr>
          <w:ilvl w:val="0"/>
          <w:numId w:val="10"/>
        </w:numPr>
      </w:pPr>
      <w:r>
        <w:rPr/>
        <w:t>Segments: self-serve trials split Solo 65% / SME 35%; trial-to-paid Solo 11%, SME 14%; Solo 90% Starter / 10% Growth, upgrading 1.0%/month; SMEs 85% Growth / 15% Scale, upgrading 0.8%/month. Paid CAC Solo R2,200, SME R6,500 (+5% a year). Agencies: 0.5 inbound a month in SA plus 1.5 per partnerships manager; 0.4 per NG/KE/GH country lead. Enterprise inbound only: FY1 1 deal.</w:t>
      </w:r>
    </w:p>
    <w:p>
      <w:pPr>
        <w:pStyle w:val="ListNumber"/>
        <w:numPr>
          <w:ilvl w:val="0"/>
          <w:numId w:val="10"/>
        </w:numPr>
      </w:pPr>
      <w:r>
        <w:rPr/>
        <w:t>Monthly churn: Solo Starter 6.5%, Solo Growth 4.0%, SME Growth 3.0%, SME Scale 2.2%, Agency 2.0%, Enterprise 1.0% (Base; NG/KE/GH/Rest churn indices 1.05-1.25x).</w:t>
      </w:r>
    </w:p>
    <w:p>
      <w:pPr>
        <w:pStyle w:val="ListNumber"/>
        <w:numPr>
          <w:ilvl w:val="0"/>
          <w:numId w:val="10"/>
        </w:numPr>
      </w:pPr>
      <w:r>
        <w:rPr/>
        <w:t>Markets: ZA first; Nigeria, Kenya, Ghana launch at their planned months (Nov 2027 / Feb 2028 / May 2028) or later, when last month's net MRR clears each launch gate (R0.9M / R1.2M / R1.5M x scenario gate multiplier); Rest of rail-covered Africa (19 USD countries, self-serve, no team) from Nov 2028 behind a R2.5M MRR gate; Botswana &amp; Namibia off; gated countries zero.</w:t>
      </w:r>
    </w:p>
    <w:p>
      <w:pPr>
        <w:pStyle w:val="ListNumber"/>
        <w:numPr>
          <w:ilvl w:val="0"/>
          <w:numId w:val="10"/>
        </w:numPr>
      </w:pPr>
      <w:r>
        <w:rPr/>
        <w:t>Cost discipline: every non-founder hire waits for its earliest month, the seed, and an MRR gate x scenario multiplier (Conservative 1.4x, Base 1.0x, Upside 0.8x); paid acquisition = MIN(desired, R40,000 + 35% of last month's MRR in Base) and off where CAC payback &gt; 12 months; brand budget = MIN(ceiling, floor + 4% of MRR).</w:t>
      </w:r>
    </w:p>
    <w:p>
      <w:pPr>
        <w:pStyle w:val="ListNumber"/>
        <w:numPr>
          <w:ilvl w:val="0"/>
          <w:numId w:val="10"/>
        </w:numPr>
      </w:pPr>
      <w:r>
        <w:rPr/>
        <w:t>Other revenue: AI-credit top-ups (10% of workspaces buy a R350 pack monthly), WhatsApp messages resold at Meta cost +25%, R25,000 Enterprise and R4,999 agency setup fees. Commerce fee 0% in Base and Conservative, 0.75% of WhatsApp-checkout GMV in Upside only (not in current pricing). Campaign Financing excluded.</w:t>
      </w:r>
    </w:p>
    <w:p>
      <w:pPr>
        <w:pStyle w:val="ListNumber"/>
        <w:numPr>
          <w:ilvl w:val="0"/>
          <w:numId w:val="10"/>
        </w:numPr>
      </w:pPr>
      <w:r>
        <w:rPr/>
        <w:t>COGS: AI inference R12 per 1,000 credits falling 10% a year (40% utilisation), hosting R30k/month + R35 per workspace after the seed, 2.9% processing + 1.5% mobile-money/FX on non-SA revenue, R50 per workspace support, customer success team in COGS.</w:t>
      </w:r>
    </w:p>
    <w:p>
      <w:pPr>
        <w:pStyle w:val="ListNumber"/>
        <w:numPr>
          <w:ilvl w:val="0"/>
          <w:numId w:val="10"/>
        </w:numPr>
      </w:pPr>
      <w:r>
        <w:rPr/>
        <w:t>Funding &amp; tax: R25M seed only; Series A input kept at R0 (optional acceleration). Tax 27% only once cumulative EBITDA is positive; D&amp;A and interest ignored.</w:t>
      </w:r>
    </w:p>
    <w:p>
      <w:pPr>
        <w:pStyle w:val="Heading2"/>
      </w:pPr>
      <w:r>
        <w:rPr/>
        <w:t>Not modelled</w:t>
      </w:r>
    </w:p>
    <w:p>
      <w:pPr>
        <w:pStyle w:val="ListBullet"/>
      </w:pPr>
      <w:r>
        <w:rPr/>
        <w:t>Campaign Financing (upside only)</w:t>
      </w:r>
    </w:p>
    <w:p>
      <w:pPr>
        <w:pStyle w:val="ListBullet"/>
      </w:pPr>
      <w:r>
        <w:rPr/>
        <w:t>Partner referral commission (undecided)</w:t>
      </w:r>
    </w:p>
    <w:p>
      <w:pPr>
        <w:pStyle w:val="ListBullet"/>
      </w:pPr>
      <w:r>
        <w:rPr/>
        <w:t>Series A (optional acceleration only)</w:t>
      </w:r>
    </w:p>
    <w:p>
      <w:pPr>
        <w:pStyle w:val="ListBullet"/>
      </w:pPr>
      <w:r>
        <w:rPr/>
        <w:t>Botswana &amp; Namibia revenue (switched off until a rail covers them)</w:t>
      </w:r>
    </w:p>
    <w:p>
      <w:pPr>
        <w:pStyle w:val="ListBullet"/>
      </w:pPr>
      <w:r>
        <w:rPr/>
        <w:t>Gated countries</w:t>
      </w:r>
    </w:p>
    <w:p>
      <w:pPr>
        <w:pStyle w:val="Heading2"/>
      </w:pPr>
      <w:r>
        <w:rPr/>
        <w:t>Known limitations of the model</w:t>
      </w:r>
    </w:p>
    <w:p>
      <w:pPr>
        <w:pStyle w:val="ListBullet"/>
      </w:pPr>
      <w:r>
        <w:rPr/>
        <w:t>Customers are fractional, and launch and hiring decisions are one-way: once taken they are never reversed.</w:t>
      </w:r>
    </w:p>
    <w:p>
      <w:pPr>
        <w:pStyle w:val="ListBullet"/>
      </w:pPr>
      <w:r>
        <w:rPr/>
        <w:t>Gates use last month's MRR, with no look-ahead.</w:t>
      </w:r>
    </w:p>
    <w:p>
      <w:pPr>
        <w:pStyle w:val="ListBullet"/>
      </w:pPr>
      <w:r>
        <w:rPr/>
        <w:t>There are no downgrades; upgrades run only Starter → Growth and Growth → Scale.</w:t>
      </w:r>
    </w:p>
    <w:p>
      <w:pPr>
        <w:pStyle w:val="ListBullet"/>
      </w:pPr>
      <w:r>
        <w:rPr/>
        <w:t>Agency client growth adds no revenue beyond the partner's own subscription and usage.</w:t>
      </w:r>
    </w:p>
    <w:p>
      <w:pPr>
        <w:pStyle w:val="ListBullet"/>
      </w:pPr>
      <w:r>
        <w:rPr/>
        <w:t>FX paths are deterministic, and repricing is assumed to cause no extra churn.</w:t>
      </w:r>
    </w:p>
    <w:p>
      <w:pPr>
        <w:pStyle w:val="ListBullet"/>
      </w:pPr>
      <w:r>
        <w:rPr/>
        <w:t>WhatsApp pass-through is booked as gross revenue, which lowers blended gross margin.</w:t>
      </w:r>
    </w:p>
    <w:p>
      <w:pPr>
        <w:pStyle w:val="ListBullet"/>
      </w:pPr>
      <w:r>
        <w:rPr/>
        <w:t>Tax ignores South Africa's 80% cap on the use of assessed losses; depreciation, amortisation, interest, VAT and payables are ignored; receivables and deferred revenue are simplified.</w:t>
      </w:r>
    </w:p>
    <w:p>
      <w:pPr>
        <w:pStyle w:val="Heading2"/>
      </w:pPr>
      <w:r>
        <w:rPr/>
        <w:t>Open confirmations (founder)</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Founder confirmations still open"/>
      </w:tblPr>
      <w:tblGrid>
        <w:gridCol w:w="510"/>
        <w:gridCol w:w="9127"/>
      </w:tblGrid>
      <w:tr>
        <w:trPr>
          <w:cantSplit/>
          <w:tblHeader/>
        </w:trPr>
        <w:tc>
          <w:tcPr>
            <w:tcW w:type="dxa" w:w="510"/>
            <w:shd w:val="clear" w:color="auto" w:fill="FF6A00"/>
            <w:vAlign w:val="center"/>
          </w:tcPr>
          <w:p>
            <w:pPr>
              <w:keepNext/>
              <w:spacing w:after="20" w:line="252" w:lineRule="auto"/>
            </w:pPr>
            <w:r>
              <w:rPr>
                <w:rFonts w:ascii="Poppins" w:hAnsi="Poppins" w:cs="Poppins" w:eastAsia="Poppins"/>
                <w:b/>
                <w:color w:val="20242B"/>
                <w:sz w:val="17"/>
              </w:rPr>
              <w:t>#</w:t>
            </w:r>
          </w:p>
        </w:tc>
        <w:tc>
          <w:tcPr>
            <w:tcW w:type="dxa" w:w="9128"/>
            <w:shd w:val="clear" w:color="auto" w:fill="FF6A00"/>
            <w:vAlign w:val="center"/>
          </w:tcPr>
          <w:p>
            <w:pPr>
              <w:keepNext/>
              <w:spacing w:after="20" w:line="252" w:lineRule="auto"/>
            </w:pPr>
            <w:r>
              <w:rPr>
                <w:rFonts w:ascii="Poppins" w:hAnsi="Poppins" w:cs="Poppins" w:eastAsia="Poppins"/>
                <w:b/>
                <w:color w:val="20242B"/>
                <w:sz w:val="17"/>
              </w:rPr>
              <w:t>To confirm</w:t>
            </w:r>
          </w:p>
        </w:tc>
      </w:tr>
      <w:tr>
        <w:trPr>
          <w:cantSplit/>
        </w:trPr>
        <w:tc>
          <w:tcPr>
            <w:tcW w:type="dxa" w:w="510"/>
            <w:vAlign w:val="center"/>
          </w:tcPr>
          <w:p>
            <w:pPr>
              <w:spacing w:after="20" w:line="252" w:lineRule="auto"/>
            </w:pPr>
            <w:r>
              <w:rPr>
                <w:sz w:val="17"/>
              </w:rPr>
              <w:t>1</w:t>
            </w:r>
          </w:p>
        </w:tc>
        <w:tc>
          <w:tcPr>
            <w:tcW w:type="dxa" w:w="9128"/>
            <w:vAlign w:val="center"/>
          </w:tcPr>
          <w:p>
            <w:pPr>
              <w:spacing w:after="20" w:line="252" w:lineRule="auto"/>
            </w:pPr>
            <w:r>
              <w:rPr>
                <w:sz w:val="17"/>
              </w:rPr>
              <w:t>Opening cash at 1 Oct 2026 (default R500,000) and how to cover the R57,528 pre-seed bridge if the seed lands Feb 2027 (founder loan, pilot prepayments or an earlier close).</w:t>
            </w:r>
          </w:p>
        </w:tc>
      </w:tr>
      <w:tr>
        <w:trPr>
          <w:cantSplit/>
        </w:trPr>
        <w:tc>
          <w:tcPr>
            <w:tcW w:type="dxa" w:w="510"/>
            <w:shd w:val="clear" w:color="auto" w:fill="FAFAFB"/>
            <w:vAlign w:val="center"/>
          </w:tcPr>
          <w:p>
            <w:pPr>
              <w:spacing w:after="20" w:line="252" w:lineRule="auto"/>
            </w:pPr>
            <w:r>
              <w:rPr>
                <w:sz w:val="17"/>
              </w:rPr>
              <w:t>2</w:t>
            </w:r>
          </w:p>
        </w:tc>
        <w:tc>
          <w:tcPr>
            <w:tcW w:type="dxa" w:w="9128"/>
            <w:shd w:val="clear" w:color="auto" w:fill="FAFAFB"/>
            <w:vAlign w:val="center"/>
          </w:tcPr>
          <w:p>
            <w:pPr>
              <w:spacing w:after="20" w:line="252" w:lineRule="auto"/>
            </w:pPr>
            <w:r>
              <w:rPr>
                <w:sz w:val="17"/>
              </w:rPr>
              <w:t>Seed close month (Feb 2027) and instrument (SAFE vs priced equity).</w:t>
            </w:r>
          </w:p>
        </w:tc>
      </w:tr>
      <w:tr>
        <w:trPr>
          <w:cantSplit/>
        </w:trPr>
        <w:tc>
          <w:tcPr>
            <w:tcW w:type="dxa" w:w="510"/>
            <w:vAlign w:val="center"/>
          </w:tcPr>
          <w:p>
            <w:pPr>
              <w:spacing w:after="20" w:line="252" w:lineRule="auto"/>
            </w:pPr>
            <w:r>
              <w:rPr>
                <w:sz w:val="17"/>
              </w:rPr>
              <w:t>3</w:t>
            </w:r>
          </w:p>
        </w:tc>
        <w:tc>
          <w:tcPr>
            <w:tcW w:type="dxa" w:w="9128"/>
            <w:vAlign w:val="center"/>
          </w:tcPr>
          <w:p>
            <w:pPr>
              <w:spacing w:after="20" w:line="252" w:lineRule="auto"/>
            </w:pPr>
            <w:r>
              <w:rPr>
                <w:sz w:val="17"/>
              </w:rPr>
              <w:t>Pilot conversion rate (75%) and the segment mix of the 12 pilot brands (Solo 40% / SME 45% / Agency 15%).</w:t>
            </w:r>
          </w:p>
        </w:tc>
      </w:tr>
      <w:tr>
        <w:trPr>
          <w:cantSplit/>
        </w:trPr>
        <w:tc>
          <w:tcPr>
            <w:tcW w:type="dxa" w:w="510"/>
            <w:shd w:val="clear" w:color="auto" w:fill="FAFAFB"/>
            <w:vAlign w:val="center"/>
          </w:tcPr>
          <w:p>
            <w:pPr>
              <w:spacing w:after="20" w:line="252" w:lineRule="auto"/>
            </w:pPr>
            <w:r>
              <w:rPr>
                <w:sz w:val="17"/>
              </w:rPr>
              <w:t>4</w:t>
            </w:r>
          </w:p>
        </w:tc>
        <w:tc>
          <w:tcPr>
            <w:tcW w:type="dxa" w:w="9128"/>
            <w:shd w:val="clear" w:color="auto" w:fill="FAFAFB"/>
            <w:vAlign w:val="center"/>
          </w:tcPr>
          <w:p>
            <w:pPr>
              <w:spacing w:after="20" w:line="252" w:lineRule="auto"/>
            </w:pPr>
            <w:r>
              <w:rPr>
                <w:sz w:val="17"/>
              </w:rPr>
              <w:t>Founding Member sign-up uplift inside launch windows (+20%) and the perks duration (badge, priority support).</w:t>
            </w:r>
          </w:p>
        </w:tc>
      </w:tr>
      <w:tr>
        <w:trPr>
          <w:cantSplit/>
        </w:trPr>
        <w:tc>
          <w:tcPr>
            <w:tcW w:type="dxa" w:w="510"/>
            <w:vAlign w:val="center"/>
          </w:tcPr>
          <w:p>
            <w:pPr>
              <w:spacing w:after="20" w:line="252" w:lineRule="auto"/>
            </w:pPr>
            <w:r>
              <w:rPr>
                <w:sz w:val="17"/>
              </w:rPr>
              <w:t>5</w:t>
            </w:r>
          </w:p>
        </w:tc>
        <w:tc>
          <w:tcPr>
            <w:tcW w:type="dxa" w:w="9128"/>
            <w:vAlign w:val="center"/>
          </w:tcPr>
          <w:p>
            <w:pPr>
              <w:spacing w:after="20" w:line="252" w:lineRule="auto"/>
            </w:pPr>
            <w:r>
              <w:rPr>
                <w:sz w:val="17"/>
              </w:rPr>
              <w:t>FX depreciation assumptions vs ZAR (NGN -10%, GHS -8%, KES -3%, USD 0% a year) and the quarterly repricing policy (reprice at &gt;10% drift, one-quarter lag).</w:t>
            </w:r>
          </w:p>
        </w:tc>
      </w:tr>
      <w:tr>
        <w:trPr>
          <w:cantSplit/>
        </w:trPr>
        <w:tc>
          <w:tcPr>
            <w:tcW w:type="dxa" w:w="510"/>
            <w:shd w:val="clear" w:color="auto" w:fill="FAFAFB"/>
            <w:vAlign w:val="center"/>
          </w:tcPr>
          <w:p>
            <w:pPr>
              <w:spacing w:after="20" w:line="252" w:lineRule="auto"/>
            </w:pPr>
            <w:r>
              <w:rPr>
                <w:sz w:val="17"/>
              </w:rPr>
              <w:t>6</w:t>
            </w:r>
          </w:p>
        </w:tc>
        <w:tc>
          <w:tcPr>
            <w:tcW w:type="dxa" w:w="9128"/>
            <w:shd w:val="clear" w:color="auto" w:fill="FAFAFB"/>
            <w:vAlign w:val="center"/>
          </w:tcPr>
          <w:p>
            <w:pPr>
              <w:spacing w:after="20" w:line="252" w:lineRule="auto"/>
            </w:pPr>
            <w:r>
              <w:rPr>
                <w:sz w:val="17"/>
              </w:rPr>
              <w:t>Partner referral commission % for clients a partner refers onto their own plans (not modelled), and whether 100% of agency customers buy at partner wholesale.</w:t>
            </w:r>
          </w:p>
        </w:tc>
      </w:tr>
      <w:tr>
        <w:trPr>
          <w:cantSplit/>
        </w:trPr>
        <w:tc>
          <w:tcPr>
            <w:tcW w:type="dxa" w:w="510"/>
            <w:vAlign w:val="center"/>
          </w:tcPr>
          <w:p>
            <w:pPr>
              <w:spacing w:after="20" w:line="252" w:lineRule="auto"/>
            </w:pPr>
            <w:r>
              <w:rPr>
                <w:sz w:val="17"/>
              </w:rPr>
              <w:t>7</w:t>
            </w:r>
          </w:p>
        </w:tc>
        <w:tc>
          <w:tcPr>
            <w:tcW w:type="dxa" w:w="9128"/>
            <w:vAlign w:val="center"/>
          </w:tcPr>
          <w:p>
            <w:pPr>
              <w:spacing w:after="20" w:line="252" w:lineRule="auto"/>
            </w:pPr>
            <w:r>
              <w:rPr>
                <w:sz w:val="17"/>
              </w:rPr>
              <w:t>Commerce platform fee (0.75% of WhatsApp-checkout GMV): Upside only and not in current pricing.</w:t>
            </w:r>
          </w:p>
        </w:tc>
      </w:tr>
      <w:tr>
        <w:trPr>
          <w:cantSplit/>
        </w:trPr>
        <w:tc>
          <w:tcPr>
            <w:tcW w:type="dxa" w:w="510"/>
            <w:shd w:val="clear" w:color="auto" w:fill="FAFAFB"/>
            <w:vAlign w:val="center"/>
          </w:tcPr>
          <w:p>
            <w:pPr>
              <w:spacing w:after="20" w:line="252" w:lineRule="auto"/>
            </w:pPr>
            <w:r>
              <w:rPr>
                <w:sz w:val="17"/>
              </w:rPr>
              <w:t>8</w:t>
            </w:r>
          </w:p>
        </w:tc>
        <w:tc>
          <w:tcPr>
            <w:tcW w:type="dxa" w:w="9128"/>
            <w:shd w:val="clear" w:color="auto" w:fill="FAFAFB"/>
            <w:vAlign w:val="center"/>
          </w:tcPr>
          <w:p>
            <w:pPr>
              <w:spacing w:after="20" w:line="252" w:lineRule="auto"/>
            </w:pPr>
            <w:r>
              <w:rPr>
                <w:sz w:val="17"/>
              </w:rPr>
              <w:t>Cost-discipline rules: MRR gates per hire and launch, the scenario gate multipliers, the paid-acquisition cap (35% of MRR in Base) and the 12-month CAC payback limit.</w:t>
            </w:r>
          </w:p>
        </w:tc>
      </w:tr>
      <w:tr>
        <w:trPr>
          <w:cantSplit/>
        </w:trPr>
        <w:tc>
          <w:tcPr>
            <w:tcW w:type="dxa" w:w="510"/>
            <w:vAlign w:val="center"/>
          </w:tcPr>
          <w:p>
            <w:pPr>
              <w:spacing w:after="20" w:line="252" w:lineRule="auto"/>
            </w:pPr>
            <w:r>
              <w:rPr>
                <w:sz w:val="17"/>
              </w:rPr>
              <w:t>9</w:t>
            </w:r>
          </w:p>
        </w:tc>
        <w:tc>
          <w:tcPr>
            <w:tcW w:type="dxa" w:w="9128"/>
            <w:vAlign w:val="center"/>
          </w:tcPr>
          <w:p>
            <w:pPr>
              <w:spacing w:after="20" w:line="252" w:lineRule="auto"/>
            </w:pPr>
            <w:r>
              <w:rPr>
                <w:sz w:val="17"/>
              </w:rPr>
              <w:t>Salaries and hiring plan (cost-to-company per role), including founders' reduced salaries.</w:t>
            </w:r>
          </w:p>
        </w:tc>
      </w:tr>
      <w:tr>
        <w:trPr>
          <w:cantSplit/>
        </w:trPr>
        <w:tc>
          <w:tcPr>
            <w:tcW w:type="dxa" w:w="510"/>
            <w:shd w:val="clear" w:color="auto" w:fill="FAFAFB"/>
            <w:vAlign w:val="center"/>
          </w:tcPr>
          <w:p>
            <w:pPr>
              <w:spacing w:after="20" w:line="252" w:lineRule="auto"/>
            </w:pPr>
            <w:r>
              <w:rPr>
                <w:sz w:val="17"/>
              </w:rPr>
              <w:t>10</w:t>
            </w:r>
          </w:p>
        </w:tc>
        <w:tc>
          <w:tcPr>
            <w:tcW w:type="dxa" w:w="9128"/>
            <w:shd w:val="clear" w:color="auto" w:fill="FAFAFB"/>
            <w:vAlign w:val="center"/>
          </w:tcPr>
          <w:p>
            <w:pPr>
              <w:spacing w:after="20" w:line="252" w:lineRule="auto"/>
            </w:pPr>
            <w:r>
              <w:rPr>
                <w:sz w:val="17"/>
              </w:rPr>
              <w:t>Country launch plan months, launch marketing and local compliance budgets for Nigeria, Kenya and Ghana; Rest-of-Africa launch gate.</w:t>
            </w:r>
          </w:p>
        </w:tc>
      </w:tr>
      <w:tr>
        <w:trPr>
          <w:cantSplit/>
        </w:trPr>
        <w:tc>
          <w:tcPr>
            <w:tcW w:type="dxa" w:w="510"/>
            <w:vAlign w:val="center"/>
          </w:tcPr>
          <w:p>
            <w:pPr>
              <w:spacing w:after="20" w:line="252" w:lineRule="auto"/>
            </w:pPr>
            <w:r>
              <w:rPr>
                <w:sz w:val="17"/>
              </w:rPr>
              <w:t>11</w:t>
            </w:r>
          </w:p>
        </w:tc>
        <w:tc>
          <w:tcPr>
            <w:tcW w:type="dxa" w:w="9128"/>
            <w:vAlign w:val="center"/>
          </w:tcPr>
          <w:p>
            <w:pPr>
              <w:spacing w:after="20" w:line="252" w:lineRule="auto"/>
            </w:pPr>
            <w:r>
              <w:rPr>
                <w:sz w:val="17"/>
              </w:rPr>
              <w:t>Whether South Sudan and Zimbabwe can collect subscriptions via Fincra (they are inside the 19-country USD row).</w:t>
            </w:r>
          </w:p>
        </w:tc>
      </w:tr>
      <w:tr>
        <w:trPr>
          <w:cantSplit/>
        </w:trPr>
        <w:tc>
          <w:tcPr>
            <w:tcW w:type="dxa" w:w="510"/>
            <w:shd w:val="clear" w:color="auto" w:fill="FAFAFB"/>
            <w:vAlign w:val="center"/>
          </w:tcPr>
          <w:p>
            <w:pPr>
              <w:spacing w:after="20" w:line="252" w:lineRule="auto"/>
            </w:pPr>
            <w:r>
              <w:rPr>
                <w:sz w:val="17"/>
              </w:rPr>
              <w:t>12</w:t>
            </w:r>
          </w:p>
        </w:tc>
        <w:tc>
          <w:tcPr>
            <w:tcW w:type="dxa" w:w="9128"/>
            <w:shd w:val="clear" w:color="auto" w:fill="FAFAFB"/>
            <w:vAlign w:val="center"/>
          </w:tcPr>
          <w:p>
            <w:pPr>
              <w:spacing w:after="20" w:line="252" w:lineRule="auto"/>
            </w:pPr>
            <w:r>
              <w:rPr>
                <w:sz w:val="17"/>
              </w:rPr>
              <w:t>Inbound enterprise deal volume (FY1 1, then 2/4/6/8 a year).</w:t>
            </w:r>
          </w:p>
        </w:tc>
      </w:tr>
      <w:tr>
        <w:trPr>
          <w:cantSplit/>
        </w:trPr>
        <w:tc>
          <w:tcPr>
            <w:tcW w:type="dxa" w:w="510"/>
            <w:vAlign w:val="center"/>
          </w:tcPr>
          <w:p>
            <w:pPr>
              <w:spacing w:after="20" w:line="252" w:lineRule="auto"/>
            </w:pPr>
            <w:r>
              <w:rPr>
                <w:sz w:val="17"/>
              </w:rPr>
              <w:t>13</w:t>
            </w:r>
          </w:p>
        </w:tc>
        <w:tc>
          <w:tcPr>
            <w:tcW w:type="dxa" w:w="9128"/>
            <w:vAlign w:val="center"/>
          </w:tcPr>
          <w:p>
            <w:pPr>
              <w:spacing w:after="20" w:line="252" w:lineRule="auto"/>
            </w:pPr>
            <w:r>
              <w:rPr>
                <w:sz w:val="17"/>
              </w:rPr>
              <w:t>Market-sizing estimates (TAM/SAM/SOM) before external use.</w:t>
            </w:r>
          </w:p>
        </w:tc>
      </w:tr>
    </w:tbl>
    <w:p>
      <w:pPr>
        <w:spacing w:after="0" w:line="120" w:lineRule="exact"/>
      </w:pPr>
    </w:p>
    <w:p>
      <w:pPr>
        <w:pStyle w:val="Heading2"/>
      </w:pPr>
      <w:r>
        <w:rPr/>
        <w:t>What the pilot replaces first</w:t>
      </w:r>
    </w:p>
    <w:p>
      <w:pPr>
        <w:pStyle w:val="ListNumber"/>
        <w:numPr>
          <w:ilvl w:val="0"/>
          <w:numId w:val="11"/>
        </w:numPr>
      </w:pPr>
      <w:r>
        <w:rPr/>
        <w:t>Trial-to-paid conversion by segment (solo 11%, SME 14%), the solo/SME split, and pilot conversion (75%).</w:t>
      </w:r>
    </w:p>
    <w:p>
      <w:pPr>
        <w:pStyle w:val="ListNumber"/>
        <w:numPr>
          <w:ilvl w:val="0"/>
          <w:numId w:val="11"/>
        </w:numPr>
      </w:pPr>
      <w:r>
        <w:rPr/>
        <w:t>Trial volume at launch (250 a month in South Africa) and early growth (12% a month).</w:t>
      </w:r>
    </w:p>
    <w:p>
      <w:pPr>
        <w:pStyle w:val="ListNumber"/>
        <w:numPr>
          <w:ilvl w:val="0"/>
          <w:numId w:val="11"/>
        </w:numPr>
      </w:pPr>
      <w:r>
        <w:rPr/>
        <w:t>Month-1 to month-3 churn by segment; solo Starter at 6.5% sets solo's 3.0× LTV:CAC.</w:t>
      </w:r>
    </w:p>
    <w:p>
      <w:pPr>
        <w:pStyle w:val="ListNumber"/>
        <w:numPr>
          <w:ilvl w:val="0"/>
          <w:numId w:val="11"/>
        </w:numPr>
      </w:pPr>
      <w:r>
        <w:rPr/>
        <w:t>Paid CAC by segment, and the Founding Member sign-up uplift, measured in the South African window.</w:t>
      </w:r>
    </w:p>
    <w:p>
      <w:pPr>
        <w:pStyle w:val="ListNumber"/>
        <w:numPr>
          <w:ilvl w:val="0"/>
          <w:numId w:val="11"/>
        </w:numPr>
      </w:pPr>
      <w:r>
        <w:rPr/>
        <w:t>Agency behaviour: agencies signed per partnerships manager, and uptake of partner wholesale.</w:t>
      </w:r>
    </w:p>
    <w:p>
      <w:pPr>
        <w:pStyle w:val="ListNumber"/>
        <w:numPr>
          <w:ilvl w:val="0"/>
          <w:numId w:val="11"/>
        </w:numPr>
      </w:pPr>
      <w:r>
        <w:rPr/>
        <w:t>Usage costs: billable WhatsApp messages, AI-credit utilisation and support contacts per workspace.</w:t>
      </w:r>
    </w:p>
    <w:p>
      <w:pPr>
        <w:pStyle w:val="ListNumber"/>
        <w:numPr>
          <w:ilvl w:val="0"/>
          <w:numId w:val="11"/>
        </w:numPr>
      </w:pPr>
      <w:r>
        <w:rPr/>
        <w:t>Nigeria, Kenya and Ghana inputs: trials at launch, CAC and churn indices, and actual FX drift.</w:t>
      </w:r>
    </w:p>
    <w:p>
      <w:pPr>
        <w:pStyle w:val="ListNumber"/>
        <w:numPr>
          <w:ilvl w:val="0"/>
          <w:numId w:val="11"/>
        </w:numPr>
      </w:pPr>
      <w:r>
        <w:rPr/>
        <w:t>Merchant GMV and whether merchants accept a commerce fee (Upside only).</w:t>
      </w:r>
    </w:p>
    <w:p>
      <w:pPr>
        <w:pStyle w:val="Heading1"/>
        <w:pageBreakBefore/>
      </w:pPr>
      <w:r>
        <w:rPr/>
        <w:t>Appendix F. Glossary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Glossary"/>
      </w:tblPr>
      <w:tblGrid>
        <w:gridCol w:w="2267"/>
        <w:gridCol w:w="7370"/>
      </w:tblGrid>
      <w:tr>
        <w:trPr>
          <w:cantSplit/>
          <w:tblHeader/>
        </w:trPr>
        <w:tc>
          <w:tcPr>
            <w:tcW w:type="dxa" w:w="2268"/>
            <w:shd w:val="clear" w:color="auto" w:fill="FF6A00"/>
            <w:vAlign w:val="center"/>
          </w:tcPr>
          <w:p>
            <w:pPr>
              <w:keepNext/>
              <w:spacing w:after="20" w:line="252" w:lineRule="auto"/>
            </w:pPr>
            <w:r>
              <w:rPr>
                <w:rFonts w:ascii="Poppins" w:hAnsi="Poppins" w:cs="Poppins" w:eastAsia="Poppins"/>
                <w:b/>
                <w:color w:val="20242B"/>
                <w:sz w:val="18"/>
              </w:rPr>
              <w:t>Term</w:t>
            </w:r>
          </w:p>
        </w:tc>
        <w:tc>
          <w:tcPr>
            <w:tcW w:type="dxa" w:w="7370"/>
            <w:shd w:val="clear" w:color="auto" w:fill="FF6A00"/>
            <w:vAlign w:val="center"/>
          </w:tcPr>
          <w:p>
            <w:pPr>
              <w:keepNext/>
              <w:spacing w:after="20" w:line="252" w:lineRule="auto"/>
            </w:pPr>
            <w:r>
              <w:rPr>
                <w:rFonts w:ascii="Poppins" w:hAnsi="Poppins" w:cs="Poppins" w:eastAsia="Poppins"/>
                <w:b/>
                <w:color w:val="20242B"/>
                <w:sz w:val="18"/>
              </w:rPr>
              <w:t>Meaning</w:t>
            </w:r>
          </w:p>
        </w:tc>
      </w:tr>
      <w:tr>
        <w:trPr>
          <w:cantSplit/>
        </w:trPr>
        <w:tc>
          <w:tcPr>
            <w:tcW w:type="dxa" w:w="2268"/>
            <w:vAlign w:val="center"/>
          </w:tcPr>
          <w:p>
            <w:pPr>
              <w:spacing w:after="20" w:line="252" w:lineRule="auto"/>
            </w:pPr>
            <w:r>
              <w:rPr>
                <w:b/>
                <w:sz w:val="18"/>
              </w:rPr>
              <w:t>ARPA</w:t>
            </w:r>
          </w:p>
        </w:tc>
        <w:tc>
          <w:tcPr>
            <w:tcW w:type="dxa" w:w="7370"/>
            <w:vAlign w:val="center"/>
          </w:tcPr>
          <w:p>
            <w:pPr>
              <w:spacing w:after="20" w:line="252" w:lineRule="auto"/>
            </w:pPr>
            <w:r>
              <w:rPr>
                <w:sz w:val="18"/>
              </w:rPr>
              <w:t>Average revenue per account, per month</w:t>
            </w:r>
          </w:p>
        </w:tc>
      </w:tr>
      <w:tr>
        <w:trPr>
          <w:cantSplit/>
        </w:trPr>
        <w:tc>
          <w:tcPr>
            <w:tcW w:type="dxa" w:w="2268"/>
            <w:shd w:val="clear" w:color="auto" w:fill="FAFAFB"/>
            <w:vAlign w:val="center"/>
          </w:tcPr>
          <w:p>
            <w:pPr>
              <w:spacing w:after="20" w:line="252" w:lineRule="auto"/>
            </w:pPr>
            <w:r>
              <w:rPr>
                <w:b/>
                <w:sz w:val="18"/>
              </w:rPr>
              <w:t>ARR</w:t>
            </w:r>
          </w:p>
        </w:tc>
        <w:tc>
          <w:tcPr>
            <w:tcW w:type="dxa" w:w="7370"/>
            <w:shd w:val="clear" w:color="auto" w:fill="FAFAFB"/>
            <w:vAlign w:val="center"/>
          </w:tcPr>
          <w:p>
            <w:pPr>
              <w:spacing w:after="20" w:line="252" w:lineRule="auto"/>
            </w:pPr>
            <w:r>
              <w:rPr>
                <w:sz w:val="18"/>
              </w:rPr>
              <w:t>Annual recurring revenue: September net subscription MRR × 12</w:t>
            </w:r>
          </w:p>
        </w:tc>
      </w:tr>
      <w:tr>
        <w:trPr>
          <w:cantSplit/>
        </w:trPr>
        <w:tc>
          <w:tcPr>
            <w:tcW w:type="dxa" w:w="2268"/>
            <w:vAlign w:val="center"/>
          </w:tcPr>
          <w:p>
            <w:pPr>
              <w:spacing w:after="20" w:line="252" w:lineRule="auto"/>
            </w:pPr>
            <w:r>
              <w:rPr>
                <w:b/>
                <w:sz w:val="18"/>
              </w:rPr>
              <w:t>B-BBEE</w:t>
            </w:r>
          </w:p>
        </w:tc>
        <w:tc>
          <w:tcPr>
            <w:tcW w:type="dxa" w:w="7370"/>
            <w:vAlign w:val="center"/>
          </w:tcPr>
          <w:p>
            <w:pPr>
              <w:spacing w:after="20" w:line="252" w:lineRule="auto"/>
            </w:pPr>
            <w:r>
              <w:rPr>
                <w:sz w:val="18"/>
              </w:rPr>
              <w:t>Broad-Based Black Economic Empowerment (South Africa)</w:t>
            </w:r>
          </w:p>
        </w:tc>
      </w:tr>
      <w:tr>
        <w:trPr>
          <w:cantSplit/>
        </w:trPr>
        <w:tc>
          <w:tcPr>
            <w:tcW w:type="dxa" w:w="2268"/>
            <w:shd w:val="clear" w:color="auto" w:fill="FAFAFB"/>
            <w:vAlign w:val="center"/>
          </w:tcPr>
          <w:p>
            <w:pPr>
              <w:spacing w:after="20" w:line="252" w:lineRule="auto"/>
            </w:pPr>
            <w:r>
              <w:rPr>
                <w:b/>
                <w:sz w:val="18"/>
              </w:rPr>
              <w:t>CAC</w:t>
            </w:r>
          </w:p>
        </w:tc>
        <w:tc>
          <w:tcPr>
            <w:tcW w:type="dxa" w:w="7370"/>
            <w:shd w:val="clear" w:color="auto" w:fill="FAFAFB"/>
            <w:vAlign w:val="center"/>
          </w:tcPr>
          <w:p>
            <w:pPr>
              <w:spacing w:after="20" w:line="252" w:lineRule="auto"/>
            </w:pPr>
            <w:r>
              <w:rPr>
                <w:sz w:val="18"/>
              </w:rPr>
              <w:t>Customer acquisition cost</w:t>
            </w:r>
          </w:p>
        </w:tc>
      </w:tr>
      <w:tr>
        <w:trPr>
          <w:cantSplit/>
        </w:trPr>
        <w:tc>
          <w:tcPr>
            <w:tcW w:type="dxa" w:w="2268"/>
            <w:vAlign w:val="center"/>
          </w:tcPr>
          <w:p>
            <w:pPr>
              <w:spacing w:after="20" w:line="252" w:lineRule="auto"/>
            </w:pPr>
            <w:r>
              <w:rPr>
                <w:b/>
                <w:sz w:val="18"/>
              </w:rPr>
              <w:t>CAC payback</w:t>
            </w:r>
          </w:p>
        </w:tc>
        <w:tc>
          <w:tcPr>
            <w:tcW w:type="dxa" w:w="7370"/>
            <w:vAlign w:val="center"/>
          </w:tcPr>
          <w:p>
            <w:pPr>
              <w:spacing w:after="20" w:line="252" w:lineRule="auto"/>
            </w:pPr>
            <w:r>
              <w:rPr>
                <w:sz w:val="18"/>
              </w:rPr>
              <w:t>Months of gross profit needed to recover the CAC</w:t>
            </w:r>
          </w:p>
        </w:tc>
      </w:tr>
      <w:tr>
        <w:trPr>
          <w:cantSplit/>
        </w:trPr>
        <w:tc>
          <w:tcPr>
            <w:tcW w:type="dxa" w:w="2268"/>
            <w:shd w:val="clear" w:color="auto" w:fill="FAFAFB"/>
            <w:vAlign w:val="center"/>
          </w:tcPr>
          <w:p>
            <w:pPr>
              <w:spacing w:after="20" w:line="252" w:lineRule="auto"/>
            </w:pPr>
            <w:r>
              <w:rPr>
                <w:b/>
                <w:sz w:val="18"/>
              </w:rPr>
              <w:t>Cloud API</w:t>
            </w:r>
          </w:p>
        </w:tc>
        <w:tc>
          <w:tcPr>
            <w:tcW w:type="dxa" w:w="7370"/>
            <w:shd w:val="clear" w:color="auto" w:fill="FAFAFB"/>
            <w:vAlign w:val="center"/>
          </w:tcPr>
          <w:p>
            <w:pPr>
              <w:spacing w:after="20" w:line="252" w:lineRule="auto"/>
            </w:pPr>
            <w:r>
              <w:rPr>
                <w:sz w:val="18"/>
              </w:rPr>
              <w:t>Meta's hosted WhatsApp Business API</w:t>
            </w:r>
          </w:p>
        </w:tc>
      </w:tr>
      <w:tr>
        <w:trPr>
          <w:cantSplit/>
        </w:trPr>
        <w:tc>
          <w:tcPr>
            <w:tcW w:type="dxa" w:w="2268"/>
            <w:vAlign w:val="center"/>
          </w:tcPr>
          <w:p>
            <w:pPr>
              <w:spacing w:after="20" w:line="252" w:lineRule="auto"/>
            </w:pPr>
            <w:r>
              <w:rPr>
                <w:b/>
                <w:sz w:val="18"/>
              </w:rPr>
              <w:t>EBITDA</w:t>
            </w:r>
          </w:p>
        </w:tc>
        <w:tc>
          <w:tcPr>
            <w:tcW w:type="dxa" w:w="7370"/>
            <w:vAlign w:val="center"/>
          </w:tcPr>
          <w:p>
            <w:pPr>
              <w:spacing w:after="20" w:line="252" w:lineRule="auto"/>
            </w:pPr>
            <w:r>
              <w:rPr>
                <w:sz w:val="18"/>
              </w:rPr>
              <w:t>Earnings before interest, tax, depreciation and amortisation</w:t>
            </w:r>
          </w:p>
        </w:tc>
      </w:tr>
      <w:tr>
        <w:trPr>
          <w:cantSplit/>
        </w:trPr>
        <w:tc>
          <w:tcPr>
            <w:tcW w:type="dxa" w:w="2268"/>
            <w:shd w:val="clear" w:color="auto" w:fill="FAFAFB"/>
            <w:vAlign w:val="center"/>
          </w:tcPr>
          <w:p>
            <w:pPr>
              <w:spacing w:after="20" w:line="252" w:lineRule="auto"/>
            </w:pPr>
            <w:r>
              <w:rPr>
                <w:b/>
                <w:sz w:val="18"/>
              </w:rPr>
              <w:t>Edge function</w:t>
            </w:r>
          </w:p>
        </w:tc>
        <w:tc>
          <w:tcPr>
            <w:tcW w:type="dxa" w:w="7370"/>
            <w:shd w:val="clear" w:color="auto" w:fill="FAFAFB"/>
            <w:vAlign w:val="center"/>
          </w:tcPr>
          <w:p>
            <w:pPr>
              <w:spacing w:after="20" w:line="252" w:lineRule="auto"/>
            </w:pPr>
            <w:r>
              <w:rPr>
                <w:sz w:val="18"/>
              </w:rPr>
              <w:t>Server-side function running close to the user, here on Supabase</w:t>
            </w:r>
          </w:p>
        </w:tc>
      </w:tr>
      <w:tr>
        <w:trPr>
          <w:cantSplit/>
        </w:trPr>
        <w:tc>
          <w:tcPr>
            <w:tcW w:type="dxa" w:w="2268"/>
            <w:vAlign w:val="center"/>
          </w:tcPr>
          <w:p>
            <w:pPr>
              <w:spacing w:after="20" w:line="252" w:lineRule="auto"/>
            </w:pPr>
            <w:r>
              <w:rPr>
                <w:b/>
                <w:sz w:val="18"/>
              </w:rPr>
              <w:t>Founding Member</w:t>
            </w:r>
          </w:p>
        </w:tc>
        <w:tc>
          <w:tcPr>
            <w:tcW w:type="dxa" w:w="7370"/>
            <w:vAlign w:val="center"/>
          </w:tcPr>
          <w:p>
            <w:pPr>
              <w:spacing w:after="20" w:line="252" w:lineRule="auto"/>
            </w:pPr>
            <w:r>
              <w:rPr>
                <w:sz w:val="18"/>
              </w:rPr>
              <w:t>The 60-day launch offer: 30% off the first two monthly bills, or two extra months on annual plans</w:t>
            </w:r>
          </w:p>
        </w:tc>
      </w:tr>
      <w:tr>
        <w:trPr>
          <w:cantSplit/>
        </w:trPr>
        <w:tc>
          <w:tcPr>
            <w:tcW w:type="dxa" w:w="2268"/>
            <w:shd w:val="clear" w:color="auto" w:fill="FAFAFB"/>
            <w:vAlign w:val="center"/>
          </w:tcPr>
          <w:p>
            <w:pPr>
              <w:spacing w:after="20" w:line="252" w:lineRule="auto"/>
            </w:pPr>
            <w:r>
              <w:rPr>
                <w:b/>
                <w:sz w:val="18"/>
              </w:rPr>
              <w:t>FY</w:t>
            </w:r>
          </w:p>
        </w:tc>
        <w:tc>
          <w:tcPr>
            <w:tcW w:type="dxa" w:w="7370"/>
            <w:shd w:val="clear" w:color="auto" w:fill="FAFAFB"/>
            <w:vAlign w:val="center"/>
          </w:tcPr>
          <w:p>
            <w:pPr>
              <w:spacing w:after="20" w:line="252" w:lineRule="auto"/>
            </w:pPr>
            <w:r>
              <w:rPr>
                <w:sz w:val="18"/>
              </w:rPr>
              <w:t>Fiscal year, October to September. FY1 is October 2026 to September 2027</w:t>
            </w:r>
          </w:p>
        </w:tc>
      </w:tr>
      <w:tr>
        <w:trPr>
          <w:cantSplit/>
        </w:trPr>
        <w:tc>
          <w:tcPr>
            <w:tcW w:type="dxa" w:w="2268"/>
            <w:vAlign w:val="center"/>
          </w:tcPr>
          <w:p>
            <w:pPr>
              <w:spacing w:after="20" w:line="252" w:lineRule="auto"/>
            </w:pPr>
            <w:r>
              <w:rPr>
                <w:b/>
                <w:sz w:val="18"/>
              </w:rPr>
              <w:t>Gated country</w:t>
            </w:r>
          </w:p>
        </w:tc>
        <w:tc>
          <w:tcPr>
            <w:tcW w:type="dxa" w:w="7370"/>
            <w:vAlign w:val="center"/>
          </w:tcPr>
          <w:p>
            <w:pPr>
              <w:spacing w:after="20" w:line="252" w:lineRule="auto"/>
            </w:pPr>
            <w:r>
              <w:rPr>
                <w:sz w:val="18"/>
              </w:rPr>
              <w:t>A country with no rail that can collect: waitlist only, no prices, no checkout</w:t>
            </w:r>
          </w:p>
        </w:tc>
      </w:tr>
      <w:tr>
        <w:trPr>
          <w:cantSplit/>
        </w:trPr>
        <w:tc>
          <w:tcPr>
            <w:tcW w:type="dxa" w:w="2268"/>
            <w:shd w:val="clear" w:color="auto" w:fill="FAFAFB"/>
            <w:vAlign w:val="center"/>
          </w:tcPr>
          <w:p>
            <w:pPr>
              <w:spacing w:after="20" w:line="252" w:lineRule="auto"/>
            </w:pPr>
            <w:r>
              <w:rPr>
                <w:b/>
                <w:sz w:val="18"/>
              </w:rPr>
              <w:t>GMV</w:t>
            </w:r>
          </w:p>
        </w:tc>
        <w:tc>
          <w:tcPr>
            <w:tcW w:type="dxa" w:w="7370"/>
            <w:shd w:val="clear" w:color="auto" w:fill="FAFAFB"/>
            <w:vAlign w:val="center"/>
          </w:tcPr>
          <w:p>
            <w:pPr>
              <w:spacing w:after="20" w:line="252" w:lineRule="auto"/>
            </w:pPr>
            <w:r>
              <w:rPr>
                <w:sz w:val="18"/>
              </w:rPr>
              <w:t>Gross merchandise value: the value of orders transacted by customers</w:t>
            </w:r>
          </w:p>
        </w:tc>
      </w:tr>
      <w:tr>
        <w:trPr>
          <w:cantSplit/>
        </w:trPr>
        <w:tc>
          <w:tcPr>
            <w:tcW w:type="dxa" w:w="2268"/>
            <w:vAlign w:val="center"/>
          </w:tcPr>
          <w:p>
            <w:pPr>
              <w:spacing w:after="20" w:line="252" w:lineRule="auto"/>
            </w:pPr>
            <w:r>
              <w:rPr>
                <w:b/>
                <w:sz w:val="18"/>
              </w:rPr>
              <w:t>Instant EFT</w:t>
            </w:r>
          </w:p>
        </w:tc>
        <w:tc>
          <w:tcPr>
            <w:tcW w:type="dxa" w:w="7370"/>
            <w:vAlign w:val="center"/>
          </w:tcPr>
          <w:p>
            <w:pPr>
              <w:spacing w:after="20" w:line="252" w:lineRule="auto"/>
            </w:pPr>
            <w:r>
              <w:rPr>
                <w:sz w:val="18"/>
              </w:rPr>
              <w:t>Pay-by-bank transfer confirmed in real time</w:t>
            </w:r>
          </w:p>
        </w:tc>
      </w:tr>
      <w:tr>
        <w:trPr>
          <w:cantSplit/>
        </w:trPr>
        <w:tc>
          <w:tcPr>
            <w:tcW w:type="dxa" w:w="2268"/>
            <w:shd w:val="clear" w:color="auto" w:fill="FAFAFB"/>
            <w:vAlign w:val="center"/>
          </w:tcPr>
          <w:p>
            <w:pPr>
              <w:spacing w:after="20" w:line="252" w:lineRule="auto"/>
            </w:pPr>
            <w:r>
              <w:rPr>
                <w:b/>
                <w:sz w:val="18"/>
              </w:rPr>
              <w:t>LTV</w:t>
            </w:r>
          </w:p>
        </w:tc>
        <w:tc>
          <w:tcPr>
            <w:tcW w:type="dxa" w:w="7370"/>
            <w:shd w:val="clear" w:color="auto" w:fill="FAFAFB"/>
            <w:vAlign w:val="center"/>
          </w:tcPr>
          <w:p>
            <w:pPr>
              <w:spacing w:after="20" w:line="252" w:lineRule="auto"/>
            </w:pPr>
            <w:r>
              <w:rPr>
                <w:sz w:val="18"/>
              </w:rPr>
              <w:t>Lifetime value: ARPA × software gross margin ÷ monthly churn</w:t>
            </w:r>
          </w:p>
        </w:tc>
      </w:tr>
      <w:tr>
        <w:trPr>
          <w:cantSplit/>
        </w:trPr>
        <w:tc>
          <w:tcPr>
            <w:tcW w:type="dxa" w:w="2268"/>
            <w:vAlign w:val="center"/>
          </w:tcPr>
          <w:p>
            <w:pPr>
              <w:spacing w:after="20" w:line="252" w:lineRule="auto"/>
            </w:pPr>
            <w:r>
              <w:rPr>
                <w:b/>
                <w:sz w:val="18"/>
              </w:rPr>
              <w:t>Mobile money</w:t>
            </w:r>
          </w:p>
        </w:tc>
        <w:tc>
          <w:tcPr>
            <w:tcW w:type="dxa" w:w="7370"/>
            <w:vAlign w:val="center"/>
          </w:tcPr>
          <w:p>
            <w:pPr>
              <w:spacing w:after="20" w:line="252" w:lineRule="auto"/>
            </w:pPr>
            <w:r>
              <w:rPr>
                <w:sz w:val="18"/>
              </w:rPr>
              <w:t>Payment from a mobile-network wallet, dominant across much of Africa</w:t>
            </w:r>
          </w:p>
        </w:tc>
      </w:tr>
      <w:tr>
        <w:trPr>
          <w:cantSplit/>
        </w:trPr>
        <w:tc>
          <w:tcPr>
            <w:tcW w:type="dxa" w:w="2268"/>
            <w:shd w:val="clear" w:color="auto" w:fill="FAFAFB"/>
            <w:vAlign w:val="center"/>
          </w:tcPr>
          <w:p>
            <w:pPr>
              <w:spacing w:after="20" w:line="252" w:lineRule="auto"/>
            </w:pPr>
            <w:r>
              <w:rPr>
                <w:b/>
                <w:sz w:val="18"/>
              </w:rPr>
              <w:t>MRR</w:t>
            </w:r>
          </w:p>
        </w:tc>
        <w:tc>
          <w:tcPr>
            <w:tcW w:type="dxa" w:w="7370"/>
            <w:shd w:val="clear" w:color="auto" w:fill="FAFAFB"/>
            <w:vAlign w:val="center"/>
          </w:tcPr>
          <w:p>
            <w:pPr>
              <w:spacing w:after="20" w:line="252" w:lineRule="auto"/>
            </w:pPr>
            <w:r>
              <w:rPr>
                <w:sz w:val="18"/>
              </w:rPr>
              <w:t>Monthly recurring revenue</w:t>
            </w:r>
          </w:p>
        </w:tc>
      </w:tr>
      <w:tr>
        <w:trPr>
          <w:cantSplit/>
        </w:trPr>
        <w:tc>
          <w:tcPr>
            <w:tcW w:type="dxa" w:w="2268"/>
            <w:vAlign w:val="center"/>
          </w:tcPr>
          <w:p>
            <w:pPr>
              <w:spacing w:after="20" w:line="252" w:lineRule="auto"/>
            </w:pPr>
            <w:r>
              <w:rPr>
                <w:b/>
                <w:sz w:val="18"/>
              </w:rPr>
              <w:t>MRR gate</w:t>
            </w:r>
          </w:p>
        </w:tc>
        <w:tc>
          <w:tcPr>
            <w:tcW w:type="dxa" w:w="7370"/>
            <w:vAlign w:val="center"/>
          </w:tcPr>
          <w:p>
            <w:pPr>
              <w:spacing w:after="20" w:line="252" w:lineRule="auto"/>
            </w:pPr>
            <w:r>
              <w:rPr>
                <w:sz w:val="18"/>
              </w:rPr>
              <w:t>The net MRR a hire or a market launch must wait for before it happens</w:t>
            </w:r>
          </w:p>
        </w:tc>
      </w:tr>
      <w:tr>
        <w:trPr>
          <w:cantSplit/>
        </w:trPr>
        <w:tc>
          <w:tcPr>
            <w:tcW w:type="dxa" w:w="2268"/>
            <w:shd w:val="clear" w:color="auto" w:fill="FAFAFB"/>
            <w:vAlign w:val="center"/>
          </w:tcPr>
          <w:p>
            <w:pPr>
              <w:spacing w:after="20" w:line="252" w:lineRule="auto"/>
            </w:pPr>
            <w:r>
              <w:rPr>
                <w:b/>
                <w:sz w:val="18"/>
              </w:rPr>
              <w:t>MSME / SMME</w:t>
            </w:r>
          </w:p>
        </w:tc>
        <w:tc>
          <w:tcPr>
            <w:tcW w:type="dxa" w:w="7370"/>
            <w:shd w:val="clear" w:color="auto" w:fill="FAFAFB"/>
            <w:vAlign w:val="center"/>
          </w:tcPr>
          <w:p>
            <w:pPr>
              <w:spacing w:after="20" w:line="252" w:lineRule="auto"/>
            </w:pPr>
            <w:r>
              <w:rPr>
                <w:sz w:val="18"/>
              </w:rPr>
              <w:t>Micro, small and medium enterprise. SMME is the South African usage</w:t>
            </w:r>
          </w:p>
        </w:tc>
      </w:tr>
      <w:tr>
        <w:trPr>
          <w:cantSplit/>
        </w:trPr>
        <w:tc>
          <w:tcPr>
            <w:tcW w:type="dxa" w:w="2268"/>
            <w:vAlign w:val="center"/>
          </w:tcPr>
          <w:p>
            <w:pPr>
              <w:spacing w:after="20" w:line="252" w:lineRule="auto"/>
            </w:pPr>
            <w:r>
              <w:rPr>
                <w:b/>
                <w:sz w:val="18"/>
              </w:rPr>
              <w:t>NDPR / NDPA</w:t>
            </w:r>
          </w:p>
        </w:tc>
        <w:tc>
          <w:tcPr>
            <w:tcW w:type="dxa" w:w="7370"/>
            <w:vAlign w:val="center"/>
          </w:tcPr>
          <w:p>
            <w:pPr>
              <w:spacing w:after="20" w:line="252" w:lineRule="auto"/>
            </w:pPr>
            <w:r>
              <w:rPr>
                <w:sz w:val="18"/>
              </w:rPr>
              <w:t>Nigeria's data-protection regulation and act</w:t>
            </w:r>
          </w:p>
        </w:tc>
      </w:tr>
      <w:tr>
        <w:trPr>
          <w:cantSplit/>
        </w:trPr>
        <w:tc>
          <w:tcPr>
            <w:tcW w:type="dxa" w:w="2268"/>
            <w:shd w:val="clear" w:color="auto" w:fill="FAFAFB"/>
            <w:vAlign w:val="center"/>
          </w:tcPr>
          <w:p>
            <w:pPr>
              <w:spacing w:after="20" w:line="252" w:lineRule="auto"/>
            </w:pPr>
            <w:r>
              <w:rPr>
                <w:b/>
                <w:sz w:val="18"/>
              </w:rPr>
              <w:t>Partner wholesale</w:t>
            </w:r>
          </w:p>
        </w:tc>
        <w:tc>
          <w:tcPr>
            <w:tcW w:type="dxa" w:w="7370"/>
            <w:shd w:val="clear" w:color="auto" w:fill="FAFAFB"/>
            <w:vAlign w:val="center"/>
          </w:tcPr>
          <w:p>
            <w:pPr>
              <w:spacing w:after="20" w:line="252" w:lineRule="auto"/>
            </w:pPr>
            <w:r>
              <w:rPr>
                <w:sz w:val="18"/>
              </w:rPr>
              <w:t>The permanent Agency-tier price for programme partners: R5,599 a month</w:t>
            </w:r>
          </w:p>
        </w:tc>
      </w:tr>
      <w:tr>
        <w:trPr>
          <w:cantSplit/>
        </w:trPr>
        <w:tc>
          <w:tcPr>
            <w:tcW w:type="dxa" w:w="2268"/>
            <w:vAlign w:val="center"/>
          </w:tcPr>
          <w:p>
            <w:pPr>
              <w:spacing w:after="20" w:line="252" w:lineRule="auto"/>
            </w:pPr>
            <w:r>
              <w:rPr>
                <w:b/>
                <w:sz w:val="18"/>
              </w:rPr>
              <w:t>POPIA</w:t>
            </w:r>
          </w:p>
        </w:tc>
        <w:tc>
          <w:tcPr>
            <w:tcW w:type="dxa" w:w="7370"/>
            <w:vAlign w:val="center"/>
          </w:tcPr>
          <w:p>
            <w:pPr>
              <w:spacing w:after="20" w:line="252" w:lineRule="auto"/>
            </w:pPr>
            <w:r>
              <w:rPr>
                <w:sz w:val="18"/>
              </w:rPr>
              <w:t>Protection of Personal Information Act, 2013 (South Africa)</w:t>
            </w:r>
          </w:p>
        </w:tc>
      </w:tr>
      <w:tr>
        <w:trPr>
          <w:cantSplit/>
        </w:trPr>
        <w:tc>
          <w:tcPr>
            <w:tcW w:type="dxa" w:w="2268"/>
            <w:shd w:val="clear" w:color="auto" w:fill="FAFAFB"/>
            <w:vAlign w:val="center"/>
          </w:tcPr>
          <w:p>
            <w:pPr>
              <w:spacing w:after="20" w:line="252" w:lineRule="auto"/>
            </w:pPr>
            <w:r>
              <w:rPr>
                <w:b/>
                <w:sz w:val="18"/>
              </w:rPr>
              <w:t>RAG</w:t>
            </w:r>
          </w:p>
        </w:tc>
        <w:tc>
          <w:tcPr>
            <w:tcW w:type="dxa" w:w="7370"/>
            <w:shd w:val="clear" w:color="auto" w:fill="FAFAFB"/>
            <w:vAlign w:val="center"/>
          </w:tcPr>
          <w:p>
            <w:pPr>
              <w:spacing w:after="20" w:line="252" w:lineRule="auto"/>
            </w:pPr>
            <w:r>
              <w:rPr>
                <w:sz w:val="18"/>
              </w:rPr>
              <w:t>Retrieval-augmented generation: the Analyst agent's memory of past campaigns</w:t>
            </w:r>
          </w:p>
        </w:tc>
      </w:tr>
      <w:tr>
        <w:trPr>
          <w:cantSplit/>
        </w:trPr>
        <w:tc>
          <w:tcPr>
            <w:tcW w:type="dxa" w:w="2268"/>
            <w:vAlign w:val="center"/>
          </w:tcPr>
          <w:p>
            <w:pPr>
              <w:spacing w:after="20" w:line="252" w:lineRule="auto"/>
            </w:pPr>
            <w:r>
              <w:rPr>
                <w:b/>
                <w:sz w:val="18"/>
              </w:rPr>
              <w:t>RLS</w:t>
            </w:r>
          </w:p>
        </w:tc>
        <w:tc>
          <w:tcPr>
            <w:tcW w:type="dxa" w:w="7370"/>
            <w:vAlign w:val="center"/>
          </w:tcPr>
          <w:p>
            <w:pPr>
              <w:spacing w:after="20" w:line="252" w:lineRule="auto"/>
            </w:pPr>
            <w:r>
              <w:rPr>
                <w:sz w:val="18"/>
              </w:rPr>
              <w:t>Row-level security: database access rules enforced per row</w:t>
            </w:r>
          </w:p>
        </w:tc>
      </w:tr>
      <w:tr>
        <w:trPr>
          <w:cantSplit/>
        </w:trPr>
        <w:tc>
          <w:tcPr>
            <w:tcW w:type="dxa" w:w="2268"/>
            <w:shd w:val="clear" w:color="auto" w:fill="FAFAFB"/>
            <w:vAlign w:val="center"/>
          </w:tcPr>
          <w:p>
            <w:pPr>
              <w:spacing w:after="20" w:line="252" w:lineRule="auto"/>
            </w:pPr>
            <w:r>
              <w:rPr>
                <w:b/>
                <w:sz w:val="18"/>
              </w:rPr>
              <w:t>SAM</w:t>
            </w:r>
          </w:p>
        </w:tc>
        <w:tc>
          <w:tcPr>
            <w:tcW w:type="dxa" w:w="7370"/>
            <w:shd w:val="clear" w:color="auto" w:fill="FAFAFB"/>
            <w:vAlign w:val="center"/>
          </w:tcPr>
          <w:p>
            <w:pPr>
              <w:spacing w:after="20" w:line="252" w:lineRule="auto"/>
            </w:pPr>
            <w:r>
              <w:rPr>
                <w:sz w:val="18"/>
              </w:rPr>
              <w:t>Serviceable addressable market</w:t>
            </w:r>
          </w:p>
        </w:tc>
      </w:tr>
      <w:tr>
        <w:trPr>
          <w:cantSplit/>
        </w:trPr>
        <w:tc>
          <w:tcPr>
            <w:tcW w:type="dxa" w:w="2268"/>
            <w:vAlign w:val="center"/>
          </w:tcPr>
          <w:p>
            <w:pPr>
              <w:spacing w:after="20" w:line="252" w:lineRule="auto"/>
            </w:pPr>
            <w:r>
              <w:rPr>
                <w:b/>
                <w:sz w:val="18"/>
              </w:rPr>
              <w:t>SOM</w:t>
            </w:r>
          </w:p>
        </w:tc>
        <w:tc>
          <w:tcPr>
            <w:tcW w:type="dxa" w:w="7370"/>
            <w:vAlign w:val="center"/>
          </w:tcPr>
          <w:p>
            <w:pPr>
              <w:spacing w:after="20" w:line="252" w:lineRule="auto"/>
            </w:pPr>
            <w:r>
              <w:rPr>
                <w:sz w:val="18"/>
              </w:rPr>
              <w:t>Serviceable obtainable market</w:t>
            </w:r>
          </w:p>
        </w:tc>
      </w:tr>
      <w:tr>
        <w:trPr>
          <w:cantSplit/>
        </w:trPr>
        <w:tc>
          <w:tcPr>
            <w:tcW w:type="dxa" w:w="2268"/>
            <w:shd w:val="clear" w:color="auto" w:fill="FAFAFB"/>
            <w:vAlign w:val="center"/>
          </w:tcPr>
          <w:p>
            <w:pPr>
              <w:spacing w:after="20" w:line="252" w:lineRule="auto"/>
            </w:pPr>
            <w:r>
              <w:rPr>
                <w:b/>
                <w:sz w:val="18"/>
              </w:rPr>
              <w:t>TAM</w:t>
            </w:r>
          </w:p>
        </w:tc>
        <w:tc>
          <w:tcPr>
            <w:tcW w:type="dxa" w:w="7370"/>
            <w:shd w:val="clear" w:color="auto" w:fill="FAFAFB"/>
            <w:vAlign w:val="center"/>
          </w:tcPr>
          <w:p>
            <w:pPr>
              <w:spacing w:after="20" w:line="252" w:lineRule="auto"/>
            </w:pPr>
            <w:r>
              <w:rPr>
                <w:sz w:val="18"/>
              </w:rPr>
              <w:t>Total addressable market</w:t>
            </w:r>
          </w:p>
        </w:tc>
      </w:tr>
      <w:tr>
        <w:trPr>
          <w:cantSplit/>
        </w:trPr>
        <w:tc>
          <w:tcPr>
            <w:tcW w:type="dxa" w:w="2268"/>
            <w:vAlign w:val="center"/>
          </w:tcPr>
          <w:p>
            <w:pPr>
              <w:spacing w:after="20" w:line="252" w:lineRule="auto"/>
            </w:pPr>
            <w:r>
              <w:rPr>
                <w:b/>
                <w:sz w:val="18"/>
              </w:rPr>
              <w:t>Tech Provider</w:t>
            </w:r>
          </w:p>
        </w:tc>
        <w:tc>
          <w:tcPr>
            <w:tcW w:type="dxa" w:w="7370"/>
            <w:vAlign w:val="center"/>
          </w:tcPr>
          <w:p>
            <w:pPr>
              <w:spacing w:after="20" w:line="252" w:lineRule="auto"/>
            </w:pPr>
            <w:r>
              <w:rPr>
                <w:sz w:val="18"/>
              </w:rPr>
              <w:t>Meta's verified status for a platform acting for other businesses</w:t>
            </w:r>
          </w:p>
        </w:tc>
      </w:tr>
      <w:tr>
        <w:trPr>
          <w:cantSplit/>
        </w:trPr>
        <w:tc>
          <w:tcPr>
            <w:tcW w:type="dxa" w:w="2268"/>
            <w:shd w:val="clear" w:color="auto" w:fill="FAFAFB"/>
            <w:vAlign w:val="center"/>
          </w:tcPr>
          <w:p>
            <w:pPr>
              <w:spacing w:after="20" w:line="252" w:lineRule="auto"/>
            </w:pPr>
            <w:r>
              <w:rPr>
                <w:b/>
                <w:sz w:val="18"/>
              </w:rPr>
              <w:t>USSD</w:t>
            </w:r>
          </w:p>
        </w:tc>
        <w:tc>
          <w:tcPr>
            <w:tcW w:type="dxa" w:w="7370"/>
            <w:shd w:val="clear" w:color="auto" w:fill="FAFAFB"/>
            <w:vAlign w:val="center"/>
          </w:tcPr>
          <w:p>
            <w:pPr>
              <w:spacing w:after="20" w:line="252" w:lineRule="auto"/>
            </w:pPr>
            <w:r>
              <w:rPr>
                <w:sz w:val="18"/>
              </w:rPr>
              <w:t>Menu-based mobile service that works on any phone, without internet</w:t>
            </w:r>
          </w:p>
        </w:tc>
      </w:tr>
      <w:tr>
        <w:trPr>
          <w:cantSplit/>
        </w:trPr>
        <w:tc>
          <w:tcPr>
            <w:tcW w:type="dxa" w:w="2268"/>
            <w:vAlign w:val="center"/>
          </w:tcPr>
          <w:p>
            <w:pPr>
              <w:spacing w:after="20" w:line="252" w:lineRule="auto"/>
            </w:pPr>
            <w:r>
              <w:rPr>
                <w:b/>
                <w:sz w:val="18"/>
              </w:rPr>
              <w:t>Workspace</w:t>
            </w:r>
          </w:p>
        </w:tc>
        <w:tc>
          <w:tcPr>
            <w:tcW w:type="dxa" w:w="7370"/>
            <w:vAlign w:val="center"/>
          </w:tcPr>
          <w:p>
            <w:pPr>
              <w:spacing w:after="20" w:line="252" w:lineRule="auto"/>
            </w:pPr>
            <w:r>
              <w:rPr>
                <w:sz w:val="18"/>
              </w:rPr>
              <w:t>One paying customer account on FluxMuse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Business plan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Business plan · Confidential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Business plan v1.0 · Confidential</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Business Plan</dc:title>
  <dc:subject>Business plan supporting a R25M seed raise, Fluxmuse Pty Ltd</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