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BB270" w14:textId="77777777" w:rsidR="00BF0342" w:rsidRDefault="00000000">
      <w:pPr>
        <w:pStyle w:val="Title"/>
      </w:pPr>
      <w:r>
        <w:t>Capitalisons</w:t>
      </w:r>
    </w:p>
    <w:p w14:paraId="25E934C7" w14:textId="77777777" w:rsidR="00BF0342" w:rsidRDefault="00000000">
      <w:pPr>
        <w:pStyle w:val="Subtitle"/>
      </w:pPr>
      <w:r>
        <w:t>La France et son capital absent</w:t>
      </w:r>
    </w:p>
    <w:p w14:paraId="7E9A71B5" w14:textId="77777777" w:rsidR="00BF0342" w:rsidRDefault="00000000">
      <w:pPr>
        <w:pStyle w:val="Author"/>
      </w:pPr>
      <w:r>
        <w:t>Où Va l’Argent</w:t>
      </w:r>
    </w:p>
    <w:p w14:paraId="06092E89" w14:textId="77777777" w:rsidR="00BF0342" w:rsidRDefault="00000000">
      <w:pPr>
        <w:pStyle w:val="Date"/>
      </w:pPr>
      <w:r>
        <w:t>2026</w:t>
      </w:r>
    </w:p>
    <w:sdt>
      <w:sdtPr>
        <w:rPr>
          <w:rFonts w:asciiTheme="minorHAnsi" w:eastAsiaTheme="minorEastAsia" w:hAnsiTheme="minorHAnsi" w:cstheme="minorBidi"/>
          <w:color w:val="auto"/>
          <w:sz w:val="24"/>
          <w:szCs w:val="24"/>
        </w:rPr>
        <w:id w:val="-319040632"/>
        <w:docPartObj>
          <w:docPartGallery w:val="Table of Contents"/>
          <w:docPartUnique/>
        </w:docPartObj>
      </w:sdtPr>
      <w:sdtContent>
        <w:p w14:paraId="294AE1F6" w14:textId="77777777" w:rsidR="00BF0342" w:rsidRDefault="00000000">
          <w:pPr>
            <w:pStyle w:val="TOCHeading"/>
          </w:pPr>
          <w:r>
            <w:t>Table of Contents</w:t>
          </w:r>
        </w:p>
        <w:p w14:paraId="38CB69F1" w14:textId="77777777" w:rsidR="00D06B1C" w:rsidRDefault="00000000">
          <w:pPr>
            <w:pStyle w:val="TOC1"/>
            <w:tabs>
              <w:tab w:val="right" w:leader="dot" w:pos="9350"/>
            </w:tabs>
            <w:rPr>
              <w:noProof/>
            </w:rPr>
          </w:pPr>
          <w:r>
            <w:fldChar w:fldCharType="begin"/>
          </w:r>
          <w:r>
            <w:instrText>TOC \o "1-3" \h \z \u</w:instrText>
          </w:r>
          <w:r>
            <w:fldChar w:fldCharType="separate"/>
          </w:r>
          <w:hyperlink w:anchor="_Toc233036169" w:history="1">
            <w:r w:rsidR="00D06B1C" w:rsidRPr="00B2700E">
              <w:rPr>
                <w:rStyle w:val="Hyperlink"/>
                <w:noProof/>
              </w:rPr>
              <w:t>Avant-pro</w:t>
            </w:r>
            <w:r w:rsidR="00D06B1C" w:rsidRPr="00B2700E">
              <w:rPr>
                <w:rStyle w:val="Hyperlink"/>
                <w:noProof/>
              </w:rPr>
              <w:t>p</w:t>
            </w:r>
            <w:r w:rsidR="00D06B1C" w:rsidRPr="00B2700E">
              <w:rPr>
                <w:rStyle w:val="Hyperlink"/>
                <w:noProof/>
              </w:rPr>
              <w:t>os</w:t>
            </w:r>
            <w:r w:rsidR="00D06B1C">
              <w:rPr>
                <w:noProof/>
                <w:webHidden/>
              </w:rPr>
              <w:tab/>
            </w:r>
            <w:r w:rsidR="00D06B1C">
              <w:rPr>
                <w:noProof/>
                <w:webHidden/>
              </w:rPr>
              <w:fldChar w:fldCharType="begin"/>
            </w:r>
            <w:r w:rsidR="00D06B1C">
              <w:rPr>
                <w:noProof/>
                <w:webHidden/>
              </w:rPr>
              <w:instrText xml:space="preserve"> PAGEREF _Toc233036169 \h </w:instrText>
            </w:r>
            <w:r w:rsidR="00D06B1C">
              <w:rPr>
                <w:noProof/>
                <w:webHidden/>
              </w:rPr>
            </w:r>
            <w:r w:rsidR="00D06B1C">
              <w:rPr>
                <w:noProof/>
                <w:webHidden/>
              </w:rPr>
              <w:fldChar w:fldCharType="separate"/>
            </w:r>
            <w:r w:rsidR="00D06B1C">
              <w:rPr>
                <w:noProof/>
                <w:webHidden/>
              </w:rPr>
              <w:t>3</w:t>
            </w:r>
            <w:r w:rsidR="00D06B1C">
              <w:rPr>
                <w:noProof/>
                <w:webHidden/>
              </w:rPr>
              <w:fldChar w:fldCharType="end"/>
            </w:r>
          </w:hyperlink>
        </w:p>
        <w:p w14:paraId="6EAC18A4" w14:textId="77777777" w:rsidR="00D06B1C" w:rsidRDefault="00D06B1C">
          <w:pPr>
            <w:pStyle w:val="TOC1"/>
            <w:tabs>
              <w:tab w:val="right" w:leader="dot" w:pos="9350"/>
            </w:tabs>
            <w:rPr>
              <w:noProof/>
            </w:rPr>
          </w:pPr>
          <w:hyperlink w:anchor="_Toc233036170" w:history="1">
            <w:r w:rsidRPr="00B2700E">
              <w:rPr>
                <w:rStyle w:val="Hyperlink"/>
                <w:noProof/>
              </w:rPr>
              <w:t>Introduction</w:t>
            </w:r>
            <w:r>
              <w:rPr>
                <w:noProof/>
                <w:webHidden/>
              </w:rPr>
              <w:tab/>
            </w:r>
            <w:r>
              <w:rPr>
                <w:noProof/>
                <w:webHidden/>
              </w:rPr>
              <w:fldChar w:fldCharType="begin"/>
            </w:r>
            <w:r>
              <w:rPr>
                <w:noProof/>
                <w:webHidden/>
              </w:rPr>
              <w:instrText xml:space="preserve"> PAGEREF _Toc233036170 \h </w:instrText>
            </w:r>
            <w:r>
              <w:rPr>
                <w:noProof/>
                <w:webHidden/>
              </w:rPr>
            </w:r>
            <w:r>
              <w:rPr>
                <w:noProof/>
                <w:webHidden/>
              </w:rPr>
              <w:fldChar w:fldCharType="separate"/>
            </w:r>
            <w:r>
              <w:rPr>
                <w:noProof/>
                <w:webHidden/>
              </w:rPr>
              <w:t>3</w:t>
            </w:r>
            <w:r>
              <w:rPr>
                <w:noProof/>
                <w:webHidden/>
              </w:rPr>
              <w:fldChar w:fldCharType="end"/>
            </w:r>
          </w:hyperlink>
        </w:p>
        <w:p w14:paraId="5B3A4077" w14:textId="77777777" w:rsidR="00D06B1C" w:rsidRDefault="00D06B1C">
          <w:pPr>
            <w:pStyle w:val="TOC2"/>
            <w:tabs>
              <w:tab w:val="right" w:leader="dot" w:pos="9350"/>
            </w:tabs>
            <w:rPr>
              <w:noProof/>
            </w:rPr>
          </w:pPr>
          <w:hyperlink w:anchor="_Toc233036171" w:history="1">
            <w:r w:rsidRPr="00B2700E">
              <w:rPr>
                <w:rStyle w:val="Hyperlink"/>
                <w:noProof/>
              </w:rPr>
              <w:t>Le paradoxe Doliprane</w:t>
            </w:r>
            <w:r>
              <w:rPr>
                <w:noProof/>
                <w:webHidden/>
              </w:rPr>
              <w:tab/>
            </w:r>
            <w:r>
              <w:rPr>
                <w:noProof/>
                <w:webHidden/>
              </w:rPr>
              <w:fldChar w:fldCharType="begin"/>
            </w:r>
            <w:r>
              <w:rPr>
                <w:noProof/>
                <w:webHidden/>
              </w:rPr>
              <w:instrText xml:space="preserve"> PAGEREF _Toc233036171 \h </w:instrText>
            </w:r>
            <w:r>
              <w:rPr>
                <w:noProof/>
                <w:webHidden/>
              </w:rPr>
            </w:r>
            <w:r>
              <w:rPr>
                <w:noProof/>
                <w:webHidden/>
              </w:rPr>
              <w:fldChar w:fldCharType="separate"/>
            </w:r>
            <w:r>
              <w:rPr>
                <w:noProof/>
                <w:webHidden/>
              </w:rPr>
              <w:t>3</w:t>
            </w:r>
            <w:r>
              <w:rPr>
                <w:noProof/>
                <w:webHidden/>
              </w:rPr>
              <w:fldChar w:fldCharType="end"/>
            </w:r>
          </w:hyperlink>
        </w:p>
        <w:p w14:paraId="64C7FCDB" w14:textId="77777777" w:rsidR="00D06B1C" w:rsidRDefault="00D06B1C">
          <w:pPr>
            <w:pStyle w:val="TOC2"/>
            <w:tabs>
              <w:tab w:val="right" w:leader="dot" w:pos="9350"/>
            </w:tabs>
            <w:rPr>
              <w:noProof/>
            </w:rPr>
          </w:pPr>
          <w:hyperlink w:anchor="_Toc233036172" w:history="1">
            <w:r w:rsidRPr="00B2700E">
              <w:rPr>
                <w:rStyle w:val="Hyperlink"/>
                <w:noProof/>
              </w:rPr>
              <w:t>Le contrat rompu</w:t>
            </w:r>
            <w:r>
              <w:rPr>
                <w:noProof/>
                <w:webHidden/>
              </w:rPr>
              <w:tab/>
            </w:r>
            <w:r>
              <w:rPr>
                <w:noProof/>
                <w:webHidden/>
              </w:rPr>
              <w:fldChar w:fldCharType="begin"/>
            </w:r>
            <w:r>
              <w:rPr>
                <w:noProof/>
                <w:webHidden/>
              </w:rPr>
              <w:instrText xml:space="preserve"> PAGEREF _Toc233036172 \h </w:instrText>
            </w:r>
            <w:r>
              <w:rPr>
                <w:noProof/>
                <w:webHidden/>
              </w:rPr>
            </w:r>
            <w:r>
              <w:rPr>
                <w:noProof/>
                <w:webHidden/>
              </w:rPr>
              <w:fldChar w:fldCharType="separate"/>
            </w:r>
            <w:r>
              <w:rPr>
                <w:noProof/>
                <w:webHidden/>
              </w:rPr>
              <w:t>6</w:t>
            </w:r>
            <w:r>
              <w:rPr>
                <w:noProof/>
                <w:webHidden/>
              </w:rPr>
              <w:fldChar w:fldCharType="end"/>
            </w:r>
          </w:hyperlink>
        </w:p>
        <w:p w14:paraId="673C3F6A" w14:textId="77777777" w:rsidR="00D06B1C" w:rsidRDefault="00D06B1C">
          <w:pPr>
            <w:pStyle w:val="TOC2"/>
            <w:tabs>
              <w:tab w:val="right" w:leader="dot" w:pos="9350"/>
            </w:tabs>
            <w:rPr>
              <w:noProof/>
            </w:rPr>
          </w:pPr>
          <w:hyperlink w:anchor="_Toc233036173" w:history="1">
            <w:r w:rsidRPr="00B2700E">
              <w:rPr>
                <w:rStyle w:val="Hyperlink"/>
                <w:noProof/>
              </w:rPr>
              <w:t>Deux familles de pays</w:t>
            </w:r>
            <w:r>
              <w:rPr>
                <w:noProof/>
                <w:webHidden/>
              </w:rPr>
              <w:tab/>
            </w:r>
            <w:r>
              <w:rPr>
                <w:noProof/>
                <w:webHidden/>
              </w:rPr>
              <w:fldChar w:fldCharType="begin"/>
            </w:r>
            <w:r>
              <w:rPr>
                <w:noProof/>
                <w:webHidden/>
              </w:rPr>
              <w:instrText xml:space="preserve"> PAGEREF _Toc233036173 \h </w:instrText>
            </w:r>
            <w:r>
              <w:rPr>
                <w:noProof/>
                <w:webHidden/>
              </w:rPr>
            </w:r>
            <w:r>
              <w:rPr>
                <w:noProof/>
                <w:webHidden/>
              </w:rPr>
              <w:fldChar w:fldCharType="separate"/>
            </w:r>
            <w:r>
              <w:rPr>
                <w:noProof/>
                <w:webHidden/>
              </w:rPr>
              <w:t>7</w:t>
            </w:r>
            <w:r>
              <w:rPr>
                <w:noProof/>
                <w:webHidden/>
              </w:rPr>
              <w:fldChar w:fldCharType="end"/>
            </w:r>
          </w:hyperlink>
        </w:p>
        <w:p w14:paraId="0D59A7E4" w14:textId="77777777" w:rsidR="00D06B1C" w:rsidRDefault="00D06B1C">
          <w:pPr>
            <w:pStyle w:val="TOC2"/>
            <w:tabs>
              <w:tab w:val="right" w:leader="dot" w:pos="9350"/>
            </w:tabs>
            <w:rPr>
              <w:noProof/>
            </w:rPr>
          </w:pPr>
          <w:hyperlink w:anchor="_Toc233036174" w:history="1">
            <w:r w:rsidRPr="00B2700E">
              <w:rPr>
                <w:rStyle w:val="Hyperlink"/>
                <w:noProof/>
              </w:rPr>
              <w:t>Les Français sont prêts</w:t>
            </w:r>
            <w:r>
              <w:rPr>
                <w:noProof/>
                <w:webHidden/>
              </w:rPr>
              <w:tab/>
            </w:r>
            <w:r>
              <w:rPr>
                <w:noProof/>
                <w:webHidden/>
              </w:rPr>
              <w:fldChar w:fldCharType="begin"/>
            </w:r>
            <w:r>
              <w:rPr>
                <w:noProof/>
                <w:webHidden/>
              </w:rPr>
              <w:instrText xml:space="preserve"> PAGEREF _Toc233036174 \h </w:instrText>
            </w:r>
            <w:r>
              <w:rPr>
                <w:noProof/>
                <w:webHidden/>
              </w:rPr>
            </w:r>
            <w:r>
              <w:rPr>
                <w:noProof/>
                <w:webHidden/>
              </w:rPr>
              <w:fldChar w:fldCharType="separate"/>
            </w:r>
            <w:r>
              <w:rPr>
                <w:noProof/>
                <w:webHidden/>
              </w:rPr>
              <w:t>9</w:t>
            </w:r>
            <w:r>
              <w:rPr>
                <w:noProof/>
                <w:webHidden/>
              </w:rPr>
              <w:fldChar w:fldCharType="end"/>
            </w:r>
          </w:hyperlink>
        </w:p>
        <w:p w14:paraId="438A9C43" w14:textId="77777777" w:rsidR="00D06B1C" w:rsidRDefault="00D06B1C">
          <w:pPr>
            <w:pStyle w:val="TOC2"/>
            <w:tabs>
              <w:tab w:val="right" w:leader="dot" w:pos="9350"/>
            </w:tabs>
            <w:rPr>
              <w:noProof/>
            </w:rPr>
          </w:pPr>
          <w:hyperlink w:anchor="_Toc233036175" w:history="1">
            <w:r w:rsidRPr="00B2700E">
              <w:rPr>
                <w:rStyle w:val="Hyperlink"/>
                <w:noProof/>
              </w:rPr>
              <w:t>La capitalisation existe déjà chez nous : le RAFP</w:t>
            </w:r>
            <w:r>
              <w:rPr>
                <w:noProof/>
                <w:webHidden/>
              </w:rPr>
              <w:tab/>
            </w:r>
            <w:r>
              <w:rPr>
                <w:noProof/>
                <w:webHidden/>
              </w:rPr>
              <w:fldChar w:fldCharType="begin"/>
            </w:r>
            <w:r>
              <w:rPr>
                <w:noProof/>
                <w:webHidden/>
              </w:rPr>
              <w:instrText xml:space="preserve"> PAGEREF _Toc233036175 \h </w:instrText>
            </w:r>
            <w:r>
              <w:rPr>
                <w:noProof/>
                <w:webHidden/>
              </w:rPr>
            </w:r>
            <w:r>
              <w:rPr>
                <w:noProof/>
                <w:webHidden/>
              </w:rPr>
              <w:fldChar w:fldCharType="separate"/>
            </w:r>
            <w:r>
              <w:rPr>
                <w:noProof/>
                <w:webHidden/>
              </w:rPr>
              <w:t>11</w:t>
            </w:r>
            <w:r>
              <w:rPr>
                <w:noProof/>
                <w:webHidden/>
              </w:rPr>
              <w:fldChar w:fldCharType="end"/>
            </w:r>
          </w:hyperlink>
        </w:p>
        <w:p w14:paraId="3799864A" w14:textId="77777777" w:rsidR="00D06B1C" w:rsidRDefault="00D06B1C">
          <w:pPr>
            <w:pStyle w:val="TOC2"/>
            <w:tabs>
              <w:tab w:val="right" w:leader="dot" w:pos="9350"/>
            </w:tabs>
            <w:rPr>
              <w:noProof/>
            </w:rPr>
          </w:pPr>
          <w:hyperlink w:anchor="_Toc233036176" w:history="1">
            <w:r w:rsidRPr="00B2700E">
              <w:rPr>
                <w:rStyle w:val="Hyperlink"/>
                <w:noProof/>
              </w:rPr>
              <w:t>La grande illusion</w:t>
            </w:r>
            <w:r>
              <w:rPr>
                <w:noProof/>
                <w:webHidden/>
              </w:rPr>
              <w:tab/>
            </w:r>
            <w:r>
              <w:rPr>
                <w:noProof/>
                <w:webHidden/>
              </w:rPr>
              <w:fldChar w:fldCharType="begin"/>
            </w:r>
            <w:r>
              <w:rPr>
                <w:noProof/>
                <w:webHidden/>
              </w:rPr>
              <w:instrText xml:space="preserve"> PAGEREF _Toc233036176 \h </w:instrText>
            </w:r>
            <w:r>
              <w:rPr>
                <w:noProof/>
                <w:webHidden/>
              </w:rPr>
            </w:r>
            <w:r>
              <w:rPr>
                <w:noProof/>
                <w:webHidden/>
              </w:rPr>
              <w:fldChar w:fldCharType="separate"/>
            </w:r>
            <w:r>
              <w:rPr>
                <w:noProof/>
                <w:webHidden/>
              </w:rPr>
              <w:t>13</w:t>
            </w:r>
            <w:r>
              <w:rPr>
                <w:noProof/>
                <w:webHidden/>
              </w:rPr>
              <w:fldChar w:fldCharType="end"/>
            </w:r>
          </w:hyperlink>
        </w:p>
        <w:p w14:paraId="17C19775" w14:textId="77777777" w:rsidR="00D06B1C" w:rsidRDefault="00D06B1C">
          <w:pPr>
            <w:pStyle w:val="TOC2"/>
            <w:tabs>
              <w:tab w:val="right" w:leader="dot" w:pos="9350"/>
            </w:tabs>
            <w:rPr>
              <w:noProof/>
            </w:rPr>
          </w:pPr>
          <w:hyperlink w:anchor="_Toc233036177" w:history="1">
            <w:r w:rsidRPr="00B2700E">
              <w:rPr>
                <w:rStyle w:val="Hyperlink"/>
                <w:noProof/>
              </w:rPr>
              <w:t>L’objectif du livre</w:t>
            </w:r>
            <w:r>
              <w:rPr>
                <w:noProof/>
                <w:webHidden/>
              </w:rPr>
              <w:tab/>
            </w:r>
            <w:r>
              <w:rPr>
                <w:noProof/>
                <w:webHidden/>
              </w:rPr>
              <w:fldChar w:fldCharType="begin"/>
            </w:r>
            <w:r>
              <w:rPr>
                <w:noProof/>
                <w:webHidden/>
              </w:rPr>
              <w:instrText xml:space="preserve"> PAGEREF _Toc233036177 \h </w:instrText>
            </w:r>
            <w:r>
              <w:rPr>
                <w:noProof/>
                <w:webHidden/>
              </w:rPr>
            </w:r>
            <w:r>
              <w:rPr>
                <w:noProof/>
                <w:webHidden/>
              </w:rPr>
              <w:fldChar w:fldCharType="separate"/>
            </w:r>
            <w:r>
              <w:rPr>
                <w:noProof/>
                <w:webHidden/>
              </w:rPr>
              <w:t>14</w:t>
            </w:r>
            <w:r>
              <w:rPr>
                <w:noProof/>
                <w:webHidden/>
              </w:rPr>
              <w:fldChar w:fldCharType="end"/>
            </w:r>
          </w:hyperlink>
        </w:p>
        <w:p w14:paraId="78DC1D6C" w14:textId="77777777" w:rsidR="00D06B1C" w:rsidRDefault="00D06B1C">
          <w:pPr>
            <w:pStyle w:val="TOC2"/>
            <w:tabs>
              <w:tab w:val="right" w:leader="dot" w:pos="9350"/>
            </w:tabs>
            <w:rPr>
              <w:noProof/>
            </w:rPr>
          </w:pPr>
          <w:hyperlink w:anchor="_Toc233036178" w:history="1">
            <w:r w:rsidRPr="00B2700E">
              <w:rPr>
                <w:rStyle w:val="Hyperlink"/>
                <w:noProof/>
              </w:rPr>
              <w:t>Plan de l’ouvrage</w:t>
            </w:r>
            <w:r>
              <w:rPr>
                <w:noProof/>
                <w:webHidden/>
              </w:rPr>
              <w:tab/>
            </w:r>
            <w:r>
              <w:rPr>
                <w:noProof/>
                <w:webHidden/>
              </w:rPr>
              <w:fldChar w:fldCharType="begin"/>
            </w:r>
            <w:r>
              <w:rPr>
                <w:noProof/>
                <w:webHidden/>
              </w:rPr>
              <w:instrText xml:space="preserve"> PAGEREF _Toc233036178 \h </w:instrText>
            </w:r>
            <w:r>
              <w:rPr>
                <w:noProof/>
                <w:webHidden/>
              </w:rPr>
            </w:r>
            <w:r>
              <w:rPr>
                <w:noProof/>
                <w:webHidden/>
              </w:rPr>
              <w:fldChar w:fldCharType="separate"/>
            </w:r>
            <w:r>
              <w:rPr>
                <w:noProof/>
                <w:webHidden/>
              </w:rPr>
              <w:t>15</w:t>
            </w:r>
            <w:r>
              <w:rPr>
                <w:noProof/>
                <w:webHidden/>
              </w:rPr>
              <w:fldChar w:fldCharType="end"/>
            </w:r>
          </w:hyperlink>
        </w:p>
        <w:p w14:paraId="2F61A1BC" w14:textId="77777777" w:rsidR="00D06B1C" w:rsidRDefault="00D06B1C">
          <w:pPr>
            <w:pStyle w:val="TOC1"/>
            <w:tabs>
              <w:tab w:val="right" w:leader="dot" w:pos="9350"/>
            </w:tabs>
            <w:rPr>
              <w:noProof/>
            </w:rPr>
          </w:pPr>
          <w:hyperlink w:anchor="_Toc233036179" w:history="1">
            <w:r w:rsidRPr="00B2700E">
              <w:rPr>
                <w:rStyle w:val="Hyperlink"/>
                <w:noProof/>
              </w:rPr>
              <w:t>Partie 1 — Un système</w:t>
            </w:r>
            <w:r w:rsidRPr="00B2700E">
              <w:rPr>
                <w:rStyle w:val="Hyperlink"/>
                <w:noProof/>
              </w:rPr>
              <w:t xml:space="preserve"> </w:t>
            </w:r>
            <w:r w:rsidRPr="00B2700E">
              <w:rPr>
                <w:rStyle w:val="Hyperlink"/>
                <w:noProof/>
              </w:rPr>
              <w:t>de retraite à bout de souffle</w:t>
            </w:r>
            <w:r>
              <w:rPr>
                <w:noProof/>
                <w:webHidden/>
              </w:rPr>
              <w:tab/>
            </w:r>
            <w:r>
              <w:rPr>
                <w:noProof/>
                <w:webHidden/>
              </w:rPr>
              <w:fldChar w:fldCharType="begin"/>
            </w:r>
            <w:r>
              <w:rPr>
                <w:noProof/>
                <w:webHidden/>
              </w:rPr>
              <w:instrText xml:space="preserve"> PAGEREF _Toc233036179 \h </w:instrText>
            </w:r>
            <w:r>
              <w:rPr>
                <w:noProof/>
                <w:webHidden/>
              </w:rPr>
            </w:r>
            <w:r>
              <w:rPr>
                <w:noProof/>
                <w:webHidden/>
              </w:rPr>
              <w:fldChar w:fldCharType="separate"/>
            </w:r>
            <w:r>
              <w:rPr>
                <w:noProof/>
                <w:webHidden/>
              </w:rPr>
              <w:t>16</w:t>
            </w:r>
            <w:r>
              <w:rPr>
                <w:noProof/>
                <w:webHidden/>
              </w:rPr>
              <w:fldChar w:fldCharType="end"/>
            </w:r>
          </w:hyperlink>
        </w:p>
        <w:p w14:paraId="4F86798B" w14:textId="77777777" w:rsidR="00D06B1C" w:rsidRDefault="00D06B1C">
          <w:pPr>
            <w:pStyle w:val="TOC2"/>
            <w:tabs>
              <w:tab w:val="right" w:leader="dot" w:pos="9350"/>
            </w:tabs>
            <w:rPr>
              <w:noProof/>
            </w:rPr>
          </w:pPr>
          <w:hyperlink w:anchor="_Toc233036180" w:history="1">
            <w:r w:rsidRPr="00B2700E">
              <w:rPr>
                <w:rStyle w:val="Hyperlink"/>
                <w:noProof/>
              </w:rPr>
              <w:t>Le système actuel est dans une impasse</w:t>
            </w:r>
            <w:r>
              <w:rPr>
                <w:noProof/>
                <w:webHidden/>
              </w:rPr>
              <w:tab/>
            </w:r>
            <w:r>
              <w:rPr>
                <w:noProof/>
                <w:webHidden/>
              </w:rPr>
              <w:fldChar w:fldCharType="begin"/>
            </w:r>
            <w:r>
              <w:rPr>
                <w:noProof/>
                <w:webHidden/>
              </w:rPr>
              <w:instrText xml:space="preserve"> PAGEREF _Toc233036180 \h </w:instrText>
            </w:r>
            <w:r>
              <w:rPr>
                <w:noProof/>
                <w:webHidden/>
              </w:rPr>
            </w:r>
            <w:r>
              <w:rPr>
                <w:noProof/>
                <w:webHidden/>
              </w:rPr>
              <w:fldChar w:fldCharType="separate"/>
            </w:r>
            <w:r>
              <w:rPr>
                <w:noProof/>
                <w:webHidden/>
              </w:rPr>
              <w:t>17</w:t>
            </w:r>
            <w:r>
              <w:rPr>
                <w:noProof/>
                <w:webHidden/>
              </w:rPr>
              <w:fldChar w:fldCharType="end"/>
            </w:r>
          </w:hyperlink>
        </w:p>
        <w:p w14:paraId="74F1B7F0" w14:textId="77777777" w:rsidR="00D06B1C" w:rsidRDefault="00D06B1C">
          <w:pPr>
            <w:pStyle w:val="TOC3"/>
            <w:tabs>
              <w:tab w:val="right" w:leader="dot" w:pos="9350"/>
            </w:tabs>
            <w:rPr>
              <w:noProof/>
            </w:rPr>
          </w:pPr>
          <w:hyperlink w:anchor="_Toc233036181" w:history="1">
            <w:r w:rsidRPr="00B2700E">
              <w:rPr>
                <w:rStyle w:val="Hyperlink"/>
                <w:noProof/>
              </w:rPr>
              <w:t>Le grand vieillissement : quand la pyramide s’inverse</w:t>
            </w:r>
            <w:r>
              <w:rPr>
                <w:noProof/>
                <w:webHidden/>
              </w:rPr>
              <w:tab/>
            </w:r>
            <w:r>
              <w:rPr>
                <w:noProof/>
                <w:webHidden/>
              </w:rPr>
              <w:fldChar w:fldCharType="begin"/>
            </w:r>
            <w:r>
              <w:rPr>
                <w:noProof/>
                <w:webHidden/>
              </w:rPr>
              <w:instrText xml:space="preserve"> PAGEREF _Toc233036181 \h </w:instrText>
            </w:r>
            <w:r>
              <w:rPr>
                <w:noProof/>
                <w:webHidden/>
              </w:rPr>
            </w:r>
            <w:r>
              <w:rPr>
                <w:noProof/>
                <w:webHidden/>
              </w:rPr>
              <w:fldChar w:fldCharType="separate"/>
            </w:r>
            <w:r>
              <w:rPr>
                <w:noProof/>
                <w:webHidden/>
              </w:rPr>
              <w:t>17</w:t>
            </w:r>
            <w:r>
              <w:rPr>
                <w:noProof/>
                <w:webHidden/>
              </w:rPr>
              <w:fldChar w:fldCharType="end"/>
            </w:r>
          </w:hyperlink>
        </w:p>
        <w:p w14:paraId="782A6859" w14:textId="77777777" w:rsidR="00D06B1C" w:rsidRDefault="00D06B1C">
          <w:pPr>
            <w:pStyle w:val="TOC3"/>
            <w:tabs>
              <w:tab w:val="right" w:leader="dot" w:pos="9350"/>
            </w:tabs>
            <w:rPr>
              <w:noProof/>
            </w:rPr>
          </w:pPr>
          <w:hyperlink w:anchor="_Toc233036182" w:history="1">
            <w:r w:rsidRPr="00B2700E">
              <w:rPr>
                <w:rStyle w:val="Hyperlink"/>
                <w:noProof/>
              </w:rPr>
              <w:t>Le déficit caché</w:t>
            </w:r>
            <w:r>
              <w:rPr>
                <w:noProof/>
                <w:webHidden/>
              </w:rPr>
              <w:tab/>
            </w:r>
            <w:r>
              <w:rPr>
                <w:noProof/>
                <w:webHidden/>
              </w:rPr>
              <w:fldChar w:fldCharType="begin"/>
            </w:r>
            <w:r>
              <w:rPr>
                <w:noProof/>
                <w:webHidden/>
              </w:rPr>
              <w:instrText xml:space="preserve"> PAGEREF _Toc233036182 \h </w:instrText>
            </w:r>
            <w:r>
              <w:rPr>
                <w:noProof/>
                <w:webHidden/>
              </w:rPr>
            </w:r>
            <w:r>
              <w:rPr>
                <w:noProof/>
                <w:webHidden/>
              </w:rPr>
              <w:fldChar w:fldCharType="separate"/>
            </w:r>
            <w:r>
              <w:rPr>
                <w:noProof/>
                <w:webHidden/>
              </w:rPr>
              <w:t>20</w:t>
            </w:r>
            <w:r>
              <w:rPr>
                <w:noProof/>
                <w:webHidden/>
              </w:rPr>
              <w:fldChar w:fldCharType="end"/>
            </w:r>
          </w:hyperlink>
        </w:p>
        <w:p w14:paraId="0DF20968" w14:textId="77777777" w:rsidR="00D06B1C" w:rsidRDefault="00D06B1C">
          <w:pPr>
            <w:pStyle w:val="TOC3"/>
            <w:tabs>
              <w:tab w:val="right" w:leader="dot" w:pos="9350"/>
            </w:tabs>
            <w:rPr>
              <w:noProof/>
            </w:rPr>
          </w:pPr>
          <w:hyperlink w:anchor="_Toc233036183" w:history="1">
            <w:r w:rsidRPr="00B2700E">
              <w:rPr>
                <w:rStyle w:val="Hyperlink"/>
                <w:noProof/>
              </w:rPr>
              <w:t>Comment on en est arrivé là</w:t>
            </w:r>
            <w:r>
              <w:rPr>
                <w:noProof/>
                <w:webHidden/>
              </w:rPr>
              <w:tab/>
            </w:r>
            <w:r>
              <w:rPr>
                <w:noProof/>
                <w:webHidden/>
              </w:rPr>
              <w:fldChar w:fldCharType="begin"/>
            </w:r>
            <w:r>
              <w:rPr>
                <w:noProof/>
                <w:webHidden/>
              </w:rPr>
              <w:instrText xml:space="preserve"> PAGEREF _Toc233036183 \h </w:instrText>
            </w:r>
            <w:r>
              <w:rPr>
                <w:noProof/>
                <w:webHidden/>
              </w:rPr>
            </w:r>
            <w:r>
              <w:rPr>
                <w:noProof/>
                <w:webHidden/>
              </w:rPr>
              <w:fldChar w:fldCharType="separate"/>
            </w:r>
            <w:r>
              <w:rPr>
                <w:noProof/>
                <w:webHidden/>
              </w:rPr>
              <w:t>23</w:t>
            </w:r>
            <w:r>
              <w:rPr>
                <w:noProof/>
                <w:webHidden/>
              </w:rPr>
              <w:fldChar w:fldCharType="end"/>
            </w:r>
          </w:hyperlink>
        </w:p>
        <w:p w14:paraId="195FA3FD" w14:textId="77777777" w:rsidR="00D06B1C" w:rsidRDefault="00D06B1C">
          <w:pPr>
            <w:pStyle w:val="TOC2"/>
            <w:tabs>
              <w:tab w:val="right" w:leader="dot" w:pos="9350"/>
            </w:tabs>
            <w:rPr>
              <w:noProof/>
            </w:rPr>
          </w:pPr>
          <w:hyperlink w:anchor="_Toc233036184" w:history="1">
            <w:r w:rsidRPr="00B2700E">
              <w:rPr>
                <w:rStyle w:val="Hyperlink"/>
                <w:noProof/>
              </w:rPr>
              <w:t>Ces réformes paramétriques qui n’en sont pas</w:t>
            </w:r>
            <w:r>
              <w:rPr>
                <w:noProof/>
                <w:webHidden/>
              </w:rPr>
              <w:tab/>
            </w:r>
            <w:r>
              <w:rPr>
                <w:noProof/>
                <w:webHidden/>
              </w:rPr>
              <w:fldChar w:fldCharType="begin"/>
            </w:r>
            <w:r>
              <w:rPr>
                <w:noProof/>
                <w:webHidden/>
              </w:rPr>
              <w:instrText xml:space="preserve"> PAGEREF _Toc233036184 \h </w:instrText>
            </w:r>
            <w:r>
              <w:rPr>
                <w:noProof/>
                <w:webHidden/>
              </w:rPr>
            </w:r>
            <w:r>
              <w:rPr>
                <w:noProof/>
                <w:webHidden/>
              </w:rPr>
              <w:fldChar w:fldCharType="separate"/>
            </w:r>
            <w:r>
              <w:rPr>
                <w:noProof/>
                <w:webHidden/>
              </w:rPr>
              <w:t>28</w:t>
            </w:r>
            <w:r>
              <w:rPr>
                <w:noProof/>
                <w:webHidden/>
              </w:rPr>
              <w:fldChar w:fldCharType="end"/>
            </w:r>
          </w:hyperlink>
        </w:p>
        <w:p w14:paraId="0522E626" w14:textId="77777777" w:rsidR="00D06B1C" w:rsidRDefault="00D06B1C">
          <w:pPr>
            <w:pStyle w:val="TOC2"/>
            <w:tabs>
              <w:tab w:val="right" w:leader="dot" w:pos="9350"/>
            </w:tabs>
            <w:rPr>
              <w:noProof/>
            </w:rPr>
          </w:pPr>
          <w:hyperlink w:anchor="_Toc233036185" w:history="1">
            <w:r w:rsidRPr="00B2700E">
              <w:rPr>
                <w:rStyle w:val="Hyperlink"/>
                <w:noProof/>
              </w:rPr>
              <w:t>C’est Nicolas qui paie</w:t>
            </w:r>
            <w:r>
              <w:rPr>
                <w:noProof/>
                <w:webHidden/>
              </w:rPr>
              <w:tab/>
            </w:r>
            <w:r>
              <w:rPr>
                <w:noProof/>
                <w:webHidden/>
              </w:rPr>
              <w:fldChar w:fldCharType="begin"/>
            </w:r>
            <w:r>
              <w:rPr>
                <w:noProof/>
                <w:webHidden/>
              </w:rPr>
              <w:instrText xml:space="preserve"> PAGEREF _Toc233036185 \h </w:instrText>
            </w:r>
            <w:r>
              <w:rPr>
                <w:noProof/>
                <w:webHidden/>
              </w:rPr>
            </w:r>
            <w:r>
              <w:rPr>
                <w:noProof/>
                <w:webHidden/>
              </w:rPr>
              <w:fldChar w:fldCharType="separate"/>
            </w:r>
            <w:r>
              <w:rPr>
                <w:noProof/>
                <w:webHidden/>
              </w:rPr>
              <w:t>31</w:t>
            </w:r>
            <w:r>
              <w:rPr>
                <w:noProof/>
                <w:webHidden/>
              </w:rPr>
              <w:fldChar w:fldCharType="end"/>
            </w:r>
          </w:hyperlink>
        </w:p>
        <w:p w14:paraId="26E3ECFD" w14:textId="77777777" w:rsidR="00D06B1C" w:rsidRDefault="00D06B1C">
          <w:pPr>
            <w:pStyle w:val="TOC1"/>
            <w:tabs>
              <w:tab w:val="right" w:leader="dot" w:pos="9350"/>
            </w:tabs>
            <w:rPr>
              <w:noProof/>
            </w:rPr>
          </w:pPr>
          <w:hyperlink w:anchor="_Toc233036186" w:history="1">
            <w:r w:rsidRPr="00B2700E">
              <w:rPr>
                <w:rStyle w:val="Hyperlink"/>
                <w:noProof/>
              </w:rPr>
              <w:t>Partie 2 — Comprendre la capitalisation</w:t>
            </w:r>
            <w:r>
              <w:rPr>
                <w:noProof/>
                <w:webHidden/>
              </w:rPr>
              <w:tab/>
            </w:r>
            <w:r>
              <w:rPr>
                <w:noProof/>
                <w:webHidden/>
              </w:rPr>
              <w:fldChar w:fldCharType="begin"/>
            </w:r>
            <w:r>
              <w:rPr>
                <w:noProof/>
                <w:webHidden/>
              </w:rPr>
              <w:instrText xml:space="preserve"> PAGEREF _Toc233036186 \h </w:instrText>
            </w:r>
            <w:r>
              <w:rPr>
                <w:noProof/>
                <w:webHidden/>
              </w:rPr>
            </w:r>
            <w:r>
              <w:rPr>
                <w:noProof/>
                <w:webHidden/>
              </w:rPr>
              <w:fldChar w:fldCharType="separate"/>
            </w:r>
            <w:r>
              <w:rPr>
                <w:noProof/>
                <w:webHidden/>
              </w:rPr>
              <w:t>37</w:t>
            </w:r>
            <w:r>
              <w:rPr>
                <w:noProof/>
                <w:webHidden/>
              </w:rPr>
              <w:fldChar w:fldCharType="end"/>
            </w:r>
          </w:hyperlink>
        </w:p>
        <w:p w14:paraId="11076DB2" w14:textId="77777777" w:rsidR="00D06B1C" w:rsidRDefault="00D06B1C">
          <w:pPr>
            <w:pStyle w:val="TOC2"/>
            <w:tabs>
              <w:tab w:val="right" w:leader="dot" w:pos="9350"/>
            </w:tabs>
            <w:rPr>
              <w:noProof/>
            </w:rPr>
          </w:pPr>
          <w:hyperlink w:anchor="_Toc233036187" w:history="1">
            <w:r w:rsidRPr="00B2700E">
              <w:rPr>
                <w:rStyle w:val="Hyperlink"/>
                <w:noProof/>
              </w:rPr>
              <w:t>Anatomie d’un euro cotisé</w:t>
            </w:r>
            <w:r>
              <w:rPr>
                <w:noProof/>
                <w:webHidden/>
              </w:rPr>
              <w:tab/>
            </w:r>
            <w:r>
              <w:rPr>
                <w:noProof/>
                <w:webHidden/>
              </w:rPr>
              <w:fldChar w:fldCharType="begin"/>
            </w:r>
            <w:r>
              <w:rPr>
                <w:noProof/>
                <w:webHidden/>
              </w:rPr>
              <w:instrText xml:space="preserve"> PAGEREF _Toc233036187 \h </w:instrText>
            </w:r>
            <w:r>
              <w:rPr>
                <w:noProof/>
                <w:webHidden/>
              </w:rPr>
            </w:r>
            <w:r>
              <w:rPr>
                <w:noProof/>
                <w:webHidden/>
              </w:rPr>
              <w:fldChar w:fldCharType="separate"/>
            </w:r>
            <w:r>
              <w:rPr>
                <w:noProof/>
                <w:webHidden/>
              </w:rPr>
              <w:t>39</w:t>
            </w:r>
            <w:r>
              <w:rPr>
                <w:noProof/>
                <w:webHidden/>
              </w:rPr>
              <w:fldChar w:fldCharType="end"/>
            </w:r>
          </w:hyperlink>
        </w:p>
        <w:p w14:paraId="6507F996" w14:textId="77777777" w:rsidR="00D06B1C" w:rsidRDefault="00D06B1C">
          <w:pPr>
            <w:pStyle w:val="TOC2"/>
            <w:tabs>
              <w:tab w:val="right" w:leader="dot" w:pos="9350"/>
            </w:tabs>
            <w:rPr>
              <w:noProof/>
            </w:rPr>
          </w:pPr>
          <w:hyperlink w:anchor="_Toc233036188" w:history="1">
            <w:r w:rsidRPr="00B2700E">
              <w:rPr>
                <w:rStyle w:val="Hyperlink"/>
                <w:noProof/>
              </w:rPr>
              <w:t>Ce que la capitalisation n’est pas</w:t>
            </w:r>
            <w:r>
              <w:rPr>
                <w:noProof/>
                <w:webHidden/>
              </w:rPr>
              <w:tab/>
            </w:r>
            <w:r>
              <w:rPr>
                <w:noProof/>
                <w:webHidden/>
              </w:rPr>
              <w:fldChar w:fldCharType="begin"/>
            </w:r>
            <w:r>
              <w:rPr>
                <w:noProof/>
                <w:webHidden/>
              </w:rPr>
              <w:instrText xml:space="preserve"> PAGEREF _Toc233036188 \h </w:instrText>
            </w:r>
            <w:r>
              <w:rPr>
                <w:noProof/>
                <w:webHidden/>
              </w:rPr>
            </w:r>
            <w:r>
              <w:rPr>
                <w:noProof/>
                <w:webHidden/>
              </w:rPr>
              <w:fldChar w:fldCharType="separate"/>
            </w:r>
            <w:r>
              <w:rPr>
                <w:noProof/>
                <w:webHidden/>
              </w:rPr>
              <w:t>44</w:t>
            </w:r>
            <w:r>
              <w:rPr>
                <w:noProof/>
                <w:webHidden/>
              </w:rPr>
              <w:fldChar w:fldCharType="end"/>
            </w:r>
          </w:hyperlink>
        </w:p>
        <w:p w14:paraId="7DFEEAF8" w14:textId="77777777" w:rsidR="00D06B1C" w:rsidRDefault="00D06B1C">
          <w:pPr>
            <w:pStyle w:val="TOC2"/>
            <w:tabs>
              <w:tab w:val="right" w:leader="dot" w:pos="9350"/>
            </w:tabs>
            <w:rPr>
              <w:noProof/>
            </w:rPr>
          </w:pPr>
          <w:hyperlink w:anchor="_Toc233036189" w:history="1">
            <w:r w:rsidRPr="00B2700E">
              <w:rPr>
                <w:rStyle w:val="Hyperlink"/>
                <w:noProof/>
              </w:rPr>
              <w:t>Le RAFP : ce mécanisme à l’œuvre chez nous</w:t>
            </w:r>
            <w:r>
              <w:rPr>
                <w:noProof/>
                <w:webHidden/>
              </w:rPr>
              <w:tab/>
            </w:r>
            <w:r>
              <w:rPr>
                <w:noProof/>
                <w:webHidden/>
              </w:rPr>
              <w:fldChar w:fldCharType="begin"/>
            </w:r>
            <w:r>
              <w:rPr>
                <w:noProof/>
                <w:webHidden/>
              </w:rPr>
              <w:instrText xml:space="preserve"> PAGEREF _Toc233036189 \h </w:instrText>
            </w:r>
            <w:r>
              <w:rPr>
                <w:noProof/>
                <w:webHidden/>
              </w:rPr>
            </w:r>
            <w:r>
              <w:rPr>
                <w:noProof/>
                <w:webHidden/>
              </w:rPr>
              <w:fldChar w:fldCharType="separate"/>
            </w:r>
            <w:r>
              <w:rPr>
                <w:noProof/>
                <w:webHidden/>
              </w:rPr>
              <w:t>48</w:t>
            </w:r>
            <w:r>
              <w:rPr>
                <w:noProof/>
                <w:webHidden/>
              </w:rPr>
              <w:fldChar w:fldCharType="end"/>
            </w:r>
          </w:hyperlink>
        </w:p>
        <w:p w14:paraId="3789397C" w14:textId="77777777" w:rsidR="00D06B1C" w:rsidRDefault="00D06B1C">
          <w:pPr>
            <w:pStyle w:val="TOC2"/>
            <w:tabs>
              <w:tab w:val="right" w:leader="dot" w:pos="9350"/>
            </w:tabs>
            <w:rPr>
              <w:noProof/>
            </w:rPr>
          </w:pPr>
          <w:hyperlink w:anchor="_Toc233036190" w:history="1">
            <w:r w:rsidRPr="00B2700E">
              <w:rPr>
                <w:rStyle w:val="Hyperlink"/>
                <w:noProof/>
              </w:rPr>
              <w:t>Cotiser moins pour gagner plus</w:t>
            </w:r>
            <w:r>
              <w:rPr>
                <w:noProof/>
                <w:webHidden/>
              </w:rPr>
              <w:tab/>
            </w:r>
            <w:r>
              <w:rPr>
                <w:noProof/>
                <w:webHidden/>
              </w:rPr>
              <w:fldChar w:fldCharType="begin"/>
            </w:r>
            <w:r>
              <w:rPr>
                <w:noProof/>
                <w:webHidden/>
              </w:rPr>
              <w:instrText xml:space="preserve"> PAGEREF _Toc233036190 \h </w:instrText>
            </w:r>
            <w:r>
              <w:rPr>
                <w:noProof/>
                <w:webHidden/>
              </w:rPr>
            </w:r>
            <w:r>
              <w:rPr>
                <w:noProof/>
                <w:webHidden/>
              </w:rPr>
              <w:fldChar w:fldCharType="separate"/>
            </w:r>
            <w:r>
              <w:rPr>
                <w:noProof/>
                <w:webHidden/>
              </w:rPr>
              <w:t>50</w:t>
            </w:r>
            <w:r>
              <w:rPr>
                <w:noProof/>
                <w:webHidden/>
              </w:rPr>
              <w:fldChar w:fldCharType="end"/>
            </w:r>
          </w:hyperlink>
        </w:p>
        <w:p w14:paraId="266F1A99" w14:textId="77777777" w:rsidR="00D06B1C" w:rsidRDefault="00D06B1C">
          <w:pPr>
            <w:pStyle w:val="TOC2"/>
            <w:tabs>
              <w:tab w:val="right" w:leader="dot" w:pos="9350"/>
            </w:tabs>
            <w:rPr>
              <w:noProof/>
            </w:rPr>
          </w:pPr>
          <w:hyperlink w:anchor="_Toc233036191" w:history="1">
            <w:r w:rsidRPr="00B2700E">
              <w:rPr>
                <w:rStyle w:val="Hyperlink"/>
                <w:noProof/>
              </w:rPr>
              <w:t>Ce que ça change pour le système</w:t>
            </w:r>
            <w:r>
              <w:rPr>
                <w:noProof/>
                <w:webHidden/>
              </w:rPr>
              <w:tab/>
            </w:r>
            <w:r>
              <w:rPr>
                <w:noProof/>
                <w:webHidden/>
              </w:rPr>
              <w:fldChar w:fldCharType="begin"/>
            </w:r>
            <w:r>
              <w:rPr>
                <w:noProof/>
                <w:webHidden/>
              </w:rPr>
              <w:instrText xml:space="preserve"> PAGEREF _Toc233036191 \h </w:instrText>
            </w:r>
            <w:r>
              <w:rPr>
                <w:noProof/>
                <w:webHidden/>
              </w:rPr>
            </w:r>
            <w:r>
              <w:rPr>
                <w:noProof/>
                <w:webHidden/>
              </w:rPr>
              <w:fldChar w:fldCharType="separate"/>
            </w:r>
            <w:r>
              <w:rPr>
                <w:noProof/>
                <w:webHidden/>
              </w:rPr>
              <w:t>53</w:t>
            </w:r>
            <w:r>
              <w:rPr>
                <w:noProof/>
                <w:webHidden/>
              </w:rPr>
              <w:fldChar w:fldCharType="end"/>
            </w:r>
          </w:hyperlink>
        </w:p>
        <w:p w14:paraId="0F5C1D2D" w14:textId="77777777" w:rsidR="00D06B1C" w:rsidRDefault="00D06B1C">
          <w:pPr>
            <w:pStyle w:val="TOC3"/>
            <w:tabs>
              <w:tab w:val="right" w:leader="dot" w:pos="9350"/>
            </w:tabs>
            <w:rPr>
              <w:noProof/>
            </w:rPr>
          </w:pPr>
          <w:hyperlink w:anchor="_Toc233036192" w:history="1">
            <w:r w:rsidRPr="00B2700E">
              <w:rPr>
                <w:rStyle w:val="Hyperlink"/>
                <w:noProof/>
              </w:rPr>
              <w:t>Les cotisations sociales peuvent baisser</w:t>
            </w:r>
            <w:r>
              <w:rPr>
                <w:noProof/>
                <w:webHidden/>
              </w:rPr>
              <w:tab/>
            </w:r>
            <w:r>
              <w:rPr>
                <w:noProof/>
                <w:webHidden/>
              </w:rPr>
              <w:fldChar w:fldCharType="begin"/>
            </w:r>
            <w:r>
              <w:rPr>
                <w:noProof/>
                <w:webHidden/>
              </w:rPr>
              <w:instrText xml:space="preserve"> PAGEREF _Toc233036192 \h </w:instrText>
            </w:r>
            <w:r>
              <w:rPr>
                <w:noProof/>
                <w:webHidden/>
              </w:rPr>
            </w:r>
            <w:r>
              <w:rPr>
                <w:noProof/>
                <w:webHidden/>
              </w:rPr>
              <w:fldChar w:fldCharType="separate"/>
            </w:r>
            <w:r>
              <w:rPr>
                <w:noProof/>
                <w:webHidden/>
              </w:rPr>
              <w:t>53</w:t>
            </w:r>
            <w:r>
              <w:rPr>
                <w:noProof/>
                <w:webHidden/>
              </w:rPr>
              <w:fldChar w:fldCharType="end"/>
            </w:r>
          </w:hyperlink>
        </w:p>
        <w:p w14:paraId="5BD806A9" w14:textId="77777777" w:rsidR="00D06B1C" w:rsidRDefault="00D06B1C">
          <w:pPr>
            <w:pStyle w:val="TOC3"/>
            <w:tabs>
              <w:tab w:val="right" w:leader="dot" w:pos="9350"/>
            </w:tabs>
            <w:rPr>
              <w:noProof/>
            </w:rPr>
          </w:pPr>
          <w:hyperlink w:anchor="_Toc233036193" w:history="1">
            <w:r w:rsidRPr="00B2700E">
              <w:rPr>
                <w:rStyle w:val="Hyperlink"/>
                <w:noProof/>
              </w:rPr>
              <w:t>Un choc démographique encaissé, plus subi</w:t>
            </w:r>
            <w:r>
              <w:rPr>
                <w:noProof/>
                <w:webHidden/>
              </w:rPr>
              <w:tab/>
            </w:r>
            <w:r>
              <w:rPr>
                <w:noProof/>
                <w:webHidden/>
              </w:rPr>
              <w:fldChar w:fldCharType="begin"/>
            </w:r>
            <w:r>
              <w:rPr>
                <w:noProof/>
                <w:webHidden/>
              </w:rPr>
              <w:instrText xml:space="preserve"> PAGEREF _Toc233036193 \h </w:instrText>
            </w:r>
            <w:r>
              <w:rPr>
                <w:noProof/>
                <w:webHidden/>
              </w:rPr>
            </w:r>
            <w:r>
              <w:rPr>
                <w:noProof/>
                <w:webHidden/>
              </w:rPr>
              <w:fldChar w:fldCharType="separate"/>
            </w:r>
            <w:r>
              <w:rPr>
                <w:noProof/>
                <w:webHidden/>
              </w:rPr>
              <w:t>55</w:t>
            </w:r>
            <w:r>
              <w:rPr>
                <w:noProof/>
                <w:webHidden/>
              </w:rPr>
              <w:fldChar w:fldCharType="end"/>
            </w:r>
          </w:hyperlink>
        </w:p>
        <w:p w14:paraId="09846DE5" w14:textId="77777777" w:rsidR="00D06B1C" w:rsidRDefault="00D06B1C">
          <w:pPr>
            <w:pStyle w:val="TOC1"/>
            <w:tabs>
              <w:tab w:val="right" w:leader="dot" w:pos="9350"/>
            </w:tabs>
            <w:rPr>
              <w:noProof/>
            </w:rPr>
          </w:pPr>
          <w:hyperlink w:anchor="_Toc233036194" w:history="1">
            <w:r w:rsidRPr="00B2700E">
              <w:rPr>
                <w:rStyle w:val="Hyperlink"/>
                <w:noProof/>
              </w:rPr>
              <w:t>Partie 3 — La capitalisation permet d’avoir des fonds de pension</w:t>
            </w:r>
            <w:r>
              <w:rPr>
                <w:noProof/>
                <w:webHidden/>
              </w:rPr>
              <w:tab/>
            </w:r>
            <w:r>
              <w:rPr>
                <w:noProof/>
                <w:webHidden/>
              </w:rPr>
              <w:fldChar w:fldCharType="begin"/>
            </w:r>
            <w:r>
              <w:rPr>
                <w:noProof/>
                <w:webHidden/>
              </w:rPr>
              <w:instrText xml:space="preserve"> PAGEREF _Toc233036194 \h </w:instrText>
            </w:r>
            <w:r>
              <w:rPr>
                <w:noProof/>
                <w:webHidden/>
              </w:rPr>
            </w:r>
            <w:r>
              <w:rPr>
                <w:noProof/>
                <w:webHidden/>
              </w:rPr>
              <w:fldChar w:fldCharType="separate"/>
            </w:r>
            <w:r>
              <w:rPr>
                <w:noProof/>
                <w:webHidden/>
              </w:rPr>
              <w:t>56</w:t>
            </w:r>
            <w:r>
              <w:rPr>
                <w:noProof/>
                <w:webHidden/>
              </w:rPr>
              <w:fldChar w:fldCharType="end"/>
            </w:r>
          </w:hyperlink>
        </w:p>
        <w:p w14:paraId="38789E44" w14:textId="77777777" w:rsidR="00D06B1C" w:rsidRDefault="00D06B1C">
          <w:pPr>
            <w:pStyle w:val="TOC2"/>
            <w:tabs>
              <w:tab w:val="right" w:leader="dot" w:pos="9350"/>
            </w:tabs>
            <w:rPr>
              <w:noProof/>
            </w:rPr>
          </w:pPr>
          <w:hyperlink w:anchor="_Toc233036195" w:history="1">
            <w:r w:rsidRPr="00B2700E">
              <w:rPr>
                <w:rStyle w:val="Hyperlink"/>
                <w:noProof/>
              </w:rPr>
              <w:t>Qu’est-ce qu’un fonds de pension ? À quoi ça sert ? Les trois familles</w:t>
            </w:r>
            <w:r>
              <w:rPr>
                <w:noProof/>
                <w:webHidden/>
              </w:rPr>
              <w:tab/>
            </w:r>
            <w:r>
              <w:rPr>
                <w:noProof/>
                <w:webHidden/>
              </w:rPr>
              <w:fldChar w:fldCharType="begin"/>
            </w:r>
            <w:r>
              <w:rPr>
                <w:noProof/>
                <w:webHidden/>
              </w:rPr>
              <w:instrText xml:space="preserve"> PAGEREF _Toc233036195 \h </w:instrText>
            </w:r>
            <w:r>
              <w:rPr>
                <w:noProof/>
                <w:webHidden/>
              </w:rPr>
            </w:r>
            <w:r>
              <w:rPr>
                <w:noProof/>
                <w:webHidden/>
              </w:rPr>
              <w:fldChar w:fldCharType="separate"/>
            </w:r>
            <w:r>
              <w:rPr>
                <w:noProof/>
                <w:webHidden/>
              </w:rPr>
              <w:t>56</w:t>
            </w:r>
            <w:r>
              <w:rPr>
                <w:noProof/>
                <w:webHidden/>
              </w:rPr>
              <w:fldChar w:fldCharType="end"/>
            </w:r>
          </w:hyperlink>
        </w:p>
        <w:p w14:paraId="065C79C3" w14:textId="77777777" w:rsidR="00D06B1C" w:rsidRDefault="00D06B1C">
          <w:pPr>
            <w:pStyle w:val="TOC2"/>
            <w:tabs>
              <w:tab w:val="right" w:leader="dot" w:pos="9350"/>
            </w:tabs>
            <w:rPr>
              <w:noProof/>
            </w:rPr>
          </w:pPr>
          <w:hyperlink w:anchor="_Toc233036196" w:history="1">
            <w:r w:rsidRPr="00B2700E">
              <w:rPr>
                <w:rStyle w:val="Hyperlink"/>
                <w:noProof/>
              </w:rPr>
              <w:t>Le capital qui nous échappe</w:t>
            </w:r>
            <w:r>
              <w:rPr>
                <w:noProof/>
                <w:webHidden/>
              </w:rPr>
              <w:tab/>
            </w:r>
            <w:r>
              <w:rPr>
                <w:noProof/>
                <w:webHidden/>
              </w:rPr>
              <w:fldChar w:fldCharType="begin"/>
            </w:r>
            <w:r>
              <w:rPr>
                <w:noProof/>
                <w:webHidden/>
              </w:rPr>
              <w:instrText xml:space="preserve"> PAGEREF _Toc233036196 \h </w:instrText>
            </w:r>
            <w:r>
              <w:rPr>
                <w:noProof/>
                <w:webHidden/>
              </w:rPr>
            </w:r>
            <w:r>
              <w:rPr>
                <w:noProof/>
                <w:webHidden/>
              </w:rPr>
              <w:fldChar w:fldCharType="separate"/>
            </w:r>
            <w:r>
              <w:rPr>
                <w:noProof/>
                <w:webHidden/>
              </w:rPr>
              <w:t>60</w:t>
            </w:r>
            <w:r>
              <w:rPr>
                <w:noProof/>
                <w:webHidden/>
              </w:rPr>
              <w:fldChar w:fldCharType="end"/>
            </w:r>
          </w:hyperlink>
        </w:p>
        <w:p w14:paraId="24B7E643" w14:textId="77777777" w:rsidR="00D06B1C" w:rsidRDefault="00D06B1C">
          <w:pPr>
            <w:pStyle w:val="TOC3"/>
            <w:tabs>
              <w:tab w:val="right" w:leader="dot" w:pos="9350"/>
            </w:tabs>
            <w:rPr>
              <w:noProof/>
            </w:rPr>
          </w:pPr>
          <w:hyperlink w:anchor="_Toc233036197" w:history="1">
            <w:r w:rsidRPr="00B2700E">
              <w:rPr>
                <w:rStyle w:val="Hyperlink"/>
                <w:noProof/>
              </w:rPr>
              <w:t>Six mille milliards qui dorment</w:t>
            </w:r>
            <w:r>
              <w:rPr>
                <w:noProof/>
                <w:webHidden/>
              </w:rPr>
              <w:tab/>
            </w:r>
            <w:r>
              <w:rPr>
                <w:noProof/>
                <w:webHidden/>
              </w:rPr>
              <w:fldChar w:fldCharType="begin"/>
            </w:r>
            <w:r>
              <w:rPr>
                <w:noProof/>
                <w:webHidden/>
              </w:rPr>
              <w:instrText xml:space="preserve"> PAGEREF _Toc233036197 \h </w:instrText>
            </w:r>
            <w:r>
              <w:rPr>
                <w:noProof/>
                <w:webHidden/>
              </w:rPr>
            </w:r>
            <w:r>
              <w:rPr>
                <w:noProof/>
                <w:webHidden/>
              </w:rPr>
              <w:fldChar w:fldCharType="separate"/>
            </w:r>
            <w:r>
              <w:rPr>
                <w:noProof/>
                <w:webHidden/>
              </w:rPr>
              <w:t>61</w:t>
            </w:r>
            <w:r>
              <w:rPr>
                <w:noProof/>
                <w:webHidden/>
              </w:rPr>
              <w:fldChar w:fldCharType="end"/>
            </w:r>
          </w:hyperlink>
        </w:p>
        <w:p w14:paraId="3E096990" w14:textId="77777777" w:rsidR="00D06B1C" w:rsidRDefault="00D06B1C">
          <w:pPr>
            <w:pStyle w:val="TOC2"/>
            <w:tabs>
              <w:tab w:val="right" w:leader="dot" w:pos="9350"/>
            </w:tabs>
            <w:rPr>
              <w:noProof/>
            </w:rPr>
          </w:pPr>
          <w:hyperlink w:anchor="_Toc233036198" w:history="1">
            <w:r w:rsidRPr="00B2700E">
              <w:rPr>
                <w:rStyle w:val="Hyperlink"/>
                <w:noProof/>
              </w:rPr>
              <w:t>La vague des cessions silencieuses</w:t>
            </w:r>
            <w:r>
              <w:rPr>
                <w:noProof/>
                <w:webHidden/>
              </w:rPr>
              <w:tab/>
            </w:r>
            <w:r>
              <w:rPr>
                <w:noProof/>
                <w:webHidden/>
              </w:rPr>
              <w:fldChar w:fldCharType="begin"/>
            </w:r>
            <w:r>
              <w:rPr>
                <w:noProof/>
                <w:webHidden/>
              </w:rPr>
              <w:instrText xml:space="preserve"> PAGEREF _Toc233036198 \h </w:instrText>
            </w:r>
            <w:r>
              <w:rPr>
                <w:noProof/>
                <w:webHidden/>
              </w:rPr>
            </w:r>
            <w:r>
              <w:rPr>
                <w:noProof/>
                <w:webHidden/>
              </w:rPr>
              <w:fldChar w:fldCharType="separate"/>
            </w:r>
            <w:r>
              <w:rPr>
                <w:noProof/>
                <w:webHidden/>
              </w:rPr>
              <w:t>68</w:t>
            </w:r>
            <w:r>
              <w:rPr>
                <w:noProof/>
                <w:webHidden/>
              </w:rPr>
              <w:fldChar w:fldCharType="end"/>
            </w:r>
          </w:hyperlink>
        </w:p>
        <w:p w14:paraId="0A238F42" w14:textId="77777777" w:rsidR="00D06B1C" w:rsidRDefault="00D06B1C">
          <w:pPr>
            <w:pStyle w:val="TOC3"/>
            <w:tabs>
              <w:tab w:val="right" w:leader="dot" w:pos="9350"/>
            </w:tabs>
            <w:rPr>
              <w:noProof/>
            </w:rPr>
          </w:pPr>
          <w:hyperlink w:anchor="_Toc233036199" w:history="1">
            <w:r w:rsidRPr="00B2700E">
              <w:rPr>
                <w:rStyle w:val="Hyperlink"/>
                <w:noProof/>
              </w:rPr>
              <w:t>240 000 entreprises sans repreneur français</w:t>
            </w:r>
            <w:r>
              <w:rPr>
                <w:noProof/>
                <w:webHidden/>
              </w:rPr>
              <w:tab/>
            </w:r>
            <w:r>
              <w:rPr>
                <w:noProof/>
                <w:webHidden/>
              </w:rPr>
              <w:fldChar w:fldCharType="begin"/>
            </w:r>
            <w:r>
              <w:rPr>
                <w:noProof/>
                <w:webHidden/>
              </w:rPr>
              <w:instrText xml:space="preserve"> PAGEREF _Toc233036199 \h </w:instrText>
            </w:r>
            <w:r>
              <w:rPr>
                <w:noProof/>
                <w:webHidden/>
              </w:rPr>
            </w:r>
            <w:r>
              <w:rPr>
                <w:noProof/>
                <w:webHidden/>
              </w:rPr>
              <w:fldChar w:fldCharType="separate"/>
            </w:r>
            <w:r>
              <w:rPr>
                <w:noProof/>
                <w:webHidden/>
              </w:rPr>
              <w:t>68</w:t>
            </w:r>
            <w:r>
              <w:rPr>
                <w:noProof/>
                <w:webHidden/>
              </w:rPr>
              <w:fldChar w:fldCharType="end"/>
            </w:r>
          </w:hyperlink>
        </w:p>
        <w:p w14:paraId="113B9791" w14:textId="77777777" w:rsidR="00D06B1C" w:rsidRDefault="00D06B1C">
          <w:pPr>
            <w:pStyle w:val="TOC3"/>
            <w:tabs>
              <w:tab w:val="right" w:leader="dot" w:pos="9350"/>
            </w:tabs>
            <w:rPr>
              <w:noProof/>
            </w:rPr>
          </w:pPr>
          <w:hyperlink w:anchor="_Toc233036200" w:history="1">
            <w:r w:rsidRPr="00B2700E">
              <w:rPr>
                <w:rStyle w:val="Hyperlink"/>
                <w:noProof/>
              </w:rPr>
              <w:t>Le hold-up silencieux</w:t>
            </w:r>
            <w:r>
              <w:rPr>
                <w:noProof/>
                <w:webHidden/>
              </w:rPr>
              <w:tab/>
            </w:r>
            <w:r>
              <w:rPr>
                <w:noProof/>
                <w:webHidden/>
              </w:rPr>
              <w:fldChar w:fldCharType="begin"/>
            </w:r>
            <w:r>
              <w:rPr>
                <w:noProof/>
                <w:webHidden/>
              </w:rPr>
              <w:instrText xml:space="preserve"> PAGEREF _Toc233036200 \h </w:instrText>
            </w:r>
            <w:r>
              <w:rPr>
                <w:noProof/>
                <w:webHidden/>
              </w:rPr>
            </w:r>
            <w:r>
              <w:rPr>
                <w:noProof/>
                <w:webHidden/>
              </w:rPr>
              <w:fldChar w:fldCharType="separate"/>
            </w:r>
            <w:r>
              <w:rPr>
                <w:noProof/>
                <w:webHidden/>
              </w:rPr>
              <w:t>72</w:t>
            </w:r>
            <w:r>
              <w:rPr>
                <w:noProof/>
                <w:webHidden/>
              </w:rPr>
              <w:fldChar w:fldCharType="end"/>
            </w:r>
          </w:hyperlink>
        </w:p>
        <w:p w14:paraId="36325F2E" w14:textId="77777777" w:rsidR="00D06B1C" w:rsidRDefault="00D06B1C">
          <w:pPr>
            <w:pStyle w:val="TOC2"/>
            <w:tabs>
              <w:tab w:val="right" w:leader="dot" w:pos="9350"/>
            </w:tabs>
            <w:rPr>
              <w:noProof/>
            </w:rPr>
          </w:pPr>
          <w:hyperlink w:anchor="_Toc233036201" w:history="1">
            <w:r w:rsidRPr="00B2700E">
              <w:rPr>
                <w:rStyle w:val="Hyperlink"/>
                <w:noProof/>
              </w:rPr>
              <w:t>Si la France avait des fonds de pension</w:t>
            </w:r>
            <w:r>
              <w:rPr>
                <w:noProof/>
                <w:webHidden/>
              </w:rPr>
              <w:tab/>
            </w:r>
            <w:r>
              <w:rPr>
                <w:noProof/>
                <w:webHidden/>
              </w:rPr>
              <w:fldChar w:fldCharType="begin"/>
            </w:r>
            <w:r>
              <w:rPr>
                <w:noProof/>
                <w:webHidden/>
              </w:rPr>
              <w:instrText xml:space="preserve"> PAGEREF _Toc233036201 \h </w:instrText>
            </w:r>
            <w:r>
              <w:rPr>
                <w:noProof/>
                <w:webHidden/>
              </w:rPr>
            </w:r>
            <w:r>
              <w:rPr>
                <w:noProof/>
                <w:webHidden/>
              </w:rPr>
              <w:fldChar w:fldCharType="separate"/>
            </w:r>
            <w:r>
              <w:rPr>
                <w:noProof/>
                <w:webHidden/>
              </w:rPr>
              <w:t>78</w:t>
            </w:r>
            <w:r>
              <w:rPr>
                <w:noProof/>
                <w:webHidden/>
              </w:rPr>
              <w:fldChar w:fldCharType="end"/>
            </w:r>
          </w:hyperlink>
        </w:p>
        <w:p w14:paraId="457A48D1" w14:textId="77777777" w:rsidR="00D06B1C" w:rsidRDefault="00D06B1C">
          <w:pPr>
            <w:pStyle w:val="TOC3"/>
            <w:tabs>
              <w:tab w:val="right" w:leader="dot" w:pos="9350"/>
            </w:tabs>
            <w:rPr>
              <w:noProof/>
            </w:rPr>
          </w:pPr>
          <w:hyperlink w:anchor="_Toc233036202" w:history="1">
            <w:r w:rsidRPr="00B2700E">
              <w:rPr>
                <w:rStyle w:val="Hyperlink"/>
                <w:noProof/>
              </w:rPr>
              <w:t>Alléger les dépenses publiques de retraite</w:t>
            </w:r>
            <w:r>
              <w:rPr>
                <w:noProof/>
                <w:webHidden/>
              </w:rPr>
              <w:tab/>
            </w:r>
            <w:r>
              <w:rPr>
                <w:noProof/>
                <w:webHidden/>
              </w:rPr>
              <w:fldChar w:fldCharType="begin"/>
            </w:r>
            <w:r>
              <w:rPr>
                <w:noProof/>
                <w:webHidden/>
              </w:rPr>
              <w:instrText xml:space="preserve"> PAGEREF _Toc233036202 \h </w:instrText>
            </w:r>
            <w:r>
              <w:rPr>
                <w:noProof/>
                <w:webHidden/>
              </w:rPr>
            </w:r>
            <w:r>
              <w:rPr>
                <w:noProof/>
                <w:webHidden/>
              </w:rPr>
              <w:fldChar w:fldCharType="separate"/>
            </w:r>
            <w:r>
              <w:rPr>
                <w:noProof/>
                <w:webHidden/>
              </w:rPr>
              <w:t>84</w:t>
            </w:r>
            <w:r>
              <w:rPr>
                <w:noProof/>
                <w:webHidden/>
              </w:rPr>
              <w:fldChar w:fldCharType="end"/>
            </w:r>
          </w:hyperlink>
        </w:p>
        <w:p w14:paraId="7F486359" w14:textId="77777777" w:rsidR="00D06B1C" w:rsidRDefault="00D06B1C">
          <w:pPr>
            <w:pStyle w:val="TOC3"/>
            <w:tabs>
              <w:tab w:val="right" w:leader="dot" w:pos="9350"/>
            </w:tabs>
            <w:rPr>
              <w:noProof/>
            </w:rPr>
          </w:pPr>
          <w:hyperlink w:anchor="_Toc233036203" w:history="1">
            <w:r w:rsidRPr="00B2700E">
              <w:rPr>
                <w:rStyle w:val="Hyperlink"/>
                <w:noProof/>
              </w:rPr>
              <w:t>Le cercle vertueux du capital domestique</w:t>
            </w:r>
            <w:r>
              <w:rPr>
                <w:noProof/>
                <w:webHidden/>
              </w:rPr>
              <w:tab/>
            </w:r>
            <w:r>
              <w:rPr>
                <w:noProof/>
                <w:webHidden/>
              </w:rPr>
              <w:fldChar w:fldCharType="begin"/>
            </w:r>
            <w:r>
              <w:rPr>
                <w:noProof/>
                <w:webHidden/>
              </w:rPr>
              <w:instrText xml:space="preserve"> PAGEREF _Toc233036203 \h </w:instrText>
            </w:r>
            <w:r>
              <w:rPr>
                <w:noProof/>
                <w:webHidden/>
              </w:rPr>
            </w:r>
            <w:r>
              <w:rPr>
                <w:noProof/>
                <w:webHidden/>
              </w:rPr>
              <w:fldChar w:fldCharType="separate"/>
            </w:r>
            <w:r>
              <w:rPr>
                <w:noProof/>
                <w:webHidden/>
              </w:rPr>
              <w:t>86</w:t>
            </w:r>
            <w:r>
              <w:rPr>
                <w:noProof/>
                <w:webHidden/>
              </w:rPr>
              <w:fldChar w:fldCharType="end"/>
            </w:r>
          </w:hyperlink>
        </w:p>
        <w:p w14:paraId="17183CFA" w14:textId="77777777" w:rsidR="00D06B1C" w:rsidRDefault="00D06B1C">
          <w:pPr>
            <w:pStyle w:val="TOC1"/>
            <w:tabs>
              <w:tab w:val="right" w:leader="dot" w:pos="9350"/>
            </w:tabs>
            <w:rPr>
              <w:noProof/>
            </w:rPr>
          </w:pPr>
          <w:hyperlink w:anchor="_Toc233036204" w:history="1">
            <w:r w:rsidRPr="00B2700E">
              <w:rPr>
                <w:rStyle w:val="Hyperlink"/>
                <w:noProof/>
              </w:rPr>
              <w:t>Partie 4 — Comment on y arrive : ce que les autres pays nous apprennent</w:t>
            </w:r>
            <w:r>
              <w:rPr>
                <w:noProof/>
                <w:webHidden/>
              </w:rPr>
              <w:tab/>
            </w:r>
            <w:r>
              <w:rPr>
                <w:noProof/>
                <w:webHidden/>
              </w:rPr>
              <w:fldChar w:fldCharType="begin"/>
            </w:r>
            <w:r>
              <w:rPr>
                <w:noProof/>
                <w:webHidden/>
              </w:rPr>
              <w:instrText xml:space="preserve"> PAGEREF _Toc233036204 \h </w:instrText>
            </w:r>
            <w:r>
              <w:rPr>
                <w:noProof/>
                <w:webHidden/>
              </w:rPr>
            </w:r>
            <w:r>
              <w:rPr>
                <w:noProof/>
                <w:webHidden/>
              </w:rPr>
              <w:fldChar w:fldCharType="separate"/>
            </w:r>
            <w:r>
              <w:rPr>
                <w:noProof/>
                <w:webHidden/>
              </w:rPr>
              <w:t>88</w:t>
            </w:r>
            <w:r>
              <w:rPr>
                <w:noProof/>
                <w:webHidden/>
              </w:rPr>
              <w:fldChar w:fldCharType="end"/>
            </w:r>
          </w:hyperlink>
        </w:p>
        <w:p w14:paraId="17E80F06" w14:textId="77777777" w:rsidR="00D06B1C" w:rsidRDefault="00D06B1C">
          <w:pPr>
            <w:pStyle w:val="TOC2"/>
            <w:tabs>
              <w:tab w:val="right" w:leader="dot" w:pos="9350"/>
            </w:tabs>
            <w:rPr>
              <w:noProof/>
            </w:rPr>
          </w:pPr>
          <w:hyperlink w:anchor="_Toc233036205" w:history="1">
            <w:r w:rsidRPr="00B2700E">
              <w:rPr>
                <w:rStyle w:val="Hyperlink"/>
                <w:noProof/>
              </w:rPr>
              <w:t>Quatre trajectoires : Suède, Australie, Singapour, Chili</w:t>
            </w:r>
            <w:r>
              <w:rPr>
                <w:noProof/>
                <w:webHidden/>
              </w:rPr>
              <w:tab/>
            </w:r>
            <w:r>
              <w:rPr>
                <w:noProof/>
                <w:webHidden/>
              </w:rPr>
              <w:fldChar w:fldCharType="begin"/>
            </w:r>
            <w:r>
              <w:rPr>
                <w:noProof/>
                <w:webHidden/>
              </w:rPr>
              <w:instrText xml:space="preserve"> PAGEREF _Toc233036205 \h </w:instrText>
            </w:r>
            <w:r>
              <w:rPr>
                <w:noProof/>
                <w:webHidden/>
              </w:rPr>
            </w:r>
            <w:r>
              <w:rPr>
                <w:noProof/>
                <w:webHidden/>
              </w:rPr>
              <w:fldChar w:fldCharType="separate"/>
            </w:r>
            <w:r>
              <w:rPr>
                <w:noProof/>
                <w:webHidden/>
              </w:rPr>
              <w:t>89</w:t>
            </w:r>
            <w:r>
              <w:rPr>
                <w:noProof/>
                <w:webHidden/>
              </w:rPr>
              <w:fldChar w:fldCharType="end"/>
            </w:r>
          </w:hyperlink>
        </w:p>
        <w:p w14:paraId="3C95289B" w14:textId="77777777" w:rsidR="00D06B1C" w:rsidRDefault="00D06B1C">
          <w:pPr>
            <w:pStyle w:val="TOC3"/>
            <w:tabs>
              <w:tab w:val="right" w:leader="dot" w:pos="9350"/>
            </w:tabs>
            <w:rPr>
              <w:noProof/>
            </w:rPr>
          </w:pPr>
          <w:hyperlink w:anchor="_Toc233036206" w:history="1">
            <w:r w:rsidRPr="00B2700E">
              <w:rPr>
                <w:rStyle w:val="Hyperlink"/>
                <w:noProof/>
              </w:rPr>
              <w:t>Suède : la preuve par neuf</w:t>
            </w:r>
            <w:r>
              <w:rPr>
                <w:noProof/>
                <w:webHidden/>
              </w:rPr>
              <w:tab/>
            </w:r>
            <w:r>
              <w:rPr>
                <w:noProof/>
                <w:webHidden/>
              </w:rPr>
              <w:fldChar w:fldCharType="begin"/>
            </w:r>
            <w:r>
              <w:rPr>
                <w:noProof/>
                <w:webHidden/>
              </w:rPr>
              <w:instrText xml:space="preserve"> PAGEREF _Toc233036206 \h </w:instrText>
            </w:r>
            <w:r>
              <w:rPr>
                <w:noProof/>
                <w:webHidden/>
              </w:rPr>
            </w:r>
            <w:r>
              <w:rPr>
                <w:noProof/>
                <w:webHidden/>
              </w:rPr>
              <w:fldChar w:fldCharType="separate"/>
            </w:r>
            <w:r>
              <w:rPr>
                <w:noProof/>
                <w:webHidden/>
              </w:rPr>
              <w:t>89</w:t>
            </w:r>
            <w:r>
              <w:rPr>
                <w:noProof/>
                <w:webHidden/>
              </w:rPr>
              <w:fldChar w:fldCharType="end"/>
            </w:r>
          </w:hyperlink>
        </w:p>
        <w:p w14:paraId="41438A77" w14:textId="77777777" w:rsidR="00D06B1C" w:rsidRDefault="00D06B1C">
          <w:pPr>
            <w:pStyle w:val="TOC3"/>
            <w:tabs>
              <w:tab w:val="right" w:leader="dot" w:pos="9350"/>
            </w:tabs>
            <w:rPr>
              <w:noProof/>
            </w:rPr>
          </w:pPr>
          <w:hyperlink w:anchor="_Toc233036207" w:history="1">
            <w:r w:rsidRPr="00B2700E">
              <w:rPr>
                <w:rStyle w:val="Hyperlink"/>
                <w:noProof/>
              </w:rPr>
              <w:t>Australie : l’auto-enrolment patronal</w:t>
            </w:r>
            <w:r>
              <w:rPr>
                <w:noProof/>
                <w:webHidden/>
              </w:rPr>
              <w:tab/>
            </w:r>
            <w:r>
              <w:rPr>
                <w:noProof/>
                <w:webHidden/>
              </w:rPr>
              <w:fldChar w:fldCharType="begin"/>
            </w:r>
            <w:r>
              <w:rPr>
                <w:noProof/>
                <w:webHidden/>
              </w:rPr>
              <w:instrText xml:space="preserve"> PAGEREF _Toc233036207 \h </w:instrText>
            </w:r>
            <w:r>
              <w:rPr>
                <w:noProof/>
                <w:webHidden/>
              </w:rPr>
            </w:r>
            <w:r>
              <w:rPr>
                <w:noProof/>
                <w:webHidden/>
              </w:rPr>
              <w:fldChar w:fldCharType="separate"/>
            </w:r>
            <w:r>
              <w:rPr>
                <w:noProof/>
                <w:webHidden/>
              </w:rPr>
              <w:t>94</w:t>
            </w:r>
            <w:r>
              <w:rPr>
                <w:noProof/>
                <w:webHidden/>
              </w:rPr>
              <w:fldChar w:fldCharType="end"/>
            </w:r>
          </w:hyperlink>
        </w:p>
        <w:p w14:paraId="5723CDFF" w14:textId="77777777" w:rsidR="00D06B1C" w:rsidRDefault="00D06B1C">
          <w:pPr>
            <w:pStyle w:val="TOC3"/>
            <w:tabs>
              <w:tab w:val="right" w:leader="dot" w:pos="9350"/>
            </w:tabs>
            <w:rPr>
              <w:noProof/>
            </w:rPr>
          </w:pPr>
          <w:hyperlink w:anchor="_Toc233036208" w:history="1">
            <w:r w:rsidRPr="00B2700E">
              <w:rPr>
                <w:rStyle w:val="Hyperlink"/>
                <w:noProof/>
              </w:rPr>
              <w:t>Singapour : le modèle asiatique mature</w:t>
            </w:r>
            <w:r>
              <w:rPr>
                <w:noProof/>
                <w:webHidden/>
              </w:rPr>
              <w:tab/>
            </w:r>
            <w:r>
              <w:rPr>
                <w:noProof/>
                <w:webHidden/>
              </w:rPr>
              <w:fldChar w:fldCharType="begin"/>
            </w:r>
            <w:r>
              <w:rPr>
                <w:noProof/>
                <w:webHidden/>
              </w:rPr>
              <w:instrText xml:space="preserve"> PAGEREF _Toc233036208 \h </w:instrText>
            </w:r>
            <w:r>
              <w:rPr>
                <w:noProof/>
                <w:webHidden/>
              </w:rPr>
            </w:r>
            <w:r>
              <w:rPr>
                <w:noProof/>
                <w:webHidden/>
              </w:rPr>
              <w:fldChar w:fldCharType="separate"/>
            </w:r>
            <w:r>
              <w:rPr>
                <w:noProof/>
                <w:webHidden/>
              </w:rPr>
              <w:t>97</w:t>
            </w:r>
            <w:r>
              <w:rPr>
                <w:noProof/>
                <w:webHidden/>
              </w:rPr>
              <w:fldChar w:fldCharType="end"/>
            </w:r>
          </w:hyperlink>
        </w:p>
        <w:p w14:paraId="13A29684" w14:textId="77777777" w:rsidR="00D06B1C" w:rsidRDefault="00D06B1C">
          <w:pPr>
            <w:pStyle w:val="TOC3"/>
            <w:tabs>
              <w:tab w:val="right" w:leader="dot" w:pos="9350"/>
            </w:tabs>
            <w:rPr>
              <w:noProof/>
            </w:rPr>
          </w:pPr>
          <w:hyperlink w:anchor="_Toc233036209" w:history="1">
            <w:r w:rsidRPr="00B2700E">
              <w:rPr>
                <w:rStyle w:val="Hyperlink"/>
                <w:noProof/>
              </w:rPr>
              <w:t>Chili : l’expérience unique du tout-capitalisation</w:t>
            </w:r>
            <w:r>
              <w:rPr>
                <w:noProof/>
                <w:webHidden/>
              </w:rPr>
              <w:tab/>
            </w:r>
            <w:r>
              <w:rPr>
                <w:noProof/>
                <w:webHidden/>
              </w:rPr>
              <w:fldChar w:fldCharType="begin"/>
            </w:r>
            <w:r>
              <w:rPr>
                <w:noProof/>
                <w:webHidden/>
              </w:rPr>
              <w:instrText xml:space="preserve"> PAGEREF _Toc233036209 \h </w:instrText>
            </w:r>
            <w:r>
              <w:rPr>
                <w:noProof/>
                <w:webHidden/>
              </w:rPr>
            </w:r>
            <w:r>
              <w:rPr>
                <w:noProof/>
                <w:webHidden/>
              </w:rPr>
              <w:fldChar w:fldCharType="separate"/>
            </w:r>
            <w:r>
              <w:rPr>
                <w:noProof/>
                <w:webHidden/>
              </w:rPr>
              <w:t>102</w:t>
            </w:r>
            <w:r>
              <w:rPr>
                <w:noProof/>
                <w:webHidden/>
              </w:rPr>
              <w:fldChar w:fldCharType="end"/>
            </w:r>
          </w:hyperlink>
        </w:p>
        <w:p w14:paraId="5F75087D" w14:textId="77777777" w:rsidR="00D06B1C" w:rsidRDefault="00D06B1C">
          <w:pPr>
            <w:pStyle w:val="TOC3"/>
            <w:tabs>
              <w:tab w:val="right" w:leader="dot" w:pos="9350"/>
            </w:tabs>
            <w:rPr>
              <w:noProof/>
            </w:rPr>
          </w:pPr>
          <w:hyperlink w:anchor="_Toc233036210" w:history="1">
            <w:r w:rsidRPr="00B2700E">
              <w:rPr>
                <w:rStyle w:val="Hyperlink"/>
                <w:noProof/>
              </w:rPr>
              <w:t>Quatre leçons pour la France</w:t>
            </w:r>
            <w:r>
              <w:rPr>
                <w:noProof/>
                <w:webHidden/>
              </w:rPr>
              <w:tab/>
            </w:r>
            <w:r>
              <w:rPr>
                <w:noProof/>
                <w:webHidden/>
              </w:rPr>
              <w:fldChar w:fldCharType="begin"/>
            </w:r>
            <w:r>
              <w:rPr>
                <w:noProof/>
                <w:webHidden/>
              </w:rPr>
              <w:instrText xml:space="preserve"> PAGEREF _Toc233036210 \h </w:instrText>
            </w:r>
            <w:r>
              <w:rPr>
                <w:noProof/>
                <w:webHidden/>
              </w:rPr>
            </w:r>
            <w:r>
              <w:rPr>
                <w:noProof/>
                <w:webHidden/>
              </w:rPr>
              <w:fldChar w:fldCharType="separate"/>
            </w:r>
            <w:r>
              <w:rPr>
                <w:noProof/>
                <w:webHidden/>
              </w:rPr>
              <w:t>110</w:t>
            </w:r>
            <w:r>
              <w:rPr>
                <w:noProof/>
                <w:webHidden/>
              </w:rPr>
              <w:fldChar w:fldCharType="end"/>
            </w:r>
          </w:hyperlink>
        </w:p>
        <w:p w14:paraId="27D388A4" w14:textId="77777777" w:rsidR="00D06B1C" w:rsidRDefault="00D06B1C">
          <w:pPr>
            <w:pStyle w:val="TOC2"/>
            <w:tabs>
              <w:tab w:val="right" w:leader="dot" w:pos="9350"/>
            </w:tabs>
            <w:rPr>
              <w:noProof/>
            </w:rPr>
          </w:pPr>
          <w:hyperlink w:anchor="_Toc233036211" w:history="1">
            <w:r w:rsidRPr="00B2700E">
              <w:rPr>
                <w:rStyle w:val="Hyperlink"/>
                <w:noProof/>
              </w:rPr>
              <w:t>Les enjeux à arbitrer</w:t>
            </w:r>
            <w:r>
              <w:rPr>
                <w:noProof/>
                <w:webHidden/>
              </w:rPr>
              <w:tab/>
            </w:r>
            <w:r>
              <w:rPr>
                <w:noProof/>
                <w:webHidden/>
              </w:rPr>
              <w:fldChar w:fldCharType="begin"/>
            </w:r>
            <w:r>
              <w:rPr>
                <w:noProof/>
                <w:webHidden/>
              </w:rPr>
              <w:instrText xml:space="preserve"> PAGEREF _Toc233036211 \h </w:instrText>
            </w:r>
            <w:r>
              <w:rPr>
                <w:noProof/>
                <w:webHidden/>
              </w:rPr>
            </w:r>
            <w:r>
              <w:rPr>
                <w:noProof/>
                <w:webHidden/>
              </w:rPr>
              <w:fldChar w:fldCharType="separate"/>
            </w:r>
            <w:r>
              <w:rPr>
                <w:noProof/>
                <w:webHidden/>
              </w:rPr>
              <w:t>112</w:t>
            </w:r>
            <w:r>
              <w:rPr>
                <w:noProof/>
                <w:webHidden/>
              </w:rPr>
              <w:fldChar w:fldCharType="end"/>
            </w:r>
          </w:hyperlink>
        </w:p>
        <w:p w14:paraId="792DBE43" w14:textId="77777777" w:rsidR="00D06B1C" w:rsidRDefault="00D06B1C">
          <w:pPr>
            <w:pStyle w:val="TOC2"/>
            <w:tabs>
              <w:tab w:val="right" w:leader="dot" w:pos="9350"/>
            </w:tabs>
            <w:rPr>
              <w:noProof/>
            </w:rPr>
          </w:pPr>
          <w:hyperlink w:anchor="_Toc233036212" w:history="1">
            <w:r w:rsidRPr="00B2700E">
              <w:rPr>
                <w:rStyle w:val="Hyperlink"/>
                <w:noProof/>
              </w:rPr>
              <w:t>La méthode politique</w:t>
            </w:r>
            <w:r>
              <w:rPr>
                <w:noProof/>
                <w:webHidden/>
              </w:rPr>
              <w:tab/>
            </w:r>
            <w:r>
              <w:rPr>
                <w:noProof/>
                <w:webHidden/>
              </w:rPr>
              <w:fldChar w:fldCharType="begin"/>
            </w:r>
            <w:r>
              <w:rPr>
                <w:noProof/>
                <w:webHidden/>
              </w:rPr>
              <w:instrText xml:space="preserve"> PAGEREF _Toc233036212 \h </w:instrText>
            </w:r>
            <w:r>
              <w:rPr>
                <w:noProof/>
                <w:webHidden/>
              </w:rPr>
            </w:r>
            <w:r>
              <w:rPr>
                <w:noProof/>
                <w:webHidden/>
              </w:rPr>
              <w:fldChar w:fldCharType="separate"/>
            </w:r>
            <w:r>
              <w:rPr>
                <w:noProof/>
                <w:webHidden/>
              </w:rPr>
              <w:t>119</w:t>
            </w:r>
            <w:r>
              <w:rPr>
                <w:noProof/>
                <w:webHidden/>
              </w:rPr>
              <w:fldChar w:fldCharType="end"/>
            </w:r>
          </w:hyperlink>
        </w:p>
        <w:p w14:paraId="6AE90381" w14:textId="77777777" w:rsidR="00D06B1C" w:rsidRDefault="00D06B1C">
          <w:pPr>
            <w:pStyle w:val="TOC3"/>
            <w:tabs>
              <w:tab w:val="right" w:leader="dot" w:pos="9350"/>
            </w:tabs>
            <w:rPr>
              <w:noProof/>
            </w:rPr>
          </w:pPr>
          <w:hyperlink w:anchor="_Toc233036213" w:history="1">
            <w:r w:rsidRPr="00B2700E">
              <w:rPr>
                <w:rStyle w:val="Hyperlink"/>
                <w:noProof/>
              </w:rPr>
              <w:t>L’agenda 2027-2052 en quatre phases</w:t>
            </w:r>
            <w:r>
              <w:rPr>
                <w:noProof/>
                <w:webHidden/>
              </w:rPr>
              <w:tab/>
            </w:r>
            <w:r>
              <w:rPr>
                <w:noProof/>
                <w:webHidden/>
              </w:rPr>
              <w:fldChar w:fldCharType="begin"/>
            </w:r>
            <w:r>
              <w:rPr>
                <w:noProof/>
                <w:webHidden/>
              </w:rPr>
              <w:instrText xml:space="preserve"> PAGEREF _Toc233036213 \h </w:instrText>
            </w:r>
            <w:r>
              <w:rPr>
                <w:noProof/>
                <w:webHidden/>
              </w:rPr>
            </w:r>
            <w:r>
              <w:rPr>
                <w:noProof/>
                <w:webHidden/>
              </w:rPr>
              <w:fldChar w:fldCharType="separate"/>
            </w:r>
            <w:r>
              <w:rPr>
                <w:noProof/>
                <w:webHidden/>
              </w:rPr>
              <w:t>125</w:t>
            </w:r>
            <w:r>
              <w:rPr>
                <w:noProof/>
                <w:webHidden/>
              </w:rPr>
              <w:fldChar w:fldCharType="end"/>
            </w:r>
          </w:hyperlink>
        </w:p>
        <w:p w14:paraId="08384CC0" w14:textId="77777777" w:rsidR="00D06B1C" w:rsidRDefault="00D06B1C">
          <w:pPr>
            <w:pStyle w:val="TOC3"/>
            <w:tabs>
              <w:tab w:val="right" w:leader="dot" w:pos="9350"/>
            </w:tabs>
            <w:rPr>
              <w:noProof/>
            </w:rPr>
          </w:pPr>
          <w:hyperlink w:anchor="_Toc233036214" w:history="1">
            <w:r w:rsidRPr="00B2700E">
              <w:rPr>
                <w:rStyle w:val="Hyperlink"/>
                <w:noProof/>
              </w:rPr>
              <w:t>Phase 4 - Maturation (2043-2052)</w:t>
            </w:r>
            <w:r>
              <w:rPr>
                <w:noProof/>
                <w:webHidden/>
              </w:rPr>
              <w:tab/>
            </w:r>
            <w:r>
              <w:rPr>
                <w:noProof/>
                <w:webHidden/>
              </w:rPr>
              <w:fldChar w:fldCharType="begin"/>
            </w:r>
            <w:r>
              <w:rPr>
                <w:noProof/>
                <w:webHidden/>
              </w:rPr>
              <w:instrText xml:space="preserve"> PAGEREF _Toc233036214 \h </w:instrText>
            </w:r>
            <w:r>
              <w:rPr>
                <w:noProof/>
                <w:webHidden/>
              </w:rPr>
            </w:r>
            <w:r>
              <w:rPr>
                <w:noProof/>
                <w:webHidden/>
              </w:rPr>
              <w:fldChar w:fldCharType="separate"/>
            </w:r>
            <w:r>
              <w:rPr>
                <w:noProof/>
                <w:webHidden/>
              </w:rPr>
              <w:t>128</w:t>
            </w:r>
            <w:r>
              <w:rPr>
                <w:noProof/>
                <w:webHidden/>
              </w:rPr>
              <w:fldChar w:fldCharType="end"/>
            </w:r>
          </w:hyperlink>
        </w:p>
        <w:p w14:paraId="72E50FFA" w14:textId="77777777" w:rsidR="00D06B1C" w:rsidRDefault="00D06B1C">
          <w:pPr>
            <w:pStyle w:val="TOC3"/>
            <w:tabs>
              <w:tab w:val="right" w:leader="dot" w:pos="9350"/>
            </w:tabs>
            <w:rPr>
              <w:noProof/>
            </w:rPr>
          </w:pPr>
          <w:hyperlink w:anchor="_Toc233036215" w:history="1">
            <w:r w:rsidRPr="00B2700E">
              <w:rPr>
                <w:rStyle w:val="Hyperlink"/>
                <w:noProof/>
              </w:rPr>
              <w:t>Ce que le système atteint en 2052</w:t>
            </w:r>
            <w:r>
              <w:rPr>
                <w:noProof/>
                <w:webHidden/>
              </w:rPr>
              <w:tab/>
            </w:r>
            <w:r>
              <w:rPr>
                <w:noProof/>
                <w:webHidden/>
              </w:rPr>
              <w:fldChar w:fldCharType="begin"/>
            </w:r>
            <w:r>
              <w:rPr>
                <w:noProof/>
                <w:webHidden/>
              </w:rPr>
              <w:instrText xml:space="preserve"> PAGEREF _Toc233036215 \h </w:instrText>
            </w:r>
            <w:r>
              <w:rPr>
                <w:noProof/>
                <w:webHidden/>
              </w:rPr>
            </w:r>
            <w:r>
              <w:rPr>
                <w:noProof/>
                <w:webHidden/>
              </w:rPr>
              <w:fldChar w:fldCharType="separate"/>
            </w:r>
            <w:r>
              <w:rPr>
                <w:noProof/>
                <w:webHidden/>
              </w:rPr>
              <w:t>129</w:t>
            </w:r>
            <w:r>
              <w:rPr>
                <w:noProof/>
                <w:webHidden/>
              </w:rPr>
              <w:fldChar w:fldCharType="end"/>
            </w:r>
          </w:hyperlink>
        </w:p>
        <w:p w14:paraId="58A2ECCB" w14:textId="77777777" w:rsidR="00D06B1C" w:rsidRDefault="00D06B1C">
          <w:pPr>
            <w:pStyle w:val="TOC2"/>
            <w:tabs>
              <w:tab w:val="right" w:leader="dot" w:pos="9350"/>
            </w:tabs>
            <w:rPr>
              <w:noProof/>
            </w:rPr>
          </w:pPr>
          <w:hyperlink w:anchor="_Toc233036216" w:history="1">
            <w:r w:rsidRPr="00B2700E">
              <w:rPr>
                <w:rStyle w:val="Hyperlink"/>
                <w:noProof/>
              </w:rPr>
              <w:t>La transition</w:t>
            </w:r>
            <w:r>
              <w:rPr>
                <w:noProof/>
                <w:webHidden/>
              </w:rPr>
              <w:tab/>
            </w:r>
            <w:r>
              <w:rPr>
                <w:noProof/>
                <w:webHidden/>
              </w:rPr>
              <w:fldChar w:fldCharType="begin"/>
            </w:r>
            <w:r>
              <w:rPr>
                <w:noProof/>
                <w:webHidden/>
              </w:rPr>
              <w:instrText xml:space="preserve"> PAGEREF _Toc233036216 \h </w:instrText>
            </w:r>
            <w:r>
              <w:rPr>
                <w:noProof/>
                <w:webHidden/>
              </w:rPr>
            </w:r>
            <w:r>
              <w:rPr>
                <w:noProof/>
                <w:webHidden/>
              </w:rPr>
              <w:fldChar w:fldCharType="separate"/>
            </w:r>
            <w:r>
              <w:rPr>
                <w:noProof/>
                <w:webHidden/>
              </w:rPr>
              <w:t>129</w:t>
            </w:r>
            <w:r>
              <w:rPr>
                <w:noProof/>
                <w:webHidden/>
              </w:rPr>
              <w:fldChar w:fldCharType="end"/>
            </w:r>
          </w:hyperlink>
        </w:p>
        <w:p w14:paraId="7D631510" w14:textId="77777777" w:rsidR="00D06B1C" w:rsidRDefault="00D06B1C">
          <w:pPr>
            <w:pStyle w:val="TOC1"/>
            <w:tabs>
              <w:tab w:val="right" w:leader="dot" w:pos="9350"/>
            </w:tabs>
            <w:rPr>
              <w:noProof/>
            </w:rPr>
          </w:pPr>
          <w:hyperlink w:anchor="_Toc233036217" w:history="1">
            <w:r w:rsidRPr="00B2700E">
              <w:rPr>
                <w:rStyle w:val="Hyperlink"/>
                <w:noProof/>
              </w:rPr>
              <w:t>Conclusion — Choisir, enfin</w:t>
            </w:r>
            <w:r>
              <w:rPr>
                <w:noProof/>
                <w:webHidden/>
              </w:rPr>
              <w:tab/>
            </w:r>
            <w:r>
              <w:rPr>
                <w:noProof/>
                <w:webHidden/>
              </w:rPr>
              <w:fldChar w:fldCharType="begin"/>
            </w:r>
            <w:r>
              <w:rPr>
                <w:noProof/>
                <w:webHidden/>
              </w:rPr>
              <w:instrText xml:space="preserve"> PAGEREF _Toc233036217 \h </w:instrText>
            </w:r>
            <w:r>
              <w:rPr>
                <w:noProof/>
                <w:webHidden/>
              </w:rPr>
            </w:r>
            <w:r>
              <w:rPr>
                <w:noProof/>
                <w:webHidden/>
              </w:rPr>
              <w:fldChar w:fldCharType="separate"/>
            </w:r>
            <w:r>
              <w:rPr>
                <w:noProof/>
                <w:webHidden/>
              </w:rPr>
              <w:t>134</w:t>
            </w:r>
            <w:r>
              <w:rPr>
                <w:noProof/>
                <w:webHidden/>
              </w:rPr>
              <w:fldChar w:fldCharType="end"/>
            </w:r>
          </w:hyperlink>
        </w:p>
        <w:p w14:paraId="5D2C078A" w14:textId="77777777" w:rsidR="00D06B1C" w:rsidRDefault="00D06B1C">
          <w:pPr>
            <w:pStyle w:val="TOC2"/>
            <w:tabs>
              <w:tab w:val="right" w:leader="dot" w:pos="9350"/>
            </w:tabs>
            <w:rPr>
              <w:noProof/>
            </w:rPr>
          </w:pPr>
          <w:hyperlink w:anchor="_Toc233036218" w:history="1">
            <w:r w:rsidRPr="00B2700E">
              <w:rPr>
                <w:rStyle w:val="Hyperlink"/>
                <w:noProof/>
              </w:rPr>
              <w:t>Pourquoi pas la France ? Les quatre verrous historiques</w:t>
            </w:r>
            <w:r>
              <w:rPr>
                <w:noProof/>
                <w:webHidden/>
              </w:rPr>
              <w:tab/>
            </w:r>
            <w:r>
              <w:rPr>
                <w:noProof/>
                <w:webHidden/>
              </w:rPr>
              <w:fldChar w:fldCharType="begin"/>
            </w:r>
            <w:r>
              <w:rPr>
                <w:noProof/>
                <w:webHidden/>
              </w:rPr>
              <w:instrText xml:space="preserve"> PAGEREF _Toc233036218 \h </w:instrText>
            </w:r>
            <w:r>
              <w:rPr>
                <w:noProof/>
                <w:webHidden/>
              </w:rPr>
            </w:r>
            <w:r>
              <w:rPr>
                <w:noProof/>
                <w:webHidden/>
              </w:rPr>
              <w:fldChar w:fldCharType="separate"/>
            </w:r>
            <w:r>
              <w:rPr>
                <w:noProof/>
                <w:webHidden/>
              </w:rPr>
              <w:t>134</w:t>
            </w:r>
            <w:r>
              <w:rPr>
                <w:noProof/>
                <w:webHidden/>
              </w:rPr>
              <w:fldChar w:fldCharType="end"/>
            </w:r>
          </w:hyperlink>
        </w:p>
        <w:p w14:paraId="7D2A1537" w14:textId="77777777" w:rsidR="00D06B1C" w:rsidRDefault="00D06B1C">
          <w:pPr>
            <w:pStyle w:val="TOC2"/>
            <w:tabs>
              <w:tab w:val="right" w:leader="dot" w:pos="9350"/>
            </w:tabs>
            <w:rPr>
              <w:noProof/>
            </w:rPr>
          </w:pPr>
          <w:hyperlink w:anchor="_Toc233036219" w:history="1">
            <w:r w:rsidRPr="00B2700E">
              <w:rPr>
                <w:rStyle w:val="Hyperlink"/>
                <w:noProof/>
              </w:rPr>
              <w:t>Pourquoi cette fois c’est différent</w:t>
            </w:r>
            <w:r>
              <w:rPr>
                <w:noProof/>
                <w:webHidden/>
              </w:rPr>
              <w:tab/>
            </w:r>
            <w:r>
              <w:rPr>
                <w:noProof/>
                <w:webHidden/>
              </w:rPr>
              <w:fldChar w:fldCharType="begin"/>
            </w:r>
            <w:r>
              <w:rPr>
                <w:noProof/>
                <w:webHidden/>
              </w:rPr>
              <w:instrText xml:space="preserve"> PAGEREF _Toc233036219 \h </w:instrText>
            </w:r>
            <w:r>
              <w:rPr>
                <w:noProof/>
                <w:webHidden/>
              </w:rPr>
            </w:r>
            <w:r>
              <w:rPr>
                <w:noProof/>
                <w:webHidden/>
              </w:rPr>
              <w:fldChar w:fldCharType="separate"/>
            </w:r>
            <w:r>
              <w:rPr>
                <w:noProof/>
                <w:webHidden/>
              </w:rPr>
              <w:t>138</w:t>
            </w:r>
            <w:r>
              <w:rPr>
                <w:noProof/>
                <w:webHidden/>
              </w:rPr>
              <w:fldChar w:fldCharType="end"/>
            </w:r>
          </w:hyperlink>
        </w:p>
        <w:p w14:paraId="527CE840" w14:textId="77777777" w:rsidR="00D06B1C" w:rsidRDefault="00D06B1C">
          <w:pPr>
            <w:pStyle w:val="TOC2"/>
            <w:tabs>
              <w:tab w:val="right" w:leader="dot" w:pos="9350"/>
            </w:tabs>
            <w:rPr>
              <w:noProof/>
            </w:rPr>
          </w:pPr>
          <w:hyperlink w:anchor="_Toc233036220" w:history="1">
            <w:r w:rsidRPr="00B2700E">
              <w:rPr>
                <w:rStyle w:val="Hyperlink"/>
                <w:noProof/>
              </w:rPr>
              <w:t>Trois bénéfices, un seul mécanisme</w:t>
            </w:r>
            <w:r>
              <w:rPr>
                <w:noProof/>
                <w:webHidden/>
              </w:rPr>
              <w:tab/>
            </w:r>
            <w:r>
              <w:rPr>
                <w:noProof/>
                <w:webHidden/>
              </w:rPr>
              <w:fldChar w:fldCharType="begin"/>
            </w:r>
            <w:r>
              <w:rPr>
                <w:noProof/>
                <w:webHidden/>
              </w:rPr>
              <w:instrText xml:space="preserve"> PAGEREF _Toc233036220 \h </w:instrText>
            </w:r>
            <w:r>
              <w:rPr>
                <w:noProof/>
                <w:webHidden/>
              </w:rPr>
            </w:r>
            <w:r>
              <w:rPr>
                <w:noProof/>
                <w:webHidden/>
              </w:rPr>
              <w:fldChar w:fldCharType="separate"/>
            </w:r>
            <w:r>
              <w:rPr>
                <w:noProof/>
                <w:webHidden/>
              </w:rPr>
              <w:t>139</w:t>
            </w:r>
            <w:r>
              <w:rPr>
                <w:noProof/>
                <w:webHidden/>
              </w:rPr>
              <w:fldChar w:fldCharType="end"/>
            </w:r>
          </w:hyperlink>
        </w:p>
        <w:p w14:paraId="1CE6B01A" w14:textId="77777777" w:rsidR="00D06B1C" w:rsidRDefault="00D06B1C">
          <w:pPr>
            <w:pStyle w:val="TOC2"/>
            <w:tabs>
              <w:tab w:val="right" w:leader="dot" w:pos="9350"/>
            </w:tabs>
            <w:rPr>
              <w:noProof/>
            </w:rPr>
          </w:pPr>
          <w:hyperlink w:anchor="_Toc233036221" w:history="1">
            <w:r w:rsidRPr="00B2700E">
              <w:rPr>
                <w:rStyle w:val="Hyperlink"/>
                <w:noProof/>
              </w:rPr>
              <w:t>Choisir, enfin</w:t>
            </w:r>
            <w:r>
              <w:rPr>
                <w:noProof/>
                <w:webHidden/>
              </w:rPr>
              <w:tab/>
            </w:r>
            <w:r>
              <w:rPr>
                <w:noProof/>
                <w:webHidden/>
              </w:rPr>
              <w:fldChar w:fldCharType="begin"/>
            </w:r>
            <w:r>
              <w:rPr>
                <w:noProof/>
                <w:webHidden/>
              </w:rPr>
              <w:instrText xml:space="preserve"> PAGEREF _Toc233036221 \h </w:instrText>
            </w:r>
            <w:r>
              <w:rPr>
                <w:noProof/>
                <w:webHidden/>
              </w:rPr>
            </w:r>
            <w:r>
              <w:rPr>
                <w:noProof/>
                <w:webHidden/>
              </w:rPr>
              <w:fldChar w:fldCharType="separate"/>
            </w:r>
            <w:r>
              <w:rPr>
                <w:noProof/>
                <w:webHidden/>
              </w:rPr>
              <w:t>140</w:t>
            </w:r>
            <w:r>
              <w:rPr>
                <w:noProof/>
                <w:webHidden/>
              </w:rPr>
              <w:fldChar w:fldCharType="end"/>
            </w:r>
          </w:hyperlink>
        </w:p>
        <w:p w14:paraId="58FE888C" w14:textId="77777777" w:rsidR="00D06B1C" w:rsidRDefault="00D06B1C">
          <w:pPr>
            <w:pStyle w:val="TOC1"/>
            <w:tabs>
              <w:tab w:val="right" w:leader="dot" w:pos="9350"/>
            </w:tabs>
            <w:rPr>
              <w:noProof/>
            </w:rPr>
          </w:pPr>
          <w:hyperlink w:anchor="_Toc233036222" w:history="1">
            <w:r w:rsidRPr="00B2700E">
              <w:rPr>
                <w:rStyle w:val="Hyperlink"/>
                <w:noProof/>
              </w:rPr>
              <w:t>Appendice — Cinq mensonges qui ont coûté trente ans</w:t>
            </w:r>
            <w:r>
              <w:rPr>
                <w:noProof/>
                <w:webHidden/>
              </w:rPr>
              <w:tab/>
            </w:r>
            <w:r>
              <w:rPr>
                <w:noProof/>
                <w:webHidden/>
              </w:rPr>
              <w:fldChar w:fldCharType="begin"/>
            </w:r>
            <w:r>
              <w:rPr>
                <w:noProof/>
                <w:webHidden/>
              </w:rPr>
              <w:instrText xml:space="preserve"> PAGEREF _Toc233036222 \h </w:instrText>
            </w:r>
            <w:r>
              <w:rPr>
                <w:noProof/>
                <w:webHidden/>
              </w:rPr>
            </w:r>
            <w:r>
              <w:rPr>
                <w:noProof/>
                <w:webHidden/>
              </w:rPr>
              <w:fldChar w:fldCharType="separate"/>
            </w:r>
            <w:r>
              <w:rPr>
                <w:noProof/>
                <w:webHidden/>
              </w:rPr>
              <w:t>140</w:t>
            </w:r>
            <w:r>
              <w:rPr>
                <w:noProof/>
                <w:webHidden/>
              </w:rPr>
              <w:fldChar w:fldCharType="end"/>
            </w:r>
          </w:hyperlink>
        </w:p>
        <w:p w14:paraId="37C9380E" w14:textId="77777777" w:rsidR="00D06B1C" w:rsidRDefault="00D06B1C">
          <w:pPr>
            <w:pStyle w:val="TOC2"/>
            <w:tabs>
              <w:tab w:val="right" w:leader="dot" w:pos="9350"/>
            </w:tabs>
            <w:rPr>
              <w:noProof/>
            </w:rPr>
          </w:pPr>
          <w:hyperlink w:anchor="_Toc233036223" w:history="1">
            <w:r w:rsidRPr="00B2700E">
              <w:rPr>
                <w:rStyle w:val="Hyperlink"/>
                <w:noProof/>
              </w:rPr>
              <w:t>Q.1 - « La bourse, c’est le casino : et si tout s’effondre ? »</w:t>
            </w:r>
            <w:r>
              <w:rPr>
                <w:noProof/>
                <w:webHidden/>
              </w:rPr>
              <w:tab/>
            </w:r>
            <w:r>
              <w:rPr>
                <w:noProof/>
                <w:webHidden/>
              </w:rPr>
              <w:fldChar w:fldCharType="begin"/>
            </w:r>
            <w:r>
              <w:rPr>
                <w:noProof/>
                <w:webHidden/>
              </w:rPr>
              <w:instrText xml:space="preserve"> PAGEREF _Toc233036223 \h </w:instrText>
            </w:r>
            <w:r>
              <w:rPr>
                <w:noProof/>
                <w:webHidden/>
              </w:rPr>
            </w:r>
            <w:r>
              <w:rPr>
                <w:noProof/>
                <w:webHidden/>
              </w:rPr>
              <w:fldChar w:fldCharType="separate"/>
            </w:r>
            <w:r>
              <w:rPr>
                <w:noProof/>
                <w:webHidden/>
              </w:rPr>
              <w:t>141</w:t>
            </w:r>
            <w:r>
              <w:rPr>
                <w:noProof/>
                <w:webHidden/>
              </w:rPr>
              <w:fldChar w:fldCharType="end"/>
            </w:r>
          </w:hyperlink>
        </w:p>
        <w:p w14:paraId="3D7838B8" w14:textId="77777777" w:rsidR="00D06B1C" w:rsidRDefault="00D06B1C">
          <w:pPr>
            <w:pStyle w:val="TOC2"/>
            <w:tabs>
              <w:tab w:val="right" w:leader="dot" w:pos="9350"/>
            </w:tabs>
            <w:rPr>
              <w:noProof/>
            </w:rPr>
          </w:pPr>
          <w:hyperlink w:anchor="_Toc233036224" w:history="1">
            <w:r w:rsidRPr="00B2700E">
              <w:rPr>
                <w:rStyle w:val="Hyperlink"/>
                <w:noProof/>
              </w:rPr>
              <w:t>Q.2 - « Et Enron, Madoff, Detroit ? »</w:t>
            </w:r>
            <w:r>
              <w:rPr>
                <w:noProof/>
                <w:webHidden/>
              </w:rPr>
              <w:tab/>
            </w:r>
            <w:r>
              <w:rPr>
                <w:noProof/>
                <w:webHidden/>
              </w:rPr>
              <w:fldChar w:fldCharType="begin"/>
            </w:r>
            <w:r>
              <w:rPr>
                <w:noProof/>
                <w:webHidden/>
              </w:rPr>
              <w:instrText xml:space="preserve"> PAGEREF _Toc233036224 \h </w:instrText>
            </w:r>
            <w:r>
              <w:rPr>
                <w:noProof/>
                <w:webHidden/>
              </w:rPr>
            </w:r>
            <w:r>
              <w:rPr>
                <w:noProof/>
                <w:webHidden/>
              </w:rPr>
              <w:fldChar w:fldCharType="separate"/>
            </w:r>
            <w:r>
              <w:rPr>
                <w:noProof/>
                <w:webHidden/>
              </w:rPr>
              <w:t>143</w:t>
            </w:r>
            <w:r>
              <w:rPr>
                <w:noProof/>
                <w:webHidden/>
              </w:rPr>
              <w:fldChar w:fldCharType="end"/>
            </w:r>
          </w:hyperlink>
        </w:p>
        <w:p w14:paraId="4824B732" w14:textId="77777777" w:rsidR="00D06B1C" w:rsidRDefault="00D06B1C">
          <w:pPr>
            <w:pStyle w:val="TOC2"/>
            <w:tabs>
              <w:tab w:val="right" w:leader="dot" w:pos="9350"/>
            </w:tabs>
            <w:rPr>
              <w:noProof/>
            </w:rPr>
          </w:pPr>
          <w:hyperlink w:anchor="_Toc233036225" w:history="1">
            <w:r w:rsidRPr="00B2700E">
              <w:rPr>
                <w:rStyle w:val="Hyperlink"/>
                <w:noProof/>
              </w:rPr>
              <w:t>Q.3 - « C’est anti-social : ça profite aux riches »</w:t>
            </w:r>
            <w:r>
              <w:rPr>
                <w:noProof/>
                <w:webHidden/>
              </w:rPr>
              <w:tab/>
            </w:r>
            <w:r>
              <w:rPr>
                <w:noProof/>
                <w:webHidden/>
              </w:rPr>
              <w:fldChar w:fldCharType="begin"/>
            </w:r>
            <w:r>
              <w:rPr>
                <w:noProof/>
                <w:webHidden/>
              </w:rPr>
              <w:instrText xml:space="preserve"> PAGEREF _Toc233036225 \h </w:instrText>
            </w:r>
            <w:r>
              <w:rPr>
                <w:noProof/>
                <w:webHidden/>
              </w:rPr>
            </w:r>
            <w:r>
              <w:rPr>
                <w:noProof/>
                <w:webHidden/>
              </w:rPr>
              <w:fldChar w:fldCharType="separate"/>
            </w:r>
            <w:r>
              <w:rPr>
                <w:noProof/>
                <w:webHidden/>
              </w:rPr>
              <w:t>144</w:t>
            </w:r>
            <w:r>
              <w:rPr>
                <w:noProof/>
                <w:webHidden/>
              </w:rPr>
              <w:fldChar w:fldCharType="end"/>
            </w:r>
          </w:hyperlink>
        </w:p>
        <w:p w14:paraId="4394D686" w14:textId="77777777" w:rsidR="00D06B1C" w:rsidRDefault="00D06B1C">
          <w:pPr>
            <w:pStyle w:val="TOC2"/>
            <w:tabs>
              <w:tab w:val="right" w:leader="dot" w:pos="9350"/>
            </w:tabs>
            <w:rPr>
              <w:noProof/>
            </w:rPr>
          </w:pPr>
          <w:hyperlink w:anchor="_Toc233036226" w:history="1">
            <w:r w:rsidRPr="00B2700E">
              <w:rPr>
                <w:rStyle w:val="Hyperlink"/>
                <w:noProof/>
              </w:rPr>
              <w:t>Q.4 - « Le double paiement est insurmontable »</w:t>
            </w:r>
            <w:r>
              <w:rPr>
                <w:noProof/>
                <w:webHidden/>
              </w:rPr>
              <w:tab/>
            </w:r>
            <w:r>
              <w:rPr>
                <w:noProof/>
                <w:webHidden/>
              </w:rPr>
              <w:fldChar w:fldCharType="begin"/>
            </w:r>
            <w:r>
              <w:rPr>
                <w:noProof/>
                <w:webHidden/>
              </w:rPr>
              <w:instrText xml:space="preserve"> PAGEREF _Toc233036226 \h </w:instrText>
            </w:r>
            <w:r>
              <w:rPr>
                <w:noProof/>
                <w:webHidden/>
              </w:rPr>
            </w:r>
            <w:r>
              <w:rPr>
                <w:noProof/>
                <w:webHidden/>
              </w:rPr>
              <w:fldChar w:fldCharType="separate"/>
            </w:r>
            <w:r>
              <w:rPr>
                <w:noProof/>
                <w:webHidden/>
              </w:rPr>
              <w:t>145</w:t>
            </w:r>
            <w:r>
              <w:rPr>
                <w:noProof/>
                <w:webHidden/>
              </w:rPr>
              <w:fldChar w:fldCharType="end"/>
            </w:r>
          </w:hyperlink>
        </w:p>
        <w:p w14:paraId="3FF6B8F5" w14:textId="77777777" w:rsidR="00D06B1C" w:rsidRDefault="00D06B1C">
          <w:pPr>
            <w:pStyle w:val="TOC2"/>
            <w:tabs>
              <w:tab w:val="right" w:leader="dot" w:pos="9350"/>
            </w:tabs>
            <w:rPr>
              <w:noProof/>
            </w:rPr>
          </w:pPr>
          <w:hyperlink w:anchor="_Toc233036227" w:history="1">
            <w:r w:rsidRPr="00B2700E">
              <w:rPr>
                <w:rStyle w:val="Hyperlink"/>
                <w:noProof/>
              </w:rPr>
              <w:t>Q.5 - « On a déjà essayé : le PER, ça ne marche pas »</w:t>
            </w:r>
            <w:r>
              <w:rPr>
                <w:noProof/>
                <w:webHidden/>
              </w:rPr>
              <w:tab/>
            </w:r>
            <w:r>
              <w:rPr>
                <w:noProof/>
                <w:webHidden/>
              </w:rPr>
              <w:fldChar w:fldCharType="begin"/>
            </w:r>
            <w:r>
              <w:rPr>
                <w:noProof/>
                <w:webHidden/>
              </w:rPr>
              <w:instrText xml:space="preserve"> PAGEREF _Toc233036227 \h </w:instrText>
            </w:r>
            <w:r>
              <w:rPr>
                <w:noProof/>
                <w:webHidden/>
              </w:rPr>
            </w:r>
            <w:r>
              <w:rPr>
                <w:noProof/>
                <w:webHidden/>
              </w:rPr>
              <w:fldChar w:fldCharType="separate"/>
            </w:r>
            <w:r>
              <w:rPr>
                <w:noProof/>
                <w:webHidden/>
              </w:rPr>
              <w:t>147</w:t>
            </w:r>
            <w:r>
              <w:rPr>
                <w:noProof/>
                <w:webHidden/>
              </w:rPr>
              <w:fldChar w:fldCharType="end"/>
            </w:r>
          </w:hyperlink>
        </w:p>
        <w:p w14:paraId="77226684" w14:textId="77777777" w:rsidR="00D06B1C" w:rsidRDefault="00D06B1C">
          <w:pPr>
            <w:pStyle w:val="TOC2"/>
            <w:tabs>
              <w:tab w:val="right" w:leader="dot" w:pos="9350"/>
            </w:tabs>
            <w:rPr>
              <w:noProof/>
            </w:rPr>
          </w:pPr>
          <w:hyperlink w:anchor="_Toc233036228" w:history="1">
            <w:r w:rsidRPr="00B2700E">
              <w:rPr>
                <w:rStyle w:val="Hyperlink"/>
                <w:noProof/>
              </w:rPr>
              <w:t>Q.6 - « La France n’a pas la culture financière »</w:t>
            </w:r>
            <w:r>
              <w:rPr>
                <w:noProof/>
                <w:webHidden/>
              </w:rPr>
              <w:tab/>
            </w:r>
            <w:r>
              <w:rPr>
                <w:noProof/>
                <w:webHidden/>
              </w:rPr>
              <w:fldChar w:fldCharType="begin"/>
            </w:r>
            <w:r>
              <w:rPr>
                <w:noProof/>
                <w:webHidden/>
              </w:rPr>
              <w:instrText xml:space="preserve"> PAGEREF _Toc233036228 \h </w:instrText>
            </w:r>
            <w:r>
              <w:rPr>
                <w:noProof/>
                <w:webHidden/>
              </w:rPr>
            </w:r>
            <w:r>
              <w:rPr>
                <w:noProof/>
                <w:webHidden/>
              </w:rPr>
              <w:fldChar w:fldCharType="separate"/>
            </w:r>
            <w:r>
              <w:rPr>
                <w:noProof/>
                <w:webHidden/>
              </w:rPr>
              <w:t>148</w:t>
            </w:r>
            <w:r>
              <w:rPr>
                <w:noProof/>
                <w:webHidden/>
              </w:rPr>
              <w:fldChar w:fldCharType="end"/>
            </w:r>
          </w:hyperlink>
        </w:p>
        <w:p w14:paraId="7DC3DC25" w14:textId="77777777" w:rsidR="00D06B1C" w:rsidRDefault="00D06B1C">
          <w:pPr>
            <w:pStyle w:val="TOC2"/>
            <w:tabs>
              <w:tab w:val="right" w:leader="dot" w:pos="9350"/>
            </w:tabs>
            <w:rPr>
              <w:noProof/>
            </w:rPr>
          </w:pPr>
          <w:hyperlink w:anchor="_Toc233036229" w:history="1">
            <w:r w:rsidRPr="00B2700E">
              <w:rPr>
                <w:rStyle w:val="Hyperlink"/>
                <w:noProof/>
              </w:rPr>
              <w:t>Conclusion : la fenêtre est ouverte</w:t>
            </w:r>
            <w:r>
              <w:rPr>
                <w:noProof/>
                <w:webHidden/>
              </w:rPr>
              <w:tab/>
            </w:r>
            <w:r>
              <w:rPr>
                <w:noProof/>
                <w:webHidden/>
              </w:rPr>
              <w:fldChar w:fldCharType="begin"/>
            </w:r>
            <w:r>
              <w:rPr>
                <w:noProof/>
                <w:webHidden/>
              </w:rPr>
              <w:instrText xml:space="preserve"> PAGEREF _Toc233036229 \h </w:instrText>
            </w:r>
            <w:r>
              <w:rPr>
                <w:noProof/>
                <w:webHidden/>
              </w:rPr>
            </w:r>
            <w:r>
              <w:rPr>
                <w:noProof/>
                <w:webHidden/>
              </w:rPr>
              <w:fldChar w:fldCharType="separate"/>
            </w:r>
            <w:r>
              <w:rPr>
                <w:noProof/>
                <w:webHidden/>
              </w:rPr>
              <w:t>149</w:t>
            </w:r>
            <w:r>
              <w:rPr>
                <w:noProof/>
                <w:webHidden/>
              </w:rPr>
              <w:fldChar w:fldCharType="end"/>
            </w:r>
          </w:hyperlink>
        </w:p>
        <w:p w14:paraId="5DE183EE" w14:textId="77777777" w:rsidR="00BF0342" w:rsidRDefault="00000000">
          <w:r>
            <w:fldChar w:fldCharType="end"/>
          </w:r>
        </w:p>
      </w:sdtContent>
    </w:sdt>
    <w:p w14:paraId="5AE0C4C1" w14:textId="77777777" w:rsidR="00D06B1C" w:rsidRDefault="00D06B1C">
      <w:pPr>
        <w:rPr>
          <w:rFonts w:asciiTheme="majorHAnsi" w:eastAsiaTheme="majorEastAsia" w:hAnsiTheme="majorHAnsi" w:cstheme="majorBidi"/>
          <w:color w:val="0F4761" w:themeColor="accent1" w:themeShade="BF"/>
          <w:sz w:val="40"/>
          <w:szCs w:val="40"/>
        </w:rPr>
      </w:pPr>
      <w:bookmarkStart w:id="0" w:name="avant-propos"/>
      <w:bookmarkStart w:id="1" w:name="_Toc233036169"/>
      <w:r>
        <w:br w:type="page"/>
      </w:r>
    </w:p>
    <w:p w14:paraId="2F8F317B" w14:textId="7A77A423" w:rsidR="00BF0342" w:rsidRDefault="00000000">
      <w:pPr>
        <w:pStyle w:val="Heading1"/>
      </w:pPr>
      <w:r>
        <w:lastRenderedPageBreak/>
        <w:t>Avant-propos</w:t>
      </w:r>
      <w:bookmarkEnd w:id="1"/>
    </w:p>
    <w:p w14:paraId="236A045E" w14:textId="77777777" w:rsidR="00BF0342" w:rsidRDefault="00000000">
      <w:pPr>
        <w:pStyle w:val="FirstParagraph"/>
      </w:pPr>
      <w:r>
        <w:rPr>
          <w:i/>
          <w:iCs/>
        </w:rPr>
        <w:t>[À rédiger par l’auteur — version personnelle. Le contenu analytique d’origine (Le paradoxe Doliprane + les deux familles de pays) a été déplacé en ouverture de l’introduction le 30 mai 2026.]</w:t>
      </w:r>
    </w:p>
    <w:p w14:paraId="353644F8" w14:textId="77777777" w:rsidR="00BF0342" w:rsidRDefault="00000000">
      <w:pPr>
        <w:pStyle w:val="Heading1"/>
      </w:pPr>
      <w:bookmarkStart w:id="2" w:name="introduction"/>
      <w:bookmarkStart w:id="3" w:name="_Toc233036170"/>
      <w:bookmarkEnd w:id="0"/>
      <w:r>
        <w:t>Introduction</w:t>
      </w:r>
      <w:bookmarkEnd w:id="3"/>
    </w:p>
    <w:p w14:paraId="7E00A81F" w14:textId="77777777" w:rsidR="00BF0342" w:rsidRDefault="00000000">
      <w:pPr>
        <w:pStyle w:val="Heading2"/>
      </w:pPr>
      <w:bookmarkStart w:id="4" w:name="le-paradoxe-doliprane"/>
      <w:bookmarkStart w:id="5" w:name="_Toc233036171"/>
      <w:r>
        <w:t>Le paradoxe Doliprane</w:t>
      </w:r>
      <w:bookmarkEnd w:id="5"/>
    </w:p>
    <w:p w14:paraId="7A3E98C8" w14:textId="77777777" w:rsidR="00BF0342" w:rsidRDefault="00000000">
      <w:pPr>
        <w:pStyle w:val="FirstParagraph"/>
      </w:pPr>
      <w:r>
        <w:t>Octobre 2024. Sanofi annonce la cession du contrôle d’Opella, sa filiale santé grand public — celle qui fabrique le Doliprane, le médicament le plus consommé en France, quasi symbole national. L’acheteur s’appelle Clayton, Dubilier &amp; Rice, un fonds d’investissement américain, basé à New York. L’opération valorise Opella à environ seize milliards d’euros ; Sanofi en encaisse une dizaine pour les cinquante pour cent cédés. La France réalise que le médicament le plus consommé du pays vient de passer sous contrôle américain.</w:t>
      </w:r>
    </w:p>
    <w:p w14:paraId="4E7823AC" w14:textId="77777777" w:rsidR="00BF0342" w:rsidRDefault="00000000">
      <w:pPr>
        <w:pStyle w:val="BodyText"/>
      </w:pPr>
      <w:r>
        <w:t>L’émotion est immédiate : des pétitions circulent, des députés montent au créneau, à gauche comme à droite. Les ministres de l’Économie, Antoine Armand, et de l’Industrie, Marc Ferracci, négocient en urgence avec Sanofi et CD&amp;R un accord tripartite. La presse parle de symbole, de bradage industriel, d’« actif stratégique ». Pendant trois semaines, le Doliprane domine l’actualité économique — jusqu’au 21 octobre 2024, jour où Bercy obtient des garanties d’emploi, de production et de siège, et où Bpifrance entre au capital d’Opella à hauteur de 1,8 %, avec un siège au conseil d’administration</w:t>
      </w:r>
      <w:r>
        <w:rPr>
          <w:rStyle w:val="FootnoteReference"/>
        </w:rPr>
        <w:footnoteReference w:id="1"/>
      </w:r>
      <w:r>
        <w:t>. Puis le quotidien reprend ses droits.</w:t>
      </w:r>
    </w:p>
    <w:p w14:paraId="71FD506D" w14:textId="77777777" w:rsidR="00BF0342" w:rsidRDefault="00000000">
      <w:pPr>
        <w:pStyle w:val="BodyText"/>
      </w:pPr>
      <w:r>
        <w:t>L’épisode est emblématique pour deux raisons. La première : on assiste, en direct, au passage d’un actif industriel français sous contrôle d’un fonds étranger. Un produit que tout le monde connaît, un nom familier, fabriqué à Lisieux et à Compiègne. Et la deuxième : pendant que la France s’indigne, personne ne pose une question pourtant simple. Qui aurait pu acheter à la place ? Quel acteur français disposait, en octobre 2024, des dix milliards d’euros en propre pour reprendre les parts cédées par Sanofi sans recourir massivement à des capitaux étrangers ?</w:t>
      </w:r>
    </w:p>
    <w:p w14:paraId="1E0368B9" w14:textId="77777777" w:rsidR="00BF0342" w:rsidRDefault="00000000">
      <w:pPr>
        <w:pStyle w:val="BodyText"/>
      </w:pPr>
      <w:r>
        <w:t xml:space="preserve">Personne. Aucun investisseur français n’avait à cette date la capacité de mettre dix milliards d’euros sur la table pour un actif de cette taille. Et d’ailleurs personne ne l’a fait. Le plus gros gestionnaire français de capital-investissement, Ardian, gérait alors environ </w:t>
      </w:r>
      <w:r>
        <w:lastRenderedPageBreak/>
        <w:t>176 milliards de dollars au total — avec des centaines d’entreprises en portefeuille direct</w:t>
      </w:r>
      <w:r>
        <w:rPr>
          <w:rStyle w:val="FootnoteReference"/>
        </w:rPr>
        <w:footnoteReference w:id="2"/>
      </w:r>
      <w:r>
        <w:t xml:space="preserve">. Clayton, Dubilier &amp; Rice, lui, dispose d’une base d’investisseurs sans équivalent en France. Le fonds n’est pas lui-même un fonds de pension : c’est un gestionnaire de capital-investissement, qui lève l’argent qu’il déploie auprès d’investisseurs institutionnels — </w:t>
      </w:r>
      <w:r>
        <w:rPr>
          <w:i/>
          <w:iCs/>
        </w:rPr>
        <w:t>Limited Partners</w:t>
      </w:r>
      <w:r>
        <w:t xml:space="preserve">, dans le langage de l’industrie. Au premier rang de ces investisseurs, des fonds de pension publics américains. </w:t>
      </w:r>
      <w:r>
        <w:rPr>
          <w:i/>
          <w:iCs/>
        </w:rPr>
        <w:t>CalPERS</w:t>
      </w:r>
      <w:r>
        <w:t xml:space="preserve">, le régime des fonctionnaires de Californie et premier fonds public du pays avec plus de cinq cents milliards de dollars d’actifs, s’est engagé comme </w:t>
      </w:r>
      <w:r>
        <w:rPr>
          <w:i/>
          <w:iCs/>
        </w:rPr>
        <w:t>anchor investor</w:t>
      </w:r>
      <w:r>
        <w:t xml:space="preserve"> du fonds XI de CD&amp;R à hauteur de cinq cents millions de dollars</w:t>
      </w:r>
      <w:r>
        <w:rPr>
          <w:rStyle w:val="FootnoteReference"/>
        </w:rPr>
        <w:footnoteReference w:id="3"/>
      </w:r>
      <w:r>
        <w:t xml:space="preserve">. Ce sont, </w:t>
      </w:r>
      <w:r>
        <w:rPr>
          <w:i/>
          <w:iCs/>
        </w:rPr>
        <w:t>in fine</w:t>
      </w:r>
      <w:r>
        <w:t>, les retraites des fonctionnaires californiens qui rachètent une part du Doliprane.</w:t>
      </w:r>
    </w:p>
    <w:p w14:paraId="03D5561B" w14:textId="77777777" w:rsidR="00BF0342" w:rsidRDefault="00000000">
      <w:pPr>
        <w:pStyle w:val="BodyText"/>
      </w:pPr>
      <w:r>
        <w:t>C’est ici que se joue le paradoxe français.</w:t>
      </w:r>
    </w:p>
    <w:p w14:paraId="2A54F592" w14:textId="77777777" w:rsidR="00BF0342" w:rsidRDefault="00000000">
      <w:pPr>
        <w:pStyle w:val="BodyText"/>
      </w:pPr>
      <w:r>
        <w:t>D’un côté, nous détestons les fonds de pension. Le mot lui-même fait peur. Il sent l’anglo-saxon, le libéralisme débridé, le capitalisme financier déshumanisé. Quand un homme politique français évoque la capitalisation, même prudemment, il déclenche une levée de boucliers immédiate. Les syndicats parlent de marchandisation</w:t>
      </w:r>
      <w:r>
        <w:rPr>
          <w:rStyle w:val="FootnoteReference"/>
        </w:rPr>
        <w:footnoteReference w:id="4"/>
      </w:r>
      <w:r>
        <w:t>, certains économistes considèrent que les marchés financiers sont instables, la gauche dénonce une privatisation de la Sécurité sociale. Le sujet est explosif. La loi Thomas, votée en mars 1997, instaurant des plans d’épargne retraite, a été enterrée par le gouvernement Jospin avant d’être abrogée en 2002</w:t>
      </w:r>
      <w:r>
        <w:rPr>
          <w:rStyle w:val="FootnoteReference"/>
        </w:rPr>
        <w:footnoteReference w:id="5"/>
      </w:r>
      <w:r>
        <w:t>.</w:t>
      </w:r>
    </w:p>
    <w:p w14:paraId="185D9884" w14:textId="77777777" w:rsidR="00BF0342" w:rsidRDefault="00000000">
      <w:pPr>
        <w:pStyle w:val="BodyText"/>
      </w:pPr>
      <w:r>
        <w:t>Dans le même temps, nous détestons que des capitaux étrangers rachètent nos entreprises. Quand Heico, l’américain, s’empare d’Exxelia pour 453 millions d’euros, nous nous indignons</w:t>
      </w:r>
      <w:r>
        <w:rPr>
          <w:rStyle w:val="FootnoteReference"/>
        </w:rPr>
        <w:footnoteReference w:id="6"/>
      </w:r>
      <w:r>
        <w:t xml:space="preserve">. Quand Photonis - la pépite française des systèmes de vision nocturne </w:t>
      </w:r>
      <w:r>
        <w:lastRenderedPageBreak/>
        <w:t>pour les forces spéciales - manque d’être vendu à l’américain Teledyne, Bercy intervient en catastrophe et la cible est finalement reprise par un consortium français adossé à Bpifrance</w:t>
      </w:r>
      <w:r>
        <w:rPr>
          <w:rStyle w:val="FootnoteReference"/>
        </w:rPr>
        <w:footnoteReference w:id="7"/>
      </w:r>
      <w:r>
        <w:t>. Quand le moteur Vinci d’Ariane 6 quitte Vernon pour Lampoldshausen, nous parlons de trahison industrielle</w:t>
      </w:r>
      <w:r>
        <w:rPr>
          <w:rStyle w:val="FootnoteReference"/>
        </w:rPr>
        <w:footnoteReference w:id="8"/>
      </w:r>
      <w:r>
        <w:t>. Quand Lafarge fusionne avec Holcim, Alstom Énergie passe à General Electric, Technip s’unit à FMC, Doliprane bascule à Clayton, Dubilier &amp; Rice, nous pleurons dans les chaumières.</w:t>
      </w:r>
    </w:p>
    <w:p w14:paraId="59B0B573" w14:textId="77777777" w:rsidR="00BF0342" w:rsidRDefault="00000000">
      <w:pPr>
        <w:pStyle w:val="BodyText"/>
      </w:pPr>
      <w:r>
        <w:t>Nous voulons donc deux choses incompatibles. Nous voulons que nos entreprises restent françaises - leurs sièges, leurs brevets, leurs centres de décision. Et nous voulons interdire qu’existe en France l’instrument qui, dans tous les pays qui s’en sont dotés, fait précisément contrepoids aux capitaux étrangers. Nous voulons le résultat sans accepter l’outil. Nous reprochons aux fonds étrangers de faire ce que nous nous interdisons de faire.</w:t>
      </w:r>
    </w:p>
    <w:p w14:paraId="6B2DF123" w14:textId="77777777" w:rsidR="00BF0342" w:rsidRDefault="00000000">
      <w:pPr>
        <w:pStyle w:val="BodyText"/>
      </w:pPr>
      <w:r>
        <w:rPr>
          <w:b/>
          <w:bCs/>
          <w:highlight w:val="yellow"/>
          <w:u w:val="single"/>
        </w:rPr>
        <w:t>Ma volonté de sortir de ce paradoxe et de défendre la capitalisation comme outil de souveraineté</w:t>
      </w:r>
      <w:r>
        <w:t xml:space="preserve"> </w:t>
      </w:r>
      <w:r>
        <w:rPr>
          <w:b/>
          <w:bCs/>
          <w:highlight w:val="yellow"/>
          <w:u w:val="single"/>
        </w:rPr>
        <w:t>est le point de départ de ce livre.</w:t>
      </w:r>
    </w:p>
    <w:p w14:paraId="5C88CF4A" w14:textId="77777777" w:rsidR="00BF0342" w:rsidRDefault="00000000">
      <w:pPr>
        <w:pStyle w:val="BodyText"/>
      </w:pPr>
      <w:r>
        <w:t>Le deuxième point de départ, c’est le constat d’une injustice générationnelle au cœur de notre système de retraite.</w:t>
      </w:r>
    </w:p>
    <w:p w14:paraId="0785223A" w14:textId="77777777" w:rsidR="00BF0342" w:rsidRDefault="00000000">
      <w:pPr>
        <w:pStyle w:val="Heading2"/>
      </w:pPr>
      <w:bookmarkStart w:id="6" w:name="le-contrat-rompu"/>
      <w:bookmarkStart w:id="7" w:name="_Toc233036172"/>
      <w:bookmarkEnd w:id="4"/>
      <w:r>
        <w:t>Le contrat rompu</w:t>
      </w:r>
      <w:bookmarkEnd w:id="7"/>
    </w:p>
    <w:p w14:paraId="197EC478" w14:textId="77777777" w:rsidR="00BF0342" w:rsidRDefault="00000000">
      <w:pPr>
        <w:pStyle w:val="FirstParagraph"/>
      </w:pPr>
      <w:r>
        <w:t>Il existe dans le système actuel une injustice qu’on n’ose pas nommer, parce qu’elle n’oppose pas les riches aux pauvres, mais les générations entre elles.</w:t>
      </w:r>
    </w:p>
    <w:p w14:paraId="2F43E851" w14:textId="77777777" w:rsidR="00BF0342" w:rsidRDefault="00000000">
      <w:pPr>
        <w:pStyle w:val="BodyText"/>
      </w:pPr>
      <w:r>
        <w:t>Notre système de retraite repose sur un pari démographique : qu’il y ait toujours assez d’actifs pour payer les pensions des retraités. Ce pari, la France est en train de le perdre. En 1965, on comptait plus de quatre cotisants pour un retraité ; on en compte moins de deux aujourd’hui, et le Conseil d’orientation des retraites n’en projette guère plus d’un et demi en 2070</w:t>
      </w:r>
      <w:r>
        <w:rPr>
          <w:rStyle w:val="FootnoteReference"/>
        </w:rPr>
        <w:footnoteReference w:id="9"/>
      </w:r>
      <w:r>
        <w:t>. En 2025, pour la première fois depuis la fin de la Seconde Guerre mondiale, la France a enregistré plus de décès que de naissances</w:t>
      </w:r>
      <w:r>
        <w:rPr>
          <w:rStyle w:val="FootnoteReference"/>
        </w:rPr>
        <w:footnoteReference w:id="10"/>
      </w:r>
      <w:r>
        <w:t>. La pyramide des âges qui portait le système s’est retournée - et rien, à horizon prévisible, ne la remettra à l’endroit.</w:t>
      </w:r>
    </w:p>
    <w:p w14:paraId="5B343228" w14:textId="77777777" w:rsidR="00BF0342" w:rsidRDefault="00000000">
      <w:pPr>
        <w:pStyle w:val="BodyText"/>
      </w:pPr>
      <w:r>
        <w:lastRenderedPageBreak/>
        <w:t>Mécaniquement, c’est aux jeunes générations qu’on présente l’addition : cotiser plus longtemps, à un taux plus élevé, pour une pension proportionnellement plus faible que celle de leurs parents. Et elles le sentent. Soixante-seize pour cent des actifs déclarent aujourd’hui avoir le sentiment de cotiser pour un système dont ils ne bénéficieront jamais</w:t>
      </w:r>
      <w:r>
        <w:rPr>
          <w:rStyle w:val="FootnoteReference"/>
        </w:rPr>
        <w:footnoteReference w:id="11"/>
      </w:r>
      <w:r>
        <w:t>. Ce sentiment a même trouvé, sur les réseaux sociaux, une figure devenue virale en 2025 - « Nicolas qui paie », le trentenaire qui travaille et finance un système dont il doute de jamais profiter. On peut trouver l’image caricaturale, et certains s’en sont emparés à des fins qui ne sont pas les nôtres ; il reste qu’elle traduit une exaspération réelle. Le diagnostic a d’ailleurs fini par gagner le sommet de l’État : « les premières victimes, ce sont les plus jeunes des Français », reconnaissait le Premier ministre François Bayrou au journal de 20 heures, le 27 août 2025 ; « c’est eux qui devront payer la dette pendant toute leur vie […], pour le confort des “boomers” »</w:t>
      </w:r>
      <w:r>
        <w:rPr>
          <w:rStyle w:val="FootnoteReference"/>
        </w:rPr>
        <w:footnoteReference w:id="12"/>
      </w:r>
      <w:r>
        <w:t>.</w:t>
      </w:r>
    </w:p>
    <w:p w14:paraId="7C75145A" w14:textId="77777777" w:rsidR="00BF0342" w:rsidRDefault="00000000">
      <w:pPr>
        <w:pStyle w:val="BodyText"/>
      </w:pPr>
      <w:r>
        <w:t>S’y ajoute la dette. Chaque année, l’État emprunte des dizaines de milliards d’euros pour combler le déficit caché du système</w:t>
      </w:r>
      <w:r>
        <w:rPr>
          <w:rStyle w:val="FootnoteReference"/>
        </w:rPr>
        <w:footnoteReference w:id="13"/>
      </w:r>
      <w:r>
        <w:t xml:space="preserve"> - une facture qui sera réglée par ceux qui n’avaient pas l’âge de voter, ou pas celui de cotiser, quand les paramètres ont été décidés. On a transféré la note à ceux qui n’en sont pas responsables. C’est cette injustice silencieuse, autant que la question du capital, qui traverse ce livre de bout en bout.</w:t>
      </w:r>
    </w:p>
    <w:p w14:paraId="329AA926" w14:textId="77777777" w:rsidR="00BF0342" w:rsidRDefault="00000000">
      <w:pPr>
        <w:pStyle w:val="Heading2"/>
      </w:pPr>
      <w:bookmarkStart w:id="8" w:name="deux-familles-de-pays"/>
      <w:bookmarkStart w:id="9" w:name="_Toc233036173"/>
      <w:bookmarkEnd w:id="6"/>
      <w:r>
        <w:t>Deux familles de pays</w:t>
      </w:r>
      <w:bookmarkEnd w:id="9"/>
    </w:p>
    <w:p w14:paraId="7257D238" w14:textId="77777777" w:rsidR="00BF0342" w:rsidRDefault="00000000">
      <w:pPr>
        <w:pStyle w:val="FirstParagraph"/>
      </w:pPr>
      <w:r>
        <w:t>Il existe, dans le monde occidental, deux grandes familles de pays. Ceux qui ont des fonds de pension, et ceux qui n’en ont pas. La France appartient, avec l’Italie et l’Allemagne, à la deuxième catégorie — un trio singulier parmi les grandes économies développées. Les Norvégiens dépassent 280 % une fois inclus leur fonds souverain de retraite (GPFG). La Suisse atteint 165 % de son produit intérieur brut, le Canada 158 %, les Pays-Bas 150 %, les États-Unis 147 %, l'Australie 135 %, la Suède 115 %. Les Britanniques tournent autour de 78 %. La France, elle, plafonne à 13 % — à peu près au même niveau que l’Italie (12 %) et l’Allemagne (6 %)</w:t>
      </w:r>
      <w:r>
        <w:rPr>
          <w:rStyle w:val="FootnoteReference"/>
        </w:rPr>
        <w:footnoteReference w:id="14"/>
      </w:r>
      <w:r>
        <w:t>.</w:t>
      </w:r>
    </w:p>
    <w:p w14:paraId="2E28B01F" w14:textId="77777777" w:rsidR="00BF0342" w:rsidRDefault="00000000">
      <w:pPr>
        <w:pStyle w:val="BodyText"/>
      </w:pPr>
      <w:r>
        <w:lastRenderedPageBreak/>
        <w:t>Mais le fonds de pension n’est que le véhicule. Derrière lui, il y a un mécanisme : la capitalisation. Là où la France finance ses pensions par la seule répartition - les cotisations d’aujourd’hui payant les retraites d’aujourd’hui -, ces pays ont ajouté un second moteur : des cotisations investies dans des actifs productifs, qui fructifient pendant trente ou quarante ans avant de servir une pension. Les fonds de pension sont le réservoir où s’accumule ce capital ; la capitalisation est le mécanisme qui le remplit. Et c’est elle, la capitalisation - bien plus que les fonds de pension, qui n’en sont que l’instrument -, qui est au cœur de ce livre.</w:t>
      </w:r>
    </w:p>
    <w:p w14:paraId="69F95FD0" w14:textId="77777777" w:rsidR="00BF0342" w:rsidRDefault="00000000">
      <w:pPr>
        <w:pStyle w:val="BodyText"/>
      </w:pPr>
      <w:r>
        <w:t>Graphique sur les actifs privés de retraite en % du PIB au sein de l’OCDE.</w:t>
      </w:r>
    </w:p>
    <w:p w14:paraId="1EDDA481" w14:textId="77777777" w:rsidR="00BF0342" w:rsidRDefault="00000000">
      <w:pPr>
        <w:pStyle w:val="BodyText"/>
      </w:pPr>
      <w:r>
        <w:t>Cet écart d'échelle structure une économie entière. Il détermine qui détient les entreprises cotées, qui finance les startups, qui rachète les ETI familiales lorsque leur fondateur part à la retraite, quel niveau de pension touchent les retraités, à quelle profondeur de marché s’échangent les actions, et - au bout du compte - où s’accumule le capital long terme qui permet aux pays de rester propriétaire de lui-même.</w:t>
      </w:r>
    </w:p>
    <w:p w14:paraId="37FC9898" w14:textId="77777777" w:rsidR="00BF0342" w:rsidRDefault="00000000">
      <w:pPr>
        <w:pStyle w:val="BodyText"/>
      </w:pPr>
      <w:r>
        <w:t>Pendant trente ans, la France s’est protégée derrière un récit : la capitalisation serait inégalitaire, risquée, étrangère à notre culture de la solidarité, contraire à l’esprit de 1945. Ce récit a tenu jusqu’aujourd’hui. Il est en train de se fissurer, parce que les conséquences concrètes du choix français deviennent, année après année, trop coûteuses pour être ignorées. Il est désormais temps d’avancer.</w:t>
      </w:r>
    </w:p>
    <w:p w14:paraId="7076CDBE" w14:textId="77777777" w:rsidR="00BF0342" w:rsidRDefault="00000000">
      <w:pPr>
        <w:pStyle w:val="BodyText"/>
      </w:pPr>
      <w:r>
        <w:t>Que la France se dote, ou non, d’un pilier capitalisé sera, in fine, un choix politique. Et sur ce choix, contrairement à une idée reçue, les Français ne sont pas là où on les croit.</w:t>
      </w:r>
    </w:p>
    <w:p w14:paraId="18BFD9A7" w14:textId="77777777" w:rsidR="00BF0342" w:rsidRDefault="00000000">
      <w:pPr>
        <w:pStyle w:val="Heading2"/>
      </w:pPr>
      <w:bookmarkStart w:id="10" w:name="les-français-sont-prêts"/>
      <w:bookmarkStart w:id="11" w:name="_Toc233036174"/>
      <w:bookmarkEnd w:id="8"/>
      <w:r>
        <w:t>Les Français sont prêts</w:t>
      </w:r>
      <w:bookmarkEnd w:id="11"/>
    </w:p>
    <w:p w14:paraId="130D973D" w14:textId="77777777" w:rsidR="00BF0342" w:rsidRDefault="00000000">
      <w:pPr>
        <w:pStyle w:val="FirstParagraph"/>
      </w:pPr>
      <w:r>
        <w:t>Avant d’ouvrir le dossier, une remarque préalable. Le débat sur la capitalisation en France est un débat de classe politique, pas un débat d’opinion publique. Les sondages publiés en 2024, 2025 et début 2026 — dont aucun n’a été commandé par les promoteurs d’une réforme — convergent vers une conclusion que peu de commentateurs ont relevée : l’opinion française est mûre pour un système mixte mêlant répartition et capitalisation.</w:t>
      </w:r>
    </w:p>
    <w:p w14:paraId="0B6FC226" w14:textId="77777777" w:rsidR="00BF0342" w:rsidRDefault="00000000">
      <w:pPr>
        <w:pStyle w:val="BodyText"/>
      </w:pPr>
      <w:r>
        <w:lastRenderedPageBreak/>
        <w:t>Le baromètre Odoxa-Groupama publié en novembre 2025, mené sur plus de cinq mille répondants — l’un des plus grands échantillons jamais constitués sur cette question —, mesure que 57 % des Français se déclarent favorables à un système mixte combinant répartition et capitalisation</w:t>
      </w:r>
      <w:r>
        <w:rPr>
          <w:rStyle w:val="FootnoteReference"/>
        </w:rPr>
        <w:footnoteReference w:id="15"/>
      </w:r>
      <w:r>
        <w:t>. Vingt-deux pour cent se prononcent même pour un système exclusivement capitalisé. À peine vingt pour cent défendent la répartition pure. Le rapport entre les deux modèles extrêmes s’est inversé : pour la première fois depuis qu’on les mesure, la capitalisation seule dépasse la répartition seule dans les déclarations d’opinion.</w:t>
      </w:r>
    </w:p>
    <w:p w14:paraId="5977EE1D" w14:textId="77777777" w:rsidR="00BF0342" w:rsidRDefault="00000000">
      <w:pPr>
        <w:pStyle w:val="BodyText"/>
      </w:pPr>
      <w:r>
        <w:t>Ce résultat n’est pas un accident statistique. L’enquête Elabe-BFMTV de février 2025 trouve, sur une question légèrement différente, 59 % de Français favorables à un modèle où la répartition reste majoritaire mais où une dose de capitalisation s’ajoute, contre 40 % attachés à la répartition exclusive</w:t>
      </w:r>
      <w:r>
        <w:rPr>
          <w:rStyle w:val="FootnoteReference"/>
        </w:rPr>
        <w:footnoteReference w:id="16"/>
      </w:r>
      <w:r>
        <w:t>. La donnée est transpartisane : même 47 % des électeurs déclarés du Nouveau Front populaire approuvent l’ajout d’une dose de capitalisation. L’enquête Ipsos pour le Cercle des épargnants publiée en janvier 2025 mesure 55 % de Français favorables aux fonds de pension — soit neuf points de plus qu’en 2017 — et 78 % d’inquiets pour l’avenir de leur retraite</w:t>
      </w:r>
      <w:r>
        <w:rPr>
          <w:rStyle w:val="FootnoteReference"/>
        </w:rPr>
        <w:footnoteReference w:id="17"/>
      </w:r>
      <w:r>
        <w:t>. Le sondage OpinionWay pour Finary de janvier 2026, sur deux mille cinq cents répondants, complète le tableau : 87 % des Français se disent inquiets pour l’avenir des retraites en France</w:t>
      </w:r>
      <w:r>
        <w:rPr>
          <w:rStyle w:val="FootnoteReference"/>
        </w:rPr>
        <w:footnoteReference w:id="18"/>
      </w:r>
      <w:r>
        <w:t>. Le baromètre AMF d’octobre 2024 confirme l’arrière-plan d’anxiété : 58 % des Français se déclarent inquiets pour leur retraite, taux qui monte à 66 % chez les non-retraités</w:t>
      </w:r>
      <w:r>
        <w:rPr>
          <w:rStyle w:val="FootnoteReference"/>
        </w:rPr>
        <w:footnoteReference w:id="19"/>
      </w:r>
      <w:r>
        <w:t>.</w:t>
      </w:r>
    </w:p>
    <w:p w14:paraId="68F6C538" w14:textId="77777777" w:rsidR="00BF0342" w:rsidRDefault="00000000">
      <w:pPr>
        <w:pStyle w:val="BodyText"/>
      </w:pPr>
      <w:r>
        <w:t xml:space="preserve">Cette convergence d’instruments différents — commanditaires différents, instituts différents, échantillons différents — n’est pas anecdotique. Elle dit, en données, ce que l’on entend de plus en plus souvent dans les conversations privées : la conviction française que la répartition seule peut tenir éternellement est en train de s’effriter. Le grand renversement n’est pas politique. Il est démographique d’abord, et générationnel </w:t>
      </w:r>
      <w:r>
        <w:lastRenderedPageBreak/>
        <w:t>ensuite. Les actifs nés après 1980 ne croient plus, dans leur majorité, que le système leur servira la pension promise. Ils n’attendent plus de la classe politique qu’elle défende l’existant. Ils attendent qu’elle propose autre chose.</w:t>
      </w:r>
    </w:p>
    <w:p w14:paraId="5DF8EAC1" w14:textId="77777777" w:rsidR="00BF0342" w:rsidRDefault="00000000">
      <w:pPr>
        <w:pStyle w:val="BodyText"/>
      </w:pPr>
      <w:r>
        <w:t>Cette autre chose porte un nom. C’est l’objet de ce livre.</w:t>
      </w:r>
    </w:p>
    <w:p w14:paraId="3152E028" w14:textId="77777777" w:rsidR="00BF0342" w:rsidRDefault="00000000">
      <w:pPr>
        <w:pStyle w:val="Heading2"/>
      </w:pPr>
      <w:bookmarkStart w:id="12" w:name="Xeb0da6155484f37798c6f35fb091f2c4461bfec"/>
      <w:bookmarkStart w:id="13" w:name="_Toc233036175"/>
      <w:bookmarkEnd w:id="10"/>
      <w:r>
        <w:t>La capitalisation existe déjà chez nous : le RAFP</w:t>
      </w:r>
      <w:bookmarkEnd w:id="13"/>
    </w:p>
    <w:p w14:paraId="536E238A" w14:textId="77777777" w:rsidR="00BF0342" w:rsidRDefault="00000000">
      <w:pPr>
        <w:pStyle w:val="FirstParagraph"/>
      </w:pPr>
      <w:r>
        <w:t>Avant d’attaquer le diagnostic, une seconde évidence mérite d’être posée. Le débat français sur la capitalisation se déroule, depuis trente ans, comme si l’on parlait d’une infrastructure hypothétique, à instituer, à expérimenter, à essuyer les plâtres. Or il existe en France, depuis le 1ᵉʳ janvier 2005, un régime obligatoire de retraite par capitalisation qui couvre près de 4,5 millions de cotisants, gère près de 48 milliards d’euros d’encours et rapporte, depuis sa création, un taux de rendement interne annualisé de 4,3 %</w:t>
      </w:r>
      <w:r>
        <w:rPr>
          <w:rStyle w:val="FootnoteReference"/>
        </w:rPr>
        <w:footnoteReference w:id="20"/>
      </w:r>
      <w:r>
        <w:t>. Ce régime s’appelle le RAFP — Régime additionnel de la fonction publique. Et le législateur a soigneusement évité de l’appeler par son nom.</w:t>
      </w:r>
    </w:p>
    <w:p w14:paraId="43564A23" w14:textId="77777777" w:rsidR="00BF0342" w:rsidRDefault="00000000">
      <w:pPr>
        <w:pStyle w:val="BodyText"/>
      </w:pPr>
      <w:r>
        <w:t>Le RAFP a été institué par l’article 76 de la loi du 21 août 2003 portant réforme des retraites, dite « loi Fillon »</w:t>
      </w:r>
      <w:r>
        <w:rPr>
          <w:rStyle w:val="FootnoteReference"/>
        </w:rPr>
        <w:footnoteReference w:id="21"/>
      </w:r>
      <w:r>
        <w:t>, et opérationnel à compter du décret d’application du 18 juin 2004</w:t>
      </w:r>
      <w:r>
        <w:rPr>
          <w:rStyle w:val="FootnoteReference"/>
        </w:rPr>
        <w:footnoteReference w:id="22"/>
      </w:r>
      <w:r>
        <w:t>. Il couvre les fonctionnaires titulaires et stagiaires des trois fonctions publiques — État, territoriale, hospitalière —, les militaires et les magistrats. Sa gestion est confiée à l’Établissement de retraite additionnelle de la fonction publique (ERAFP), dont la Caisse des dépôts et consignations assure la gestion administrative et financière. La mécanique est exactement celle d’un fonds de pension à cotisations définies : le fonctionnaire et son employeur cotisent chacun 5 % sur les primes plafonnées à 20 % du traitement indiciaire, les cotisations sont converties en points, et la pension à la liquidation correspond au cumul de points multiplié par la valeur de service du point</w:t>
      </w:r>
      <w:r>
        <w:rPr>
          <w:rStyle w:val="FootnoteReference"/>
        </w:rPr>
        <w:footnoteReference w:id="23"/>
      </w:r>
      <w:r>
        <w:t>. Au 31 décembre 2024, l’encours du régime atteint 47,8 milliards d’euros, avec un taux de rendement interne annualisé de 4,3 % depuis sa création, une allocation d’actifs diversifiée — environ 58 % obligations, 20 % actions, 10 % capital-investissement et infrastructures, 9 % immobilier, le reste en liquidités — et un ratio de couverture des engagements de 117,3 % en valeur comptable et 135,8 % en valeur économique</w:t>
      </w:r>
      <w:r>
        <w:rPr>
          <w:rStyle w:val="FootnoteReference"/>
        </w:rPr>
        <w:footnoteReference w:id="24"/>
      </w:r>
      <w:r>
        <w:t xml:space="preserve">. Autrement dit, le fonds a en réserve plus que ce qu’il doit à terme à ses affiliés. C’est la définition même de la solvabilité d’un fonds </w:t>
      </w:r>
      <w:r>
        <w:lastRenderedPageBreak/>
        <w:t>de pension à cotisations définies, et c’est exactement ce que le régime général par répartition ne sait pas faire, faute de constituer la moindre provision.</w:t>
      </w:r>
    </w:p>
    <w:p w14:paraId="6066F4DC" w14:textId="77777777" w:rsidR="00BF0342" w:rsidRDefault="00000000">
      <w:pPr>
        <w:pStyle w:val="BodyText"/>
      </w:pPr>
      <w:r>
        <w:t xml:space="preserve">Voilà ce qui est. Voilà ce qui fonctionne. Et voilà comment le législateur l’a baptisé : « régime public de retraite additionnel obligatoire, </w:t>
      </w:r>
      <w:r>
        <w:rPr>
          <w:b/>
          <w:bCs/>
        </w:rPr>
        <w:t>par répartition provisionnée</w:t>
      </w:r>
      <w:r>
        <w:t xml:space="preserve"> et par points […]</w:t>
      </w:r>
      <w:r>
        <w:rPr>
          <w:rStyle w:val="FootnoteReference"/>
        </w:rPr>
        <w:footnoteReference w:id="25"/>
      </w:r>
      <w:r>
        <w:t xml:space="preserve"> ». Pas « par capitalisation ». Pourquoi cette précaution sémantique ? Parce qu’en 2003, le mot « capitalisation », pourtant techniquement exact, était politiquement intransportable. Le législateur a donc inventé une formule de compromis qui dit, en langue diplomatique, ce qu’elle ne veut pas dire en langue courante. Comme l’écrivait Philippe François en 2015 dans une étude de la Fondation IFRAP : « une expression alambiquée pour ne pas l’appeler un régime de capitalisation</w:t>
      </w:r>
      <w:r>
        <w:rPr>
          <w:rStyle w:val="FootnoteReference"/>
        </w:rPr>
        <w:footnoteReference w:id="26"/>
      </w:r>
      <w:r>
        <w:t xml:space="preserve"> ». Une fiche du Conseil d’orientation des retraites de juillet 2024 confirme la qualification fonctionnelle : le RAFP « est géré en capitalisation puisque la réglementation prévoit la couverture de la totalité des engagements</w:t>
      </w:r>
      <w:r>
        <w:rPr>
          <w:rStyle w:val="FootnoteReference"/>
        </w:rPr>
        <w:footnoteReference w:id="27"/>
      </w:r>
      <w:r>
        <w:t xml:space="preserve"> ».</w:t>
      </w:r>
    </w:p>
    <w:p w14:paraId="68CC7516" w14:textId="77777777" w:rsidR="00BF0342" w:rsidRDefault="00000000">
      <w:pPr>
        <w:pStyle w:val="BodyText"/>
      </w:pPr>
      <w:r>
        <w:t>La France a donc un fonds de pension obligatoire pour ses fonctionnaires. Elle refuse seulement d’écrire ce mot dans la loi. Bertrand Martinot, dans une étude pour la Fondation pour l’innovation politique publiée en mars 2025, propose explicitement que l’extension future de la capitalisation aux salariés du privé prenne la forme d’une « caisse spécifique fonctionnant par capitalisation sur le modèle de l’établissement pour la retraite additionnelle de la fonction publique (ERAFP), qui gère déjà les pensions additionnelles assises sur les primes des fonctionnaires</w:t>
      </w:r>
      <w:r>
        <w:rPr>
          <w:rStyle w:val="FootnoteReference"/>
        </w:rPr>
        <w:footnoteReference w:id="28"/>
      </w:r>
      <w:r>
        <w:t xml:space="preserve"> ». L’infrastructure publique existe. La gouvernance existe. Le savoir-faire de gestion existe. La preuve par vingt ans de chiffres existe. Il manque seulement la décision politique de l’élargir.</w:t>
      </w:r>
    </w:p>
    <w:p w14:paraId="06B4ACAE" w14:textId="77777777" w:rsidR="00BF0342" w:rsidRDefault="00000000">
      <w:pPr>
        <w:pStyle w:val="BodyText"/>
      </w:pPr>
      <w:r>
        <w:t>L’asymétrie qui en résulte est, du point de vue de la cohérence, difficile à défendre. Quatre millions et demi de fonctionnaires français bénéficient depuis 2005 d’un régime de retraite obligatoire à cotisations définies dont l’encours, par cotisant, dépasse dix mille euros et qui a rapporté 4,3 % par an pendant vingt ans</w:t>
      </w:r>
      <w:r>
        <w:rPr>
          <w:rStyle w:val="FootnoteReference"/>
        </w:rPr>
        <w:footnoteReference w:id="29"/>
      </w:r>
      <w:r>
        <w:t>. Plus de vingt millions de salariés du secteur privé n’ont rien d’équivalent — seulement le plan d’épargne retraite, dispositif volontaire et individuel qui sert d’abord d’optimisation fiscale aux foyers les plus aisés</w:t>
      </w:r>
      <w:r>
        <w:rPr>
          <w:rStyle w:val="FootnoteReference"/>
        </w:rPr>
        <w:footnoteReference w:id="30"/>
      </w:r>
      <w:r>
        <w:t xml:space="preserve">. </w:t>
      </w:r>
      <w:r>
        <w:lastRenderedPageBreak/>
        <w:t>Ce qui est jugé acceptable pour les agents publics est refusé aux salariés du privé. Ce qui marche pour quatre millions de personnes depuis vingt ans est interdit pour vingt millions. C’est une rupture d’égalité de fait, justifiée par une rupture d’égalité de mot. Vingt ans après sa création, le RAFP reste l’angle mort du débat français : il existe, il fonctionne, il prouve, mais il ne se dit pas. La démonstration qui suit, en quatre parties, part de là.</w:t>
      </w:r>
    </w:p>
    <w:p w14:paraId="5C5140F6" w14:textId="77777777" w:rsidR="00BF0342" w:rsidRDefault="00000000">
      <w:pPr>
        <w:pStyle w:val="Heading2"/>
      </w:pPr>
      <w:bookmarkStart w:id="14" w:name="la-grande-illusion"/>
      <w:bookmarkStart w:id="15" w:name="_Toc233036176"/>
      <w:bookmarkEnd w:id="12"/>
      <w:r>
        <w:t>La grande illusion</w:t>
      </w:r>
      <w:bookmarkEnd w:id="15"/>
    </w:p>
    <w:p w14:paraId="34360E96" w14:textId="77777777" w:rsidR="00BF0342" w:rsidRDefault="00000000">
      <w:pPr>
        <w:pStyle w:val="FirstParagraph"/>
      </w:pPr>
      <w:r>
        <w:t>Reste la question la plus dérangeante. Comment un pays qui consacre près de 14 % de son produit intérieur brut aux pensions de retraite</w:t>
      </w:r>
      <w:r>
        <w:rPr>
          <w:rStyle w:val="FootnoteReference"/>
        </w:rPr>
        <w:footnoteReference w:id="31"/>
      </w:r>
      <w:r>
        <w:t xml:space="preserve"> peut-il servir des pensions plus faibles que des pays dont l’État dépense moins de la moitié</w:t>
      </w:r>
      <w:r>
        <w:rPr>
          <w:rStyle w:val="FootnoteReference"/>
        </w:rPr>
        <w:footnoteReference w:id="32"/>
      </w:r>
      <w:r>
        <w:t>, pour un effort de cotisation comparable ? Autant d’efforts collectifs, autant d’efforts individuels - mais des pensions plus basses, et un capital national qui glisse chaque année un peu plus sous pavillon étranger.</w:t>
      </w:r>
    </w:p>
    <w:p w14:paraId="18DA5594" w14:textId="77777777" w:rsidR="00BF0342" w:rsidRDefault="00000000">
      <w:pPr>
        <w:pStyle w:val="BodyText"/>
      </w:pPr>
      <w:r>
        <w:t>La réponse tient en un mot : répartition. Un système où les cotisations d’aujourd’hui paient les pensions d’aujourd’hui, sans que rien ne s’accumule ni ne fructifie. Tant que la démographie le portait, il a tenu ; elle ne le porte plus. C’est cette illusion - croire qu’on peut indéfiniment financer des retraites avec les seules cotisations courantes d’une population qui vieillit - que ce livre entreprend de lever.</w:t>
      </w:r>
    </w:p>
    <w:p w14:paraId="0B11D461" w14:textId="77777777" w:rsidR="00BF0342" w:rsidRDefault="00000000">
      <w:pPr>
        <w:pStyle w:val="Heading2"/>
      </w:pPr>
      <w:bookmarkStart w:id="16" w:name="lobjectif-du-livre"/>
      <w:bookmarkStart w:id="17" w:name="_Toc233036177"/>
      <w:bookmarkEnd w:id="14"/>
      <w:r>
        <w:t>L’objectif du livre</w:t>
      </w:r>
      <w:bookmarkEnd w:id="17"/>
    </w:p>
    <w:p w14:paraId="460D36E6" w14:textId="77777777" w:rsidR="00BF0342" w:rsidRDefault="00000000">
      <w:pPr>
        <w:pStyle w:val="FirstParagraph"/>
      </w:pPr>
      <w:r>
        <w:t>Ce livre démontre une seule thèse : la France n’a pas un problème d’épargne, elle a un problème d’architecture. Le patrimoine financier des ménages français dépasse six mille milliards d’euros</w:t>
      </w:r>
      <w:r>
        <w:rPr>
          <w:rStyle w:val="FootnoteReference"/>
        </w:rPr>
        <w:footnoteReference w:id="33"/>
      </w:r>
      <w:r>
        <w:t>. Mais il dort, en très grande majorité, dans des produits administrés dont le rendement reste faible au regard des actifs productifs sur longue période</w:t>
      </w:r>
      <w:r>
        <w:rPr>
          <w:rStyle w:val="FootnoteReference"/>
        </w:rPr>
        <w:footnoteReference w:id="34"/>
      </w:r>
      <w:r>
        <w:t xml:space="preserve">, sans canalisation vers le capital productif national. Le résultat se mesure : pensions plus faibles que celles de nos voisins pour un effort de cotisation comparable, dépense publique de </w:t>
      </w:r>
      <w:r>
        <w:lastRenderedPageBreak/>
        <w:t>retraite hors norme, et meilleures entreprises qui basculent une à une sous pavillon étranger.</w:t>
      </w:r>
    </w:p>
    <w:p w14:paraId="03FFEF19" w14:textId="77777777" w:rsidR="00BF0342" w:rsidRDefault="00000000">
      <w:pPr>
        <w:pStyle w:val="BodyText"/>
      </w:pPr>
      <w:r>
        <w:t>Cette architecture peut être construite. Elle a été construite ailleurs. Elle a même été construite en France, mais pour quatre millions et demi de fonctionnaires seulement, à bas bruit, sous un nom de compromis. Et chaque année passée à ne pas l’étendre est une année de capital national qui s’évapore, de pension future qui se réduit, et de souveraineté économique qui s’use.</w:t>
      </w:r>
    </w:p>
    <w:p w14:paraId="0C8447E2" w14:textId="77777777" w:rsidR="00BF0342" w:rsidRDefault="00000000">
      <w:pPr>
        <w:pStyle w:val="Heading2"/>
      </w:pPr>
      <w:bookmarkStart w:id="18" w:name="plan-de-louvrage"/>
      <w:bookmarkStart w:id="19" w:name="_Toc233036178"/>
      <w:bookmarkEnd w:id="16"/>
      <w:r>
        <w:t>Plan de l’ouvrage</w:t>
      </w:r>
      <w:bookmarkEnd w:id="19"/>
    </w:p>
    <w:p w14:paraId="49C66C9D" w14:textId="77777777" w:rsidR="00BF0342" w:rsidRDefault="00000000">
      <w:pPr>
        <w:pStyle w:val="FirstParagraph"/>
      </w:pPr>
      <w:r>
        <w:t xml:space="preserve">Ce livre se déroule en </w:t>
      </w:r>
      <w:r>
        <w:rPr>
          <w:b/>
          <w:bCs/>
        </w:rPr>
        <w:t>quatre parties</w:t>
      </w:r>
      <w:r>
        <w:t>, qui s’articulent comme une seule démonstration.</w:t>
      </w:r>
    </w:p>
    <w:p w14:paraId="5C418FC3" w14:textId="77777777" w:rsidR="00BF0342" w:rsidRDefault="00000000">
      <w:pPr>
        <w:pStyle w:val="BodyText"/>
      </w:pPr>
      <w:r>
        <w:rPr>
          <w:b/>
          <w:bCs/>
        </w:rPr>
        <w:t>La première partie</w:t>
      </w:r>
      <w:r>
        <w:t xml:space="preserve"> établit le diagnostic. Elle montre que le système de retraite français, en répartition pure, est dans une impasse — démographie qui se retourne, ratio cotisants-retraités qui s’effondre, déficit chronique projeté par le Conseil d’orientation des retraites jusqu’en 2070</w:t>
      </w:r>
      <w:r>
        <w:rPr>
          <w:rStyle w:val="FootnoteReference"/>
        </w:rPr>
        <w:footnoteReference w:id="35"/>
      </w:r>
      <w:r>
        <w:t>. Elle constate l’épuisement politique des réformes paramétriques, qui repoussent l’âge et relèvent les cotisations sans jamais traiter la cause. Et elle nomme l’injustice qui s’accumule : une génération qui cotise davantage pour une pension qu’on lui annonce plus faible, pendant qu’elle peine déjà à se loger. Un système à bout de souffle.</w:t>
      </w:r>
    </w:p>
    <w:p w14:paraId="5A3505AD" w14:textId="77777777" w:rsidR="00BF0342" w:rsidRDefault="00000000">
      <w:pPr>
        <w:pStyle w:val="BodyText"/>
      </w:pPr>
      <w:r>
        <w:rPr>
          <w:b/>
          <w:bCs/>
        </w:rPr>
        <w:t>La deuxième partie</w:t>
      </w:r>
      <w:r>
        <w:t xml:space="preserve"> explique la capitalisation. Simplement, sans jargon : ce qu’est concrètement un euro capitalisé, ce que la capitalisation n’est pas — ni le casino, ni la fin de la solidarité —, et la preuve qu’elle fonctionne déjà chez nous, à travers le RAFP des fonctionnaires. Elle montre alors, sur un cas-type chiffré, qu’un pilier capitalisé même modeste — vingt à quarante pour cent des cotisations vieillesse, sur quarante ans — transformerait individuellement la pension des actifs nés après 1980 : plus de cent soixante mille à plus de trois cent vingt-cinq mille euros de retraite cumulée en plus, selon l’architecture retenue. </w:t>
      </w:r>
      <w:r>
        <w:rPr>
          <w:i/>
          <w:iCs/>
        </w:rPr>
        <w:t>Cotiser moins pour gagner plus.</w:t>
      </w:r>
      <w:r>
        <w:t xml:space="preserve"> Et elle décrit ce que ce mouvement change pour les finances publiques d’un pays.</w:t>
      </w:r>
    </w:p>
    <w:p w14:paraId="3F27B5E2" w14:textId="77777777" w:rsidR="00BF0342" w:rsidRDefault="00000000">
      <w:pPr>
        <w:pStyle w:val="BodyText"/>
      </w:pPr>
      <w:r>
        <w:rPr>
          <w:b/>
          <w:bCs/>
        </w:rPr>
        <w:t>La troisième partie</w:t>
      </w:r>
      <w:r>
        <w:t xml:space="preserve"> montre que la capitalisation ne sert pas qu’à payer des retraites plus élevées. Elle sert aussi à constituer des fonds de pension nationaux qui financent l’économie nationale. Elle commence par poser ce qu’est concrètement un fonds de pension, à quoi il sert, et selon quelles familles il existe ailleurs. Elle documente le capital qui nous échappe — l’épargne française qui dort, plus de six mille milliards d’euros mal alloués, pendant que les fonds étrangers rachètent nos meilleures entreprises avec leur propre capital long. Elle décrit la vague des cessions silencieuses qui prend forme dans la décennie : deux cent quarante mille entreprises sans repreneur français, transactions une à une qui transfèrent les sièges, les brevets, les centres de décision sous pavillon étranger. Elle conclut sur la simulation chiffrée de ce que feraient mille cinq cents milliards d’euros </w:t>
      </w:r>
      <w:r>
        <w:lastRenderedPageBreak/>
        <w:t xml:space="preserve">gérés par des fonds de pension français, et sur le </w:t>
      </w:r>
      <w:r>
        <w:rPr>
          <w:i/>
          <w:iCs/>
        </w:rPr>
        <w:t>cercle vertueux du capital domestique</w:t>
      </w:r>
      <w:r>
        <w:t xml:space="preserve"> qui retransforme l’épargne nationale en pouvoir d’achat des retraités du futur.</w:t>
      </w:r>
    </w:p>
    <w:p w14:paraId="7179787D" w14:textId="77777777" w:rsidR="00BF0342" w:rsidRDefault="00000000">
      <w:pPr>
        <w:pStyle w:val="BodyText"/>
      </w:pPr>
      <w:r>
        <w:rPr>
          <w:b/>
          <w:bCs/>
        </w:rPr>
        <w:t>La quatrième partie</w:t>
      </w:r>
      <w:r>
        <w:t xml:space="preserve"> examine ce que d’autres pays ont fait pour aller à la capitalisation : la Suède, l’Australie et Singapour qui ont réussi, le Chili qui s’est trompé. Elle en tire quatre leçons opérationnelles — cotisation patronale obligatoire, plancher universel, fonds par défaut bien conçu, pacte transpartisan signé avant le vote. Elle nomme les enjeux que la transition française doit arbitrer — temporalité, double paiement, segmentation, acceptabilité sociale, juridique. Elle propose une méthode politique en deux voies — la concertation longue à la suédoise, la rapidité négociée à l’australienne —, avec un agenda opérationnel sur vingt-cinq ans articulé en quatre phases entre 2027 et 2052. Elle s’achève sur le mécanisme du fonds de transition modèle suédois qui rend la réforme politiquement faisable parce que techniquement amortie.</w:t>
      </w:r>
    </w:p>
    <w:p w14:paraId="5C1047FF" w14:textId="77777777" w:rsidR="00BF0342" w:rsidRDefault="00000000">
      <w:pPr>
        <w:pStyle w:val="BodyText"/>
      </w:pPr>
      <w:r>
        <w:t xml:space="preserve">Une </w:t>
      </w:r>
      <w:r>
        <w:rPr>
          <w:b/>
          <w:bCs/>
        </w:rPr>
        <w:t>conclusion</w:t>
      </w:r>
      <w:r>
        <w:t xml:space="preserve"> referme l’argument en revenant sur les quatre verrous historiques qui ont retenu la France pendant quatre-vingts ans — héritage de 1945, méfiance financière, poids syndical, préférence pour les réformes paramétriques — et sur les quatre faits nouveaux qui, en 2026, les desserrent simultanément. Un </w:t>
      </w:r>
      <w:r>
        <w:rPr>
          <w:b/>
          <w:bCs/>
        </w:rPr>
        <w:t>appendice</w:t>
      </w:r>
      <w:r>
        <w:t xml:space="preserve"> — </w:t>
      </w:r>
      <w:r>
        <w:rPr>
          <w:i/>
          <w:iCs/>
        </w:rPr>
        <w:t>Cinq mensonges qui ont coûté trente ans</w:t>
      </w:r>
      <w:r>
        <w:t xml:space="preserve"> — répond, en format question-réponse, aux six objections récurrentes qui ont anesthésié le débat français depuis trois décennies. À garder sous le coude pour la conversation suivante.</w:t>
      </w:r>
    </w:p>
    <w:p w14:paraId="366A790D" w14:textId="77777777" w:rsidR="00D06B1C" w:rsidRDefault="00D06B1C">
      <w:pPr>
        <w:rPr>
          <w:rFonts w:asciiTheme="majorHAnsi" w:eastAsiaTheme="majorEastAsia" w:hAnsiTheme="majorHAnsi" w:cstheme="majorBidi"/>
          <w:color w:val="0F4761" w:themeColor="accent1" w:themeShade="BF"/>
          <w:sz w:val="40"/>
          <w:szCs w:val="40"/>
        </w:rPr>
      </w:pPr>
      <w:bookmarkStart w:id="20" w:name="X7fa69e6198b1bc8ede45b29794a58a271483513"/>
      <w:bookmarkStart w:id="21" w:name="_Toc233036179"/>
      <w:bookmarkEnd w:id="2"/>
      <w:bookmarkEnd w:id="18"/>
      <w:r>
        <w:br w:type="page"/>
      </w:r>
    </w:p>
    <w:p w14:paraId="77A6F3C0" w14:textId="7BE90B7B" w:rsidR="00BF0342" w:rsidRDefault="00000000">
      <w:pPr>
        <w:pStyle w:val="Heading1"/>
      </w:pPr>
      <w:r>
        <w:lastRenderedPageBreak/>
        <w:t>Partie 1 — Un système de retraite à bout de souffle</w:t>
      </w:r>
      <w:bookmarkEnd w:id="21"/>
    </w:p>
    <w:p w14:paraId="5AE1FF17" w14:textId="77777777" w:rsidR="00BF0342" w:rsidRDefault="00000000">
      <w:pPr>
        <w:pStyle w:val="BlockText"/>
      </w:pPr>
      <w:r>
        <w:t>« Le système de retraite resterait durablement en besoin de financement quel que soit le scénario. »</w:t>
      </w:r>
    </w:p>
    <w:p w14:paraId="2B03F63D" w14:textId="77777777" w:rsidR="00BF0342" w:rsidRDefault="00000000" w:rsidP="00D06B1C">
      <w:pPr>
        <w:pStyle w:val="Compact"/>
      </w:pPr>
      <w:r>
        <w:t xml:space="preserve">Conseil d’orientation des retraites, </w:t>
      </w:r>
      <w:r>
        <w:rPr>
          <w:i/>
          <w:iCs/>
        </w:rPr>
        <w:t>Évolutions et perspectives des retraites en France</w:t>
      </w:r>
      <w:r>
        <w:t>, rapport annuel, juin 2025</w:t>
      </w:r>
      <w:r>
        <w:rPr>
          <w:rStyle w:val="FootnoteReference"/>
        </w:rPr>
        <w:footnoteReference w:id="36"/>
      </w:r>
    </w:p>
    <w:p w14:paraId="3CDE0CD0" w14:textId="77777777" w:rsidR="00D06B1C" w:rsidRDefault="00000000">
      <w:pPr>
        <w:pStyle w:val="FirstParagraph"/>
        <w:rPr>
          <w:highlight w:val="yellow"/>
        </w:rPr>
      </w:pPr>
      <w:r>
        <w:rPr>
          <w:highlight w:val="yellow"/>
        </w:rPr>
        <w:t xml:space="preserve">Le système français de retraite par répartition repose sur un mécanisme simple : celui du transfert intergénérationnel. </w:t>
      </w:r>
      <w:r>
        <w:rPr>
          <w:b/>
          <w:bCs/>
          <w:highlight w:val="yellow"/>
          <w:u w:val="single"/>
        </w:rPr>
        <w:t>Autrement dit, ceux qui travaillent paient les pensions de ceux qui ne travaillent plus. C’est ce qu’on appelle un système par « répartition ».</w:t>
      </w:r>
      <w:r>
        <w:rPr>
          <w:highlight w:val="yellow"/>
        </w:rPr>
        <w:t xml:space="preserve"> </w:t>
      </w:r>
    </w:p>
    <w:p w14:paraId="44CE5FD9" w14:textId="77777777" w:rsidR="00D06B1C" w:rsidRDefault="00D06B1C">
      <w:pPr>
        <w:pStyle w:val="FirstParagraph"/>
        <w:rPr>
          <w:ins w:id="22" w:author="emmanuel blezes" w:date="2026-06-22T15:58:00Z" w16du:dateUtc="2026-06-22T13:58:00Z"/>
        </w:rPr>
      </w:pPr>
      <w:r>
        <w:rPr>
          <w:highlight w:val="yellow"/>
        </w:rPr>
        <w:t>C</w:t>
      </w:r>
      <w:r w:rsidR="00000000">
        <w:rPr>
          <w:highlight w:val="yellow"/>
        </w:rPr>
        <w:t>e système fonctionne comme un tuyau :</w:t>
      </w:r>
      <w:r w:rsidR="00000000">
        <w:t xml:space="preserve"> tout ce qui entre au mois M sort le même mois, redistribué aux retraités de la France entière. </w:t>
      </w:r>
    </w:p>
    <w:p w14:paraId="520A56AE" w14:textId="5B2C0648" w:rsidR="00BF0342" w:rsidDel="00D06B1C" w:rsidRDefault="00000000">
      <w:pPr>
        <w:pStyle w:val="FirstParagraph"/>
        <w:rPr>
          <w:del w:id="23" w:author="emmanuel blezes" w:date="2026-06-22T15:58:00Z" w16du:dateUtc="2026-06-22T13:58:00Z"/>
        </w:rPr>
      </w:pPr>
      <w:r>
        <w:t>Ce mécanisme peut a priori présenter deux qualités : une solidarité immédiate et une lisibilité administrative.</w:t>
      </w:r>
      <w:ins w:id="24" w:author="emmanuel blezes" w:date="2026-06-22T15:58:00Z" w16du:dateUtc="2026-06-22T13:58:00Z">
        <w:r w:rsidR="00D06B1C">
          <w:t xml:space="preserve"> </w:t>
        </w:r>
      </w:ins>
    </w:p>
    <w:p w14:paraId="71AC26DA" w14:textId="77777777" w:rsidR="00BF0342" w:rsidRDefault="00000000" w:rsidP="00D06B1C">
      <w:pPr>
        <w:pStyle w:val="FirstParagraph"/>
        <w:pPrChange w:id="25" w:author="emmanuel blezes" w:date="2026-06-22T15:58:00Z" w16du:dateUtc="2026-06-22T13:58:00Z">
          <w:pPr>
            <w:pStyle w:val="BodyText"/>
          </w:pPr>
        </w:pPrChange>
      </w:pPr>
      <w:r>
        <w:t>Mais il contient aussi une fragilité que les fondateurs eux-mêmes voyaient parfaitement : il dépend, en permanence, du rapport numérique entre les actifs qui versent et les retraités qui touchent. Quand ce rapport se dégrade, le système se fragilise. Aucune réforme paramétrique ne peut renverser cette logique ; elle peut tout au plus en ralentir les effets.</w:t>
      </w:r>
    </w:p>
    <w:p w14:paraId="745B6AA2" w14:textId="77777777" w:rsidR="00BF0342" w:rsidRDefault="00000000">
      <w:pPr>
        <w:pStyle w:val="BodyText"/>
      </w:pPr>
      <w:r>
        <w:t>Or, de fait, ce rapport s’effondre, dans des proportions qui rendent le système actuel intenable. Le Conseil d’orientation des retraites projette un déficit chronique jusqu’en 2070. La Cour des comptes parle de trente milliards d’euros annuels en 2045</w:t>
      </w:r>
      <w:r>
        <w:rPr>
          <w:rStyle w:val="FootnoteReference"/>
        </w:rPr>
        <w:footnoteReference w:id="37"/>
      </w:r>
      <w:r>
        <w:t>. Le FMI, dans sa consultation Article IV de mai 2025, identifie les régimes de retraite parmi les postes de dépense sociale à réformer pour garantir la soutenabilité budgétaire à moyen terme</w:t>
      </w:r>
      <w:r>
        <w:rPr>
          <w:rStyle w:val="FootnoteReference"/>
        </w:rPr>
        <w:footnoteReference w:id="38"/>
      </w:r>
      <w:r>
        <w:t>.</w:t>
      </w:r>
    </w:p>
    <w:p w14:paraId="7216C933" w14:textId="77777777" w:rsidR="00BF0342" w:rsidRDefault="00000000">
      <w:pPr>
        <w:pStyle w:val="BodyText"/>
      </w:pPr>
      <w:r>
        <w:t>Le diagnostic converge vers une réalité que trop peu de rapports nomment : la trajectoire actuelle transfère silencieusement une dette colossale aux générations qui n'ont rien demandé.</w:t>
      </w:r>
    </w:p>
    <w:p w14:paraId="6F31AF92" w14:textId="77777777" w:rsidR="00BF0342" w:rsidRDefault="00000000">
      <w:pPr>
        <w:pStyle w:val="Heading2"/>
      </w:pPr>
      <w:bookmarkStart w:id="26" w:name="le-système-actuel-est-dans-une-impasse"/>
      <w:bookmarkStart w:id="27" w:name="_Toc233036180"/>
      <w:r>
        <w:t>Le système actuel est dans une impasse</w:t>
      </w:r>
      <w:bookmarkEnd w:id="27"/>
    </w:p>
    <w:p w14:paraId="60297297" w14:textId="77777777" w:rsidR="00BF0342" w:rsidRDefault="00000000">
      <w:pPr>
        <w:pStyle w:val="Heading3"/>
      </w:pPr>
      <w:bookmarkStart w:id="28" w:name="X1a04d3701d8bea55b793490772ebe5b42e85bf8"/>
      <w:bookmarkStart w:id="29" w:name="_Toc233036181"/>
      <w:r>
        <w:t>Le grand vieillissement : quand la pyramide s’inverse</w:t>
      </w:r>
      <w:bookmarkEnd w:id="29"/>
    </w:p>
    <w:p w14:paraId="311E031E" w14:textId="77777777" w:rsidR="00BF0342" w:rsidRDefault="00000000">
      <w:pPr>
        <w:pStyle w:val="FirstParagraph"/>
      </w:pPr>
      <w:r>
        <w:t xml:space="preserve">L’INSEE publie chaque année, à la fin du mois de janvier, le </w:t>
      </w:r>
      <w:r>
        <w:rPr>
          <w:i/>
          <w:iCs/>
        </w:rPr>
        <w:t>Bilan démographique</w:t>
      </w:r>
      <w:r>
        <w:t xml:space="preserve"> de l’année écoulée. C’est l’un des documents les plus importants pour l’avenir du pays, et il </w:t>
      </w:r>
      <w:r>
        <w:lastRenderedPageBreak/>
        <w:t>sort dans une indifférence quasi totale. L’édition consacrée à 2025, parue en janvier 2026, contient un chiffre qui aurait dû ouvrir tous les journaux du soir.</w:t>
      </w:r>
    </w:p>
    <w:p w14:paraId="676A5DD4" w14:textId="77777777" w:rsidR="00BF0342" w:rsidRDefault="00000000">
      <w:pPr>
        <w:pStyle w:val="BodyText"/>
      </w:pPr>
      <w:r>
        <w:t xml:space="preserve">Le solde naturel - l’écart entre les naissances et les décès - s’est établi en 2025 à </w:t>
      </w:r>
      <w:r>
        <w:rPr>
          <w:b/>
          <w:bCs/>
          <w:highlight w:val="yellow"/>
        </w:rPr>
        <w:t>-6000</w:t>
      </w:r>
      <w:r>
        <w:rPr>
          <w:highlight w:val="yellow"/>
        </w:rPr>
        <w:t xml:space="preserve">. </w:t>
      </w:r>
      <w:r>
        <w:rPr>
          <w:b/>
          <w:bCs/>
          <w:highlight w:val="yellow"/>
          <w:u w:val="single"/>
        </w:rPr>
        <w:t>Pour la première fois depuis la fin de la Seconde Guerre mondiale, la France</w:t>
      </w:r>
      <w:r>
        <w:t xml:space="preserve"> </w:t>
      </w:r>
      <w:r>
        <w:rPr>
          <w:b/>
          <w:bCs/>
          <w:highlight w:val="yellow"/>
          <w:u w:val="single"/>
        </w:rPr>
        <w:t>enregistre plus de décès que de naissances</w:t>
      </w:r>
      <w:r>
        <w:rPr>
          <w:rStyle w:val="FootnoteReference"/>
        </w:rPr>
        <w:footnoteReference w:id="39"/>
      </w:r>
      <w:r>
        <w:t>. La conséquence est la suivante : la France ne se renouvelle plus que par l’immigration nette</w:t>
      </w:r>
      <w:r>
        <w:rPr>
          <w:rStyle w:val="FootnoteReference"/>
        </w:rPr>
        <w:footnoteReference w:id="40"/>
      </w:r>
      <w:r>
        <w:t>. La France, dont on apprenait à l’école qu’elle avait une croissance démographique dynamique par rapport à ses voisins, cette France-là ne fait plus d’enfants.</w:t>
      </w:r>
    </w:p>
    <w:p w14:paraId="769E763D" w14:textId="77777777" w:rsidR="00BF0342" w:rsidRDefault="00000000">
      <w:pPr>
        <w:pStyle w:val="BodyText"/>
      </w:pPr>
      <w:r>
        <w:t>GRAPHIQUE NAISSANCES / DECES</w:t>
      </w:r>
    </w:p>
    <w:p w14:paraId="382AF567" w14:textId="77777777" w:rsidR="00BF0342" w:rsidRDefault="00000000">
      <w:pPr>
        <w:pStyle w:val="BodyText"/>
      </w:pPr>
      <w:r>
        <w:t>Deux mouvements œuvrent à ce « grand vieillissement ».</w:t>
      </w:r>
    </w:p>
    <w:p w14:paraId="631531D4" w14:textId="77777777" w:rsidR="00BF0342" w:rsidRDefault="00000000">
      <w:pPr>
        <w:pStyle w:val="BodyText"/>
      </w:pPr>
      <w:r>
        <w:rPr>
          <w:b/>
          <w:bCs/>
        </w:rPr>
        <w:t>Le premier est l’effondrement de la fécondité</w:t>
      </w:r>
      <w:r>
        <w:t xml:space="preserve">. L’indice conjoncturel - le chiffre qui mesure ce que serait, à comportement constant, le nombre d’enfants par femme - est passé de 2,00 en 2014 à 1,61 en 2024, puis à </w:t>
      </w:r>
      <w:r>
        <w:rPr>
          <w:b/>
          <w:bCs/>
        </w:rPr>
        <w:t>1,56 en 2025</w:t>
      </w:r>
      <w:r>
        <w:rPr>
          <w:rStyle w:val="FootnoteReference"/>
        </w:rPr>
        <w:footnoteReference w:id="41"/>
      </w:r>
      <w:r>
        <w:t>. L’INSEE qualifie ce niveau de plus bas depuis la fin de la Première Guerre mondiale. L’âge moyen à la maternité, lui, ne cesse de monter : 31,2 ans en 2025, contre 29,6 ans il y a vingt ans. La France reste, dans l’Union européenne, dans le peloton de tête en matière de fécondité, devant l’Allemagne à 1,36 et l’Italie à 1,18</w:t>
      </w:r>
      <w:r>
        <w:rPr>
          <w:rStyle w:val="FootnoteReference"/>
        </w:rPr>
        <w:footnoteReference w:id="42"/>
      </w:r>
      <w:r>
        <w:t>. Cette « première place » ne dispense de rien : la France a quitté, comme tous ses voisins, le seuil de remplacement des générations - fixé par les démographes à 2,1 - depuis le milieu des années 1970. Elle décroît plus lentement que l’Italie. Elle décroît quand même.</w:t>
      </w:r>
    </w:p>
    <w:p w14:paraId="3F2581CF" w14:textId="77777777" w:rsidR="00BF0342" w:rsidRDefault="00000000">
      <w:pPr>
        <w:pStyle w:val="BodyText"/>
      </w:pPr>
      <w:r>
        <w:rPr>
          <w:b/>
          <w:bCs/>
        </w:rPr>
        <w:t>Le second mouvement, c’est l’allongement de la vie.</w:t>
      </w:r>
      <w:r>
        <w:t xml:space="preserve"> Une femme française née en 2025 peut espérer vivre 85,9 ans ; un homme, 80,3 ans. Depuis 1950, c’est plus de seize années gagnées sur une vie</w:t>
      </w:r>
      <w:r>
        <w:rPr>
          <w:rStyle w:val="FootnoteReference"/>
        </w:rPr>
        <w:footnoteReference w:id="43"/>
      </w:r>
      <w:r>
        <w:t>. Le progrès est considérable et personne n’envisage de s’en désoler. Mais c’est, pour un système de retraite conçu pour une autre époque, la nécessité d’en changer.</w:t>
      </w:r>
    </w:p>
    <w:p w14:paraId="1CF1BC57" w14:textId="77777777" w:rsidR="00BF0342" w:rsidRDefault="00000000">
      <w:pPr>
        <w:pStyle w:val="BodyText"/>
      </w:pPr>
      <w:r>
        <w:t>Le « système Laroque », dont procède le système de retraites français, a été pensé en 1945 pour une France où l’on entrait dans la vie active à seize ans, où l’on en sortait à soixante-</w:t>
      </w:r>
      <w:r>
        <w:lastRenderedPageBreak/>
        <w:t>cinq, et où il restait alors à un homme une dizaine d’années à vivre, à une femme une quinzaine</w:t>
      </w:r>
      <w:r>
        <w:rPr>
          <w:rStyle w:val="FootnoteReference"/>
        </w:rPr>
        <w:footnoteReference w:id="44"/>
      </w:r>
      <w:r>
        <w:t>. À soixante-cinq ans, une Française a aujourd’hui près de vingt-quatre années à vivre, un homme vingt</w:t>
      </w:r>
      <w:r>
        <w:rPr>
          <w:rStyle w:val="FootnoteReference"/>
        </w:rPr>
        <w:footnoteReference w:id="45"/>
      </w:r>
      <w:r>
        <w:t>. Une augmentation de plus de moitié depuis la création du régime, sans qu’aucune des cinq réformes paramétriques qui se sont succédé n’ait, pour autant, véritablement traité le problème.</w:t>
      </w:r>
    </w:p>
    <w:p w14:paraId="00D31CCB" w14:textId="77777777" w:rsidR="00BF0342" w:rsidRDefault="00000000">
      <w:pPr>
        <w:pStyle w:val="BodyText"/>
      </w:pPr>
      <w:r>
        <w:t>COURBE CISEAUX FECONDITE ALLONGEMENT VIE</w:t>
      </w:r>
    </w:p>
    <w:p w14:paraId="3E043A4A" w14:textId="77777777" w:rsidR="00BF0342" w:rsidRDefault="00000000">
      <w:pPr>
        <w:pStyle w:val="BodyText"/>
      </w:pPr>
      <w:r>
        <w:t>L’addition des deux mouvements produit une pyramide des âges qui ne ressemble plus en rien à une pyramide. Au 1er janvier 2026, 22,2 % des Français ont au moins soixante-cinq ans. C’était 16,4 % il y a vingt ans, environ 13 % il y a quarante ans</w:t>
      </w:r>
      <w:r>
        <w:rPr>
          <w:rStyle w:val="FootnoteReference"/>
        </w:rPr>
        <w:footnoteReference w:id="46"/>
      </w:r>
      <w:r>
        <w:t xml:space="preserve">. La part des moins de vingt ans, elle, n’atteint plus que 22,5 % - </w:t>
      </w:r>
      <w:r>
        <w:rPr>
          <w:b/>
          <w:bCs/>
        </w:rPr>
        <w:t>pour la première fois dans l’histoire de la République, les plus de soixante-cinq ans (22,2 %) sont presque aussi nombreux que les moins de vingt (22,5 %)</w:t>
      </w:r>
      <w:r>
        <w:t>.</w:t>
      </w:r>
    </w:p>
    <w:p w14:paraId="433CF89C" w14:textId="77777777" w:rsidR="00BF0342" w:rsidRDefault="00000000">
      <w:pPr>
        <w:pStyle w:val="BodyText"/>
      </w:pPr>
      <w:r>
        <w:t xml:space="preserve">La Commission européenne, dans son </w:t>
      </w:r>
      <w:r>
        <w:rPr>
          <w:i/>
          <w:iCs/>
        </w:rPr>
        <w:t>2024 Ageing Report</w:t>
      </w:r>
      <w:r>
        <w:t>, projette que le ratio de dépendance des personnes âgées en France, soit la population de 65 ans et plus rapportée à la population en âge de travailler, passera de 38,2 % en 2022 à 57,8 % en 2070, soit un bond de près de vingt points en cinquante ans</w:t>
      </w:r>
      <w:r>
        <w:rPr>
          <w:rStyle w:val="FootnoteReference"/>
        </w:rPr>
        <w:footnoteReference w:id="47"/>
      </w:r>
      <w:r>
        <w:t>. Dans les comptes du système de retraite, ce basculement se traduit par une seule statistique, la plus parlante de toutes : le ratio entre cotisants et retraités.</w:t>
      </w:r>
    </w:p>
    <w:p w14:paraId="151A41CE" w14:textId="77777777" w:rsidR="00BF0342" w:rsidRDefault="00000000">
      <w:pPr>
        <w:pStyle w:val="BodyText"/>
      </w:pPr>
      <w:r>
        <w:t>En 1965, on comptait 4,29 cotisants pour un retraité</w:t>
      </w:r>
      <w:r>
        <w:rPr>
          <w:rStyle w:val="FootnoteReference"/>
        </w:rPr>
        <w:footnoteReference w:id="48"/>
      </w:r>
      <w:r>
        <w:t>. Quatre personnes en activité pour payer une pension. À ce ratio-là, le système est très largement viable. Il pouvait promettre 75 % du dernier salaire et financer en plus des départs à soixante ans.</w:t>
      </w:r>
    </w:p>
    <w:p w14:paraId="2B5B3A1A" w14:textId="77777777" w:rsidR="00BF0342" w:rsidRDefault="00000000">
      <w:pPr>
        <w:pStyle w:val="BodyText"/>
      </w:pPr>
      <w:r>
        <w:t>En 2024, ce même ratio est tombé à 1,79</w:t>
      </w:r>
      <w:r>
        <w:rPr>
          <w:rStyle w:val="FootnoteReference"/>
        </w:rPr>
        <w:footnoteReference w:id="49"/>
      </w:r>
      <w:r>
        <w:t xml:space="preserve">. Moins de 2 personnes pour financer chaque retraité. Le Conseil d’orientation des retraites, dans ses projections de juin 2025, retient un </w:t>
      </w:r>
      <w:r>
        <w:lastRenderedPageBreak/>
        <w:t>scénario central qui le ramène à 1,40 en 2070</w:t>
      </w:r>
      <w:r>
        <w:rPr>
          <w:rStyle w:val="FootnoteReference"/>
        </w:rPr>
        <w:footnoteReference w:id="50"/>
      </w:r>
      <w:r>
        <w:t>. C’est, dit autrement, l’impossibilité mathématique de tenir à droit constant la promesse de 1945.</w:t>
      </w:r>
    </w:p>
    <w:p w14:paraId="65D0CF1C" w14:textId="77777777" w:rsidR="00BF0342" w:rsidRDefault="00000000">
      <w:pPr>
        <w:pStyle w:val="BodyText"/>
      </w:pPr>
      <w:r>
        <w:t>Tout système qui s’appuie sur ce ratio doit, par construction, soit baisser ses pensions, soit augmenter ses cotisations, soit reculer son âge de départ - ou faire les trois en même temps. C’est exactement ce que les cinq dernières réformes ont fait.</w:t>
      </w:r>
    </w:p>
    <w:p w14:paraId="16A652F2" w14:textId="77777777" w:rsidR="00BF0342" w:rsidRDefault="00000000">
      <w:pPr>
        <w:pStyle w:val="BodyText"/>
      </w:pPr>
      <w:r>
        <w:t>COURBE RATIO COTISANTS / RETRAITES JUSQUEN 2070 SOURCE COR</w:t>
      </w:r>
    </w:p>
    <w:p w14:paraId="05C8C55D" w14:textId="77777777" w:rsidR="00BF0342" w:rsidRDefault="00000000">
      <w:pPr>
        <w:pStyle w:val="BodyText"/>
      </w:pPr>
      <w:r>
        <w:t>Les chiffres de flux sont plus parlants encore. Entre 2015 et 2023, le nombre de retraités est passé d’environ 16 à 17,2 millions. Rien qu’en 2023, plus de sept cent mille personnes ont liquidé une première pension de droit direct, et le nombre total de retraités s’est accru de plus de deux cent mille</w:t>
      </w:r>
      <w:r>
        <w:rPr>
          <w:rStyle w:val="FootnoteReference"/>
        </w:rPr>
        <w:footnoteReference w:id="51"/>
      </w:r>
      <w:r>
        <w:t>.</w:t>
      </w:r>
    </w:p>
    <w:p w14:paraId="02484426" w14:textId="77777777" w:rsidR="00BF0342" w:rsidRDefault="00000000">
      <w:pPr>
        <w:pStyle w:val="BodyText"/>
      </w:pPr>
      <w:r>
        <w:t>Une dernière remarque, ayant vocation à éclairer les termes du débat. Le rapport annuel du Conseil d’orientation des retraites - ce document qui sert depuis vingt ans de boussole au débat français - projette ses chiffres jusqu’en 2070 sur quatre hypothèses : un taux de fécondité de 1,80, un solde migratoire net de soixante-dix mille personnes par an, un taux de chômage à 7 %, une productivité horaire à 0,7 % par an</w:t>
      </w:r>
      <w:r>
        <w:rPr>
          <w:rStyle w:val="FootnoteReference"/>
        </w:rPr>
        <w:footnoteReference w:id="52"/>
      </w:r>
      <w:r>
        <w:t>. Ces quatre hypothèses encadrent toutes les conclusions du rapport.</w:t>
      </w:r>
    </w:p>
    <w:p w14:paraId="296B2499" w14:textId="77777777" w:rsidR="00BF0342" w:rsidRDefault="00000000">
      <w:pPr>
        <w:pStyle w:val="BodyText"/>
      </w:pPr>
      <w:r>
        <w:t>L’une d’elles, au moins, est déjà démentie par les faits : la fécondité observée en 2025, 1,56, est très inférieure à l’hypothèse de 1,80 retenue par le COR - un écart qui pèsera, à terme, sur le ratio cotisants-retraités, au-delà même de ce que projette le scénario de référence.</w:t>
      </w:r>
    </w:p>
    <w:p w14:paraId="0E67BD4E" w14:textId="77777777" w:rsidR="00BF0342" w:rsidRDefault="00000000">
      <w:pPr>
        <w:pStyle w:val="BodyText"/>
      </w:pPr>
      <w:r>
        <w:t>Le débat part sur de mauvaises bases.</w:t>
      </w:r>
    </w:p>
    <w:p w14:paraId="3CD61AE6" w14:textId="77777777" w:rsidR="00BF0342" w:rsidRDefault="00000000">
      <w:pPr>
        <w:pStyle w:val="Heading3"/>
      </w:pPr>
      <w:bookmarkStart w:id="30" w:name="le-déficit-caché"/>
      <w:bookmarkStart w:id="31" w:name="_Toc233036182"/>
      <w:bookmarkEnd w:id="28"/>
      <w:r>
        <w:t>Le déficit caché</w:t>
      </w:r>
      <w:bookmarkEnd w:id="31"/>
    </w:p>
    <w:p w14:paraId="7CD2C0EB" w14:textId="77777777" w:rsidR="00BF0342" w:rsidRDefault="00000000">
      <w:pPr>
        <w:pStyle w:val="FirstParagraph"/>
      </w:pPr>
      <w:r>
        <w:t>A combien s’élève le déficit annuel du système de retraites français ? Réponse souvent entendue : quelques milliards d’euros par an. C’est faux. Et c’est probablement le mensonge le plus coûteux qu’aient produit, en trente ans, les conventions budgétaires et comptables françaises.</w:t>
      </w:r>
    </w:p>
    <w:p w14:paraId="3C3FEFA2" w14:textId="77777777" w:rsidR="00BF0342" w:rsidRDefault="00000000">
      <w:pPr>
        <w:pStyle w:val="BodyText"/>
      </w:pPr>
      <w:r>
        <w:t xml:space="preserve">D'où vient l'erreur ? La Cour des comptes annonce 6,6 milliards d'euros de déficit pour 2025. Le COR retient 1,7 milliard pour 2024. Ces chiffres mesurent ce qu'il reste à combler une fois que l'État, employeur des fonctionnaires, a déjà versé sa contribution annuelle au </w:t>
      </w:r>
      <w:r>
        <w:lastRenderedPageBreak/>
        <w:t>régime de pensions — une contribution qui s'élève en pratique à plus de cinquante milliards d'euros par an</w:t>
      </w:r>
      <w:r>
        <w:rPr>
          <w:rStyle w:val="FootnoteReference"/>
        </w:rPr>
        <w:footnoteReference w:id="53"/>
      </w:r>
      <w:r>
        <w:t>.</w:t>
      </w:r>
    </w:p>
    <w:p w14:paraId="7BD8E1DB" w14:textId="77777777" w:rsidR="00BF0342" w:rsidRDefault="00000000">
      <w:pPr>
        <w:pStyle w:val="BodyText"/>
      </w:pPr>
      <w:r>
        <w:t>Autrement dit : ces chiffres présentent comme presque équilibré un système qui ne tient que parce que l'État s'endette chaque année pour le maintenir à flot.</w:t>
      </w:r>
    </w:p>
    <w:p w14:paraId="4A5D7DC0" w14:textId="77777777" w:rsidR="00BF0342" w:rsidRDefault="00000000">
      <w:pPr>
        <w:pStyle w:val="BodyText"/>
      </w:pPr>
      <w:r>
        <w:t xml:space="preserve">+———————————————————————————————————————————————————————————————————————————————————————————————————+ | </w:t>
      </w:r>
      <w:r>
        <w:rPr>
          <w:b/>
          <w:bCs/>
        </w:rPr>
        <w:t>ENCADRÉ – 82,28% de cotisation</w:t>
      </w:r>
      <w:r>
        <w:t xml:space="preserve"> | | | | Pour ses fonctionnaires civils, l'État verse à son régime de retraite une « cotisation employeur » de 74,28 % du traitement indiciaire en 2024, relevée à 78,28 % en 2025 puis à 82,28 % en 2026 par décret</w:t>
      </w:r>
      <w:r>
        <w:rPr>
          <w:rStyle w:val="FootnoteReference"/>
        </w:rPr>
        <w:footnoteReference w:id="54"/>
      </w:r>
      <w:r>
        <w:t>. | | | | Un employeur privé verse, lui, environ 16 %. Sans ce taux exorbitant, le régime des retraites publiques apparaîtrait massivement déficitaire. C'est précisément pour cela qu'il existe : environ 80 % de cette cotisation constitue en réalité, selon Beaufret, une subvention d'équilibre déguisée. | | | | L'État finance son propre trou retraite, mais l'inscrit dans ses comptes comme une rémunération normale. Ce maquillage représentait 34 milliards d'euros en 2022 ; recalculé en clair, le déficit consolidé des caisses retraites publiques atteignait alors −29 milliards d'euros</w:t>
      </w:r>
      <w:r>
        <w:rPr>
          <w:rStyle w:val="FootnoteReference"/>
        </w:rPr>
        <w:footnoteReference w:id="55"/>
      </w:r>
      <w:r>
        <w:t>. | +=========================================================================================================================================================================================================================================================================================================+</w:t>
      </w:r>
    </w:p>
    <w:p w14:paraId="7FAE1DDD" w14:textId="77777777" w:rsidR="00BF0342" w:rsidRDefault="00000000">
      <w:pPr>
        <w:pStyle w:val="BodyText"/>
      </w:pPr>
      <w:r>
        <w:t>Le déficit annuel du système français de retraite, s'il est mesuré en consolidant l'ensemble des dépenses tous régimes confondus et en éliminant les transferts entre administrations publiques — méthode Beaufret —, n'est pas de 6,6 milliards d'euros. Il est de quatre-vingt-</w:t>
      </w:r>
      <w:r>
        <w:lastRenderedPageBreak/>
        <w:t>un milliards</w:t>
      </w:r>
      <w:r>
        <w:rPr>
          <w:rStyle w:val="FootnoteReference"/>
        </w:rPr>
        <w:footnoteReference w:id="56"/>
      </w:r>
      <w:r>
        <w:t>. C'est plus du double du budget de la sécurité intérieure et de la justice réunis. Et c'est davantage que le budget annuel de la défense</w:t>
      </w:r>
      <w:r>
        <w:rPr>
          <w:rStyle w:val="FootnoteReference"/>
        </w:rPr>
        <w:footnoteReference w:id="57"/>
      </w:r>
      <w:r>
        <w:t>.</w:t>
      </w:r>
    </w:p>
    <w:p w14:paraId="55BCB5CC" w14:textId="77777777" w:rsidR="00BF0342" w:rsidRDefault="00000000">
      <w:pPr>
        <w:pStyle w:val="BodyText"/>
      </w:pPr>
      <w:r>
        <w:t>Sur ces quatre-vingt-un milliards, environ cinquante-six relèvent des régimes des fonctionnaires de l'État et des collectivités locales ; dix-sept du régime général ; neuf des régimes spéciaux. Et tout ceci, malgré un taux de cotisation déjà élevé.</w:t>
      </w:r>
    </w:p>
    <w:p w14:paraId="43973F62" w14:textId="77777777" w:rsidR="00BF0342" w:rsidRDefault="00000000">
      <w:pPr>
        <w:pStyle w:val="BodyText"/>
      </w:pPr>
      <w:r>
        <w:t>Quatre-vingt-un milliards d’euros par an. Si cette somme était nommée pour ce qu’elle est - une subvention de l’État à un système déficitaire qu’il a lui-même créé -, le débat français sur les retraites repartirait sur de bonnes bases. Le sujet ne serait plus de savoir s’il faut décaler l’âge de soixante-quatre à soixante-cinq ans, ou si l’on peut grappiller un point supplémentaire de cotisation. La question serait désormais la suivante : combien de temps un État peut-il emprunter quatre-vingts milliards d’euros par an pour payer des retraites, sans que cela finisse par lui coûter sa souveraineté budgétaire ?</w:t>
      </w:r>
    </w:p>
    <w:p w14:paraId="1C675823" w14:textId="77777777" w:rsidR="00BF0342" w:rsidRDefault="00000000">
      <w:pPr>
        <w:pStyle w:val="BodyText"/>
      </w:pPr>
      <w:r>
        <w:t>Il apparaît comme nécessaire de nommer cette subvention pour ce qu’elle est, à savoir un endettement.</w:t>
      </w:r>
    </w:p>
    <w:p w14:paraId="43ACFFC5" w14:textId="77777777" w:rsidR="00BF0342" w:rsidRDefault="00000000">
      <w:pPr>
        <w:pStyle w:val="BodyText"/>
      </w:pPr>
      <w:r>
        <w:t>Or c’est précisément ce qu’on ne veut pas faire. Parce qu’à partir du moment où l’on accepte de regarder cette réalité, on est obligé de conclure en conséquence : un système qui creuse chaque année un trou de quatre-vingts milliards d’euros, qui dépend mécaniquement d’une démographie en train de s’effondrer, et qui n’a aucun mécanisme interne pour s’auto-corriger, ne tient pas.</w:t>
      </w:r>
    </w:p>
    <w:p w14:paraId="5EDD063A" w14:textId="77777777" w:rsidR="00BF0342" w:rsidRDefault="00000000">
      <w:pPr>
        <w:pStyle w:val="BodyText"/>
      </w:pPr>
      <w:r>
        <w:t>La Cour des comptes, dans son rapport thématique de février 2025, a répondu à Beaufret sans le nommer : changer le taux d’employeur de l’État, écrit-elle, ne supprimerait pas ce coût, cela ne ferait que le déplacer</w:t>
      </w:r>
      <w:r>
        <w:rPr>
          <w:rStyle w:val="FootnoteReference"/>
        </w:rPr>
        <w:footnoteReference w:id="58"/>
      </w:r>
      <w:r>
        <w:t>. C’est exact. Mais c’est précisément ce qui est demandé - que le coût soit déplacé là où il est, dans le déficit public consolidé, et non dissimulé dans une convention comptable. Pierre Moscovici, premier président de la Cour des comptes, dit lui-même que la dégradation est nette, rapide, croissante, et que « le statu quo n’est pas possible »</w:t>
      </w:r>
      <w:r>
        <w:rPr>
          <w:rStyle w:val="FootnoteReference"/>
        </w:rPr>
        <w:footnoteReference w:id="59"/>
      </w:r>
      <w:r>
        <w:t>.</w:t>
      </w:r>
    </w:p>
    <w:p w14:paraId="6044BADB" w14:textId="77777777" w:rsidR="00BF0342" w:rsidRDefault="00000000">
      <w:pPr>
        <w:pStyle w:val="BodyText"/>
      </w:pPr>
      <w:r>
        <w:lastRenderedPageBreak/>
        <w:t>Le rapport du COR de juin 2025 ajoute une phrase qu’il faut prendre au pied de la lettre : « le système de retraite resterait durablement en besoin de financement quel que soit le scénario »</w:t>
      </w:r>
      <w:r>
        <w:rPr>
          <w:rStyle w:val="FootnoteReference"/>
        </w:rPr>
        <w:footnoteReference w:id="60"/>
      </w:r>
      <w:r>
        <w:t>. Dans tous les scénarios qu’il juge plausibles, le système ne revient à l’équilibre dans aucune trajectoire.</w:t>
      </w:r>
    </w:p>
    <w:p w14:paraId="47C150F4" w14:textId="77777777" w:rsidR="00BF0342" w:rsidRDefault="00000000">
      <w:pPr>
        <w:pStyle w:val="BodyText"/>
      </w:pPr>
      <w:r>
        <w:t>La facture est reportée sur les générations qui n’en sont pas responsables.</w:t>
      </w:r>
    </w:p>
    <w:p w14:paraId="5E4B81F9" w14:textId="77777777" w:rsidR="00BF0342" w:rsidRDefault="00000000">
      <w:pPr>
        <w:pStyle w:val="Heading3"/>
      </w:pPr>
      <w:bookmarkStart w:id="32" w:name="comment-on-en-est-arrivé-là"/>
      <w:bookmarkStart w:id="33" w:name="_Toc233036183"/>
      <w:bookmarkEnd w:id="30"/>
      <w:r>
        <w:t>Comment on en est arrivé là</w:t>
      </w:r>
      <w:bookmarkEnd w:id="33"/>
    </w:p>
    <w:p w14:paraId="11C6056D" w14:textId="77777777" w:rsidR="00BF0342" w:rsidRDefault="00000000">
      <w:pPr>
        <w:pStyle w:val="FirstParagraph"/>
      </w:pPr>
      <w:r>
        <w:t>On l’oublie souvent : la France n’a pas toujours eu un système de retraite par répartition. Avant 1941, le paysage était fait d’une mosaïque de dispositifs qui aurait probablement étonné les Français d’aujourd’hui. Une caisse de retraite par capitalisation ouverte à tous, la Caisse de retraites pour la vieillesse, créée par la loi du 18 juin 1850 et gérée par la Caisse des dépôts - l’établissement né de la loi du 28 avril 1816</w:t>
      </w:r>
      <w:r>
        <w:rPr>
          <w:rStyle w:val="FootnoteReference"/>
        </w:rPr>
        <w:footnoteReference w:id="61"/>
      </w:r>
      <w:r>
        <w:t>. Des régimes spéciaux pour les marins, hérités de l’édit de Colbert d’avril 1670 et confirmés tout au long de l’Ancien Régime</w:t>
      </w:r>
      <w:r>
        <w:rPr>
          <w:rStyle w:val="FootnoteReference"/>
        </w:rPr>
        <w:footnoteReference w:id="62"/>
      </w:r>
      <w:r>
        <w:t>. Des mutuelles ouvrières, des caisses patronales d’entreprise, un marché d’assurance-vie qui s’était développé tout au long du XIXe siècle. Et, à partir de 1928-1930, un régime généralisé d’assurances sociales par capitalisation, créé pour couvrir les salariés du commerce et de l’industrie en dessous d’un certain plafond</w:t>
      </w:r>
      <w:r>
        <w:rPr>
          <w:rStyle w:val="FootnoteReference"/>
        </w:rPr>
        <w:footnoteReference w:id="63"/>
      </w:r>
      <w:r>
        <w:t>.</w:t>
      </w:r>
    </w:p>
    <w:p w14:paraId="74CAE383" w14:textId="77777777" w:rsidR="00BF0342" w:rsidRDefault="00000000">
      <w:pPr>
        <w:pStyle w:val="BodyText"/>
      </w:pPr>
      <w:r>
        <w:t>Ce dernier régime n’a jamais vraiment fonctionné. Il fut emporté par la crise de 1929, puis par l’inflation qui suivit la guerre. En 1940, ses réserves valent une fraction de leur valeur nominale ; ses promesses ne tiennent plus. C’est dans ce contexte - un pays ruiné, une monnaie en chute libre, l’État incapable de constituer le moindre capital - que le régime de Vichy promulgue, le 14 mars 1941, l’</w:t>
      </w:r>
      <w:r>
        <w:rPr>
          <w:b/>
          <w:bCs/>
        </w:rPr>
        <w:t>Allocation aux vieux travailleurs salariés</w:t>
      </w:r>
      <w:r>
        <w:rPr>
          <w:rStyle w:val="FootnoteReference"/>
        </w:rPr>
        <w:footnoteReference w:id="64"/>
      </w:r>
      <w:r>
        <w:t xml:space="preserve">. C’est </w:t>
      </w:r>
      <w:r>
        <w:lastRenderedPageBreak/>
        <w:t>techniquement la première retraite par répartition obligatoire en France : les cotisations versées par les actifs ne sont plus accumulées, elles sont immédiatement reversées aux retraités du moment. Le choix est fait pour une raison simple : on ne peut plus rien capitaliser, alors on transfère.</w:t>
      </w:r>
    </w:p>
    <w:p w14:paraId="26870C48" w14:textId="77777777" w:rsidR="00BF0342" w:rsidRDefault="00000000">
      <w:pPr>
        <w:pStyle w:val="BodyText"/>
      </w:pPr>
      <w:r>
        <w:t>Quand vient la Libération, en 1945, les architectes de la nouvelle Sécurité sociale font le même choix, mais pour des raisons cette fois assumées. Pierre Laroque, haut fonctionnaire issu de la France libre, nommé directeur général des assurances sociales par le ministre du Travail Alexandre Parodi, conçoit l’architecture du système ; Ambroise Croizat, ministre du Travail à partir de novembre 1945 dans le gouvernement de De Gaulle puis sous Félix Gouin, en pilote la mise en œuvre opérationnelle</w:t>
      </w:r>
      <w:r>
        <w:rPr>
          <w:rStyle w:val="FootnoteReference"/>
        </w:rPr>
        <w:footnoteReference w:id="65"/>
      </w:r>
      <w:r>
        <w:t>. Le régime de répartition leur paraît politiquement plus juste qu’un système capitalisé : il intègre immédiatement les retraités existants, qui n’ont rien pu mettre de côté ; il oppose à la propriété individuelle un principe de solidarité intergénérationnelle ; il rompt symboliquement avec les rentes privées qui ont, en grande partie, été liquidées par cinq années d’occupation et d’inflation. L’ordonnance n° 45-2250 du 4 octobre 1945 fonde la Sécurité sociale, et avec elle un régime obligatoire de retraite par répartition pour les salariés non agricoles de l’industrie et du commerce</w:t>
      </w:r>
      <w:r>
        <w:rPr>
          <w:rStyle w:val="FootnoteReference"/>
        </w:rPr>
        <w:footnoteReference w:id="66"/>
      </w:r>
      <w:r>
        <w:t>. L’argument de Laroque, resté célèbre, tient en une idée simple : les bénéficiaires sont des gens pauvres à qui il faut d’abord assurer des moyens de subsistance ; une fois les allocations versées, il ne reste rien à mettre de côté pour alimenter un régime de capitalisation</w:t>
      </w:r>
      <w:r>
        <w:rPr>
          <w:rStyle w:val="FootnoteReference"/>
        </w:rPr>
        <w:footnoteReference w:id="67"/>
      </w:r>
      <w:r>
        <w:t>. L’argument est honnête. Il l’est resté longtemps.</w:t>
      </w:r>
    </w:p>
    <w:p w14:paraId="25EEEB04" w14:textId="77777777" w:rsidR="00BF0342" w:rsidRDefault="00000000">
      <w:pPr>
        <w:pStyle w:val="BodyText"/>
      </w:pPr>
      <w:r>
        <w:t>Pendant trente ans, ce choix tient. La France des Trente Glorieuses connaît une croissance moyenne de 5,3 % par an entre 1949 et 1973</w:t>
      </w:r>
      <w:r>
        <w:rPr>
          <w:rStyle w:val="FootnoteReference"/>
        </w:rPr>
        <w:footnoteReference w:id="68"/>
      </w:r>
      <w:r>
        <w:t>, un plein emploi quasi absolu, un baby-boom qui amène jusqu’à 4,29 cotisants pour un retraité en 1965</w:t>
      </w:r>
      <w:r>
        <w:rPr>
          <w:rStyle w:val="FootnoteReference"/>
        </w:rPr>
        <w:footnoteReference w:id="69"/>
      </w:r>
      <w:r>
        <w:t xml:space="preserve">, et une espérance de vie à 65 ans encore limitée - de l’ordre de douze ans pour les hommes, quinze pour les </w:t>
      </w:r>
      <w:r>
        <w:lastRenderedPageBreak/>
        <w:t>femmes</w:t>
      </w:r>
      <w:r>
        <w:rPr>
          <w:rStyle w:val="FootnoteReference"/>
        </w:rPr>
        <w:footnoteReference w:id="70"/>
      </w:r>
      <w:r>
        <w:t>. À ce ratio démographique et à ce rythme de croissance, le système est justifié. La masse salariale qui finance les pensions augmente plus vite que le nombre de retraités ; chaque génération nouvelle est plus nombreuse, plus productive, mieux payée que la précédente ; on peut, sans rien forcer, créer le 14 mars 1947 la retraite complémentaire des cadres (l’AGIRC)</w:t>
      </w:r>
      <w:r>
        <w:rPr>
          <w:rStyle w:val="FootnoteReference"/>
        </w:rPr>
        <w:footnoteReference w:id="71"/>
      </w:r>
      <w:r>
        <w:t>, le 8 décembre 1961 celle des non-cadres (l’ARRCO)</w:t>
      </w:r>
      <w:r>
        <w:rPr>
          <w:rStyle w:val="FootnoteReference"/>
        </w:rPr>
        <w:footnoteReference w:id="72"/>
      </w:r>
      <w:r>
        <w:t>, puis abaisser l’âge légal à soixante ans par l’ordonnance du 26 mars 1982 sous François Mitterrand et le ministre du Travail Jean Auroux</w:t>
      </w:r>
      <w:r>
        <w:rPr>
          <w:rStyle w:val="FootnoteReference"/>
        </w:rPr>
        <w:footnoteReference w:id="73"/>
      </w:r>
      <w:r>
        <w:t xml:space="preserve"> - et tout cela passe sans heurts notables. Le rendement implicite du système, pour les toutes premières générations de cotisants, est alors très élevé - propre à un régime naissant, qui sert des pensions à des retraités n’ayant presque pas cotisé</w:t>
      </w:r>
      <w:r>
        <w:rPr>
          <w:rStyle w:val="FootnoteReference"/>
        </w:rPr>
        <w:footnoteReference w:id="74"/>
      </w:r>
      <w:r>
        <w:t>. C’est l’âge d’or de la répartition - mais un âge d’or qui, par construction, ne pouvait pas durer.</w:t>
      </w:r>
    </w:p>
    <w:p w14:paraId="59BACF85" w14:textId="77777777" w:rsidR="00BF0342" w:rsidRDefault="00000000">
      <w:pPr>
        <w:pStyle w:val="BodyText"/>
      </w:pPr>
      <w:r>
        <w:t>C’est de cette période-là, et d’elle seule, que vient l’idée selon laquelle la répartition serait, par nature, plus juste, plus sûre, plus protectrice qu’une capitalisation. Cette idée n’a jamais été démontrée en dehors de ce cas d’espèce. Quand le contexte a changé - à partir du milieu des années 1970 -, l’idée, elle, est restée.</w:t>
      </w:r>
    </w:p>
    <w:p w14:paraId="6EB7FDB3" w14:textId="77777777" w:rsidR="00BF0342" w:rsidRDefault="00000000">
      <w:pPr>
        <w:pStyle w:val="BodyText"/>
      </w:pPr>
      <w:r>
        <w:t>Le tournant arrive en deux temps. Premier temps, conjoncturel : 1975. La croissance s’effondre dans le sillage du premier choc pétrolier, le chômage devient structurel, l’AGIRC et l’ARRCO commencent à enregistrer leurs premiers déficits techniques. Deuxième temps, plus profond : la démographie. Le taux de fécondité, qui avait commencé à reculer dès la fin des années 1960, passe en dessous du seuil de remplacement de 2,1 enfants par femme dès le milieu des années 1970 et s’y installe durablement</w:t>
      </w:r>
      <w:r>
        <w:rPr>
          <w:rStyle w:val="FootnoteReference"/>
        </w:rPr>
        <w:footnoteReference w:id="75"/>
      </w:r>
      <w:r>
        <w:t xml:space="preserve">. Les cohortes qui entrent sur le marché du travail dans les années 1990 ne </w:t>
      </w:r>
      <w:r>
        <w:lastRenderedPageBreak/>
        <w:t>pourront plus, par leur nombre, financer la retraite de leurs parents au même rendement implicite que ceux-ci avaient eu pour financer celle de leurs aïeux.</w:t>
      </w:r>
    </w:p>
    <w:p w14:paraId="238CBACF" w14:textId="77777777" w:rsidR="00BF0342" w:rsidRDefault="00000000">
      <w:pPr>
        <w:pStyle w:val="BodyText"/>
      </w:pPr>
      <w:r>
        <w:t>Tout cela est connu et documenté de longue date. Raoul Briet, alors commissaire-adjoint au Plan, le note en 1995, dans un rapport remis au Premier ministre Alain Juppé</w:t>
      </w:r>
      <w:r>
        <w:rPr>
          <w:rStyle w:val="FootnoteReference"/>
        </w:rPr>
        <w:footnoteReference w:id="76"/>
      </w:r>
      <w:r>
        <w:t>. Jean-Michel Charpin, devenu commissaire au Plan en 1998, dans un rapport remis à Lionel Jospin en mai 1999, le démontre chiffres à l’appui sur 264 pages, en concluant que le système est, à l’identique, intenable à long terme</w:t>
      </w:r>
      <w:r>
        <w:rPr>
          <w:rStyle w:val="FootnoteReference"/>
        </w:rPr>
        <w:footnoteReference w:id="77"/>
      </w:r>
      <w:r>
        <w:t>. Ni Briet ni Charpin n’envisagent sérieusement, dans leurs rapports, un retour à un système capitalisé ou mixte. La répartition est devenue, en cinquante ans, ce qu’aucun de ses fondateurs n’avait imaginé : non plus un choix technique justifié par les circonstances de 1945, mais une institution sacrée, à laquelle on touche par paramètres mais dont on interroge jamais la raison d’être.</w:t>
      </w:r>
    </w:p>
    <w:p w14:paraId="68E7578F" w14:textId="77777777" w:rsidR="00BF0342" w:rsidRDefault="00000000">
      <w:pPr>
        <w:pStyle w:val="BodyText"/>
      </w:pPr>
      <w:r>
        <w:t>C’est dans cet état d’esprit que se succèdent, à partir de 1993, les cinq grandes réformes paramétriques que la section suivante examine en détail. Aucune ne remettra en cause la nature du système. Aucune ne posera la question fondamentale : un instrument conçu pour une France à quatre cotisants par retraité reste-t-il l’instrument adapté à une France qui en aura moins de un et demi en 2070 ?</w:t>
      </w:r>
    </w:p>
    <w:p w14:paraId="0E170A47" w14:textId="77777777" w:rsidR="00BF0342" w:rsidRDefault="00000000">
      <w:pPr>
        <w:pStyle w:val="Heading2"/>
      </w:pPr>
      <w:bookmarkStart w:id="34" w:name="Xa313c04bb82f2ddd2bcff30fff76f17b77d4062"/>
      <w:bookmarkStart w:id="35" w:name="_Toc233036184"/>
      <w:bookmarkEnd w:id="26"/>
      <w:bookmarkEnd w:id="32"/>
      <w:r>
        <w:t>Ces réformes paramétriques qui n’en sont pas</w:t>
      </w:r>
      <w:bookmarkEnd w:id="35"/>
    </w:p>
    <w:p w14:paraId="24F20CE7" w14:textId="77777777" w:rsidR="00BF0342" w:rsidRDefault="00000000">
      <w:pPr>
        <w:pStyle w:val="FirstParagraph"/>
      </w:pPr>
      <w:r>
        <w:t>Aucun gouvernement, depuis Édouard Balladur, n’a ignoré le problème. Mais tous l’ont traité de la même manière : en ajustant les paramètres du système - l’âge, la durée, le mode de calcul - sans jamais en modifier la nature. Cette séquence de cinq réformes, étalée sur trois décennies, est à elle seule une histoire de la France contemporaine et de sa difficulté à affronter ses problèmes.</w:t>
      </w:r>
    </w:p>
    <w:p w14:paraId="74E5BBDA" w14:textId="77777777" w:rsidR="00BF0342" w:rsidRDefault="00000000">
      <w:pPr>
        <w:pStyle w:val="BodyText"/>
      </w:pPr>
      <w:r>
        <w:t>Le premier acte se joue en juillet 1993. Le gouvernement de cohabitation Balladur-Mitterrand allonge la durée d’assurance des salariés du privé de 150 à 160 trimestres, soit de 37,5 à 40 ans, et fait passer la base de calcul de la pension des dix meilleures années aux vingt-cinq meilleures. L’indexation des pensions est alignée sur les prix, plus sur les salaires - une décision technique qui, vue rétrospectivement, est probablement la plus lourde de conséquences pour le pouvoir d’achat des retraités d’aujourd’hui</w:t>
      </w:r>
      <w:r>
        <w:rPr>
          <w:rStyle w:val="FootnoteReference"/>
        </w:rPr>
        <w:footnoteReference w:id="78"/>
      </w:r>
      <w:r>
        <w:t>.</w:t>
      </w:r>
    </w:p>
    <w:p w14:paraId="2C649468" w14:textId="77777777" w:rsidR="00BF0342" w:rsidRDefault="00000000">
      <w:pPr>
        <w:pStyle w:val="BodyText"/>
      </w:pPr>
      <w:r>
        <w:t xml:space="preserve">Le deuxième acte arrive dix ans plus tard, en août 2003. François Fillon, ministre des Affaires sociales du gouvernement Raffarin, étend les règles de durée d’assurance aux </w:t>
      </w:r>
      <w:r>
        <w:lastRenderedPageBreak/>
        <w:t>régimes de la fonction publique, jusque-là protégés. La durée requise montera à 41 annuités d’ici 2012. La mobilisation syndicale est en repli ; l’opinion, lasse, accepte l’idée que c’est « inévitable »</w:t>
      </w:r>
      <w:r>
        <w:rPr>
          <w:rStyle w:val="FootnoteReference"/>
        </w:rPr>
        <w:footnoteReference w:id="79"/>
      </w:r>
      <w:r>
        <w:t>.</w:t>
      </w:r>
    </w:p>
    <w:p w14:paraId="299E1726" w14:textId="77777777" w:rsidR="00BF0342" w:rsidRDefault="00000000">
      <w:pPr>
        <w:pStyle w:val="BodyText"/>
      </w:pPr>
      <w:r>
        <w:t>Le troisième acte, c’est novembre 2010. Éric Woerth, sous Nicolas Sarkozy, relève l’âge légal de soixante à soixante-deux ans, étalé sur la période 2011-2017. L’âge de la retraite à taux plein passe de soixante-cinq à soixante-sept. Plusieurs semaines de grèves reconductibles dans les raffineries, à la SNCF et à la RATP - la plus longue mobilisation depuis 1995 - ne suffisent pas à faire reculer le gouvernement</w:t>
      </w:r>
      <w:r>
        <w:rPr>
          <w:rStyle w:val="FootnoteReference"/>
        </w:rPr>
        <w:footnoteReference w:id="80"/>
      </w:r>
      <w:r>
        <w:t>. La loi passe.</w:t>
      </w:r>
    </w:p>
    <w:p w14:paraId="30EADD94" w14:textId="77777777" w:rsidR="00BF0342" w:rsidRDefault="00000000">
      <w:pPr>
        <w:pStyle w:val="BodyText"/>
      </w:pPr>
      <w:r>
        <w:t>Le quatrième acte, en janvier 2014, est presque silencieux. Marisol Touraine, sous François Hollande, étend la durée de cotisation à 43 ans pour les générations nées à partir de 1973. Les syndicats sont divisés ; l’opinion ne mobilise pas</w:t>
      </w:r>
      <w:r>
        <w:rPr>
          <w:rStyle w:val="FootnoteReference"/>
        </w:rPr>
        <w:footnoteReference w:id="81"/>
      </w:r>
      <w:r>
        <w:t>. C’est, paradoxalement, la réforme qui pèsera le plus lourd à long terme - la plupart des cohortes nées dans les années 1980 et 1990 partiront sous son empire.</w:t>
      </w:r>
    </w:p>
    <w:p w14:paraId="3D434943" w14:textId="77777777" w:rsidR="00BF0342" w:rsidRDefault="00000000">
      <w:pPr>
        <w:pStyle w:val="BodyText"/>
      </w:pPr>
      <w:r>
        <w:t>Le cinquième acte est celui qu’on connaît. En avril 2023, Élisabeth Borne porte l’âge légal de soixante-deux à soixante-quatre ans et accélère le calendrier Touraine : la durée de quarante-trois années s’applique dès la génération née en 1965, et non plus 1973. La mobilisation sociale est sans précédent depuis le mouvement contre le plan Juppé de 1995. Le 7 mars 2023 - sixième journée de grève nationale - rassemble selon l’intersyndicale 3,5 millions de personnes, selon le ministère de l’Intérieur 1,28 million</w:t>
      </w:r>
      <w:r>
        <w:rPr>
          <w:rStyle w:val="FootnoteReference"/>
        </w:rPr>
        <w:footnoteReference w:id="82"/>
      </w:r>
      <w:r>
        <w:t>. C’est, dans tous les comptages, le pic absolu du mouvement. Cinquante-neuf pour cent des Français y sont opposés ; soixante pour cent soutiennent la mobilisation</w:t>
      </w:r>
      <w:r>
        <w:rPr>
          <w:rStyle w:val="FootnoteReference"/>
        </w:rPr>
        <w:footnoteReference w:id="83"/>
      </w:r>
      <w:r>
        <w:t>. Le 16 mars, sans majorité à l’Assemblée, le gouvernement engage sa responsabilité par l’article 49 alinéa 3 de la Constitution.</w:t>
      </w:r>
    </w:p>
    <w:p w14:paraId="595E68A7" w14:textId="77777777" w:rsidR="00BF0342" w:rsidRDefault="00000000">
      <w:pPr>
        <w:pStyle w:val="BodyText"/>
      </w:pPr>
      <w:r>
        <w:t>Cinq actes, sur trente ans, autour des mêmes trois paramètres - l’âge, la durée, le mode de calcul. Cinq pansements sur la même jambe.</w:t>
      </w:r>
    </w:p>
    <w:p w14:paraId="15E1BC4A" w14:textId="77777777" w:rsidR="00BF0342" w:rsidRDefault="00000000">
      <w:pPr>
        <w:pStyle w:val="BodyText"/>
      </w:pPr>
      <w:r>
        <w:t xml:space="preserve">À chaque acte, le gouvernement de l’époque a affirmé qu’elle serait « la dernière », qu’elle réglait la question « pour une génération », qu’elle apportait une « réponse durable ». À chaque fois, environ dix ans plus tard, il a fallu remettre l’ouvrage sur le métier. La réforme </w:t>
      </w:r>
      <w:r>
        <w:lastRenderedPageBreak/>
        <w:t>Borne, à peine entrée en vigueur, fait déjà l’objet d’un débat sur sa propre suite : le Parti socialiste a négocié à l’automne 2025 le gel temporaire de l’âge à 62 ans et 9 mois jusqu’en janvier 2028, en échange du non-recours à la censure budgétaire</w:t>
      </w:r>
      <w:r>
        <w:rPr>
          <w:rStyle w:val="FootnoteReference"/>
        </w:rPr>
        <w:footnoteReference w:id="84"/>
      </w:r>
      <w:r>
        <w:t>.</w:t>
      </w:r>
    </w:p>
    <w:p w14:paraId="100132C2" w14:textId="77777777" w:rsidR="00BF0342" w:rsidRDefault="00000000">
      <w:pPr>
        <w:pStyle w:val="BodyText"/>
      </w:pPr>
      <w:r>
        <w:t xml:space="preserve">Ce que dit cette séquence c’est que sans sortir de la logique d’un système 100% répartition, ces réformes sont </w:t>
      </w:r>
      <w:r>
        <w:rPr>
          <w:b/>
          <w:bCs/>
        </w:rPr>
        <w:t>la seule chose qu’on puisse faire</w:t>
      </w:r>
      <w:r>
        <w:t>. Il existe trois leviers, et trois seulement : l’âge de départ, la durée de cotisation, le niveau des pensions - auxquels s’ajoute, en arrière-plan, le niveau des cotisations.</w:t>
      </w:r>
    </w:p>
    <w:p w14:paraId="19050815" w14:textId="77777777" w:rsidR="00BF0342" w:rsidRDefault="00000000">
      <w:pPr>
        <w:pStyle w:val="BodyText"/>
      </w:pPr>
      <w:r>
        <w:t>Il y a une autre régularité dans cette histoire des cinq réformes. À chaque acte, le coût de l’ajustement est reporté sur les générations qui suivent. Le baby-boomer qui prend sa retraite en 1995 part à soixante ans, avec cent cinquante trimestres et un calcul sur les dix meilleures années. L’actif né en 1980 partira à soixante-quatre ans avec 172 trimestres et un calcul sur les vingt-cinq meilleures années. Ce ne sont pas seulement deux configurations différentes, ce sont deux contrats différents. Et c’est la suite directe de l’observation précédente, celle des quatre-vingts milliards par an empruntés sur les marchés pour combler le trou : ces emprunts seront remboursés par ceux qui n’avaient pas le droit de vote, ou pas l’âge de cotiser, quand les paramètres ont été décidés. Quelle injustice !</w:t>
      </w:r>
    </w:p>
    <w:p w14:paraId="7113CBAB" w14:textId="77777777" w:rsidR="00BF0342" w:rsidRDefault="00000000">
      <w:pPr>
        <w:pStyle w:val="Heading2"/>
      </w:pPr>
      <w:bookmarkStart w:id="36" w:name="cest-nicolas-qui-paie"/>
      <w:bookmarkStart w:id="37" w:name="_Toc233036185"/>
      <w:bookmarkEnd w:id="34"/>
      <w:r>
        <w:t>C’est Nicolas qui paie</w:t>
      </w:r>
      <w:bookmarkEnd w:id="37"/>
    </w:p>
    <w:p w14:paraId="1F79483F" w14:textId="77777777" w:rsidR="00BF0342" w:rsidRDefault="00000000">
      <w:pPr>
        <w:pStyle w:val="FirstParagraph"/>
      </w:pPr>
      <w:r>
        <w:t>Le résultat de toutes ces années est une fracture entre générations sans précédent dans l’histoire du système. Olivier Blanchard, ancien chef économiste du FMI, estime à 120 milliards d’euros - quatre points de PIB - l’effort de stabilisation budgétaire que la France devra produire dans les dix prochaines années faute de réforme structurelle, et compte la trajectoire des retraites parmi les principaux leviers de cet effort</w:t>
      </w:r>
      <w:r>
        <w:rPr>
          <w:rStyle w:val="FootnoteReference"/>
        </w:rPr>
        <w:footnoteReference w:id="85"/>
      </w:r>
      <w:r>
        <w:t>.</w:t>
      </w:r>
    </w:p>
    <w:p w14:paraId="0AD56CBC" w14:textId="77777777" w:rsidR="00BF0342" w:rsidRDefault="00000000">
      <w:pPr>
        <w:pStyle w:val="BodyText"/>
      </w:pPr>
      <w:r>
        <w:t xml:space="preserve">Pour mesurer cette fracture, un indicateur technique mais parlant : le </w:t>
      </w:r>
      <w:r>
        <w:rPr>
          <w:b/>
          <w:bCs/>
        </w:rPr>
        <w:t>taux de rendement interne</w:t>
      </w:r>
      <w:r>
        <w:t xml:space="preserve"> du système de retraite. Pour une génération donnée, il s’agit du rendement annualisé obtenu sur l’ensemble des cotisations versées au cours de la vie active, comparé aux pensions reçues. L’équivalent économique d’un taux d’intérêt - le rendement que le système promet à ses cotisants, en contrepartie de quarante-trois ans de cotisation forcée.</w:t>
      </w:r>
    </w:p>
    <w:p w14:paraId="38B92597" w14:textId="77777777" w:rsidR="00BF0342" w:rsidRDefault="00000000">
      <w:pPr>
        <w:pStyle w:val="BodyText"/>
      </w:pPr>
      <w:r>
        <w:lastRenderedPageBreak/>
        <w:t xml:space="preserve">Pour la cohorte née en 1950, ce rendement, calculé par l’INSEE selon la méthodologie </w:t>
      </w:r>
      <w:r>
        <w:rPr>
          <w:i/>
          <w:iCs/>
        </w:rPr>
        <w:t>Destinie 2</w:t>
      </w:r>
      <w:r>
        <w:t>, s’établit autour de 2,5 % par an ; pour les cohortes nées à partir de 1970, il se stabilise autour de 1,75 %</w:t>
      </w:r>
      <w:r>
        <w:rPr>
          <w:rStyle w:val="FootnoteReference"/>
        </w:rPr>
        <w:footnoteReference w:id="86"/>
      </w:r>
      <w:r>
        <w:t>. La décroissance est inhérente à la répartition : un régime qui démarre sert des pensions à des retraités qui ont peu cotisé - un rendement d’abord très élevé, qui converge ensuite vers le taux de croissance de l’économie, soit environ 1,4 % par an. Le système ne peut, par construction, offrir durablement davantage.</w:t>
      </w:r>
    </w:p>
    <w:p w14:paraId="31E3DBA9" w14:textId="77777777" w:rsidR="00BF0342" w:rsidRDefault="00000000">
      <w:pPr>
        <w:pStyle w:val="BodyText"/>
      </w:pPr>
      <w:r>
        <w:t>Dit plus simplement : un baby-boomer né en 1950 récupère, sur la durée de sa retraite, environ 159 centimes pour chaque euro qu’il a cotisé. Un actif né en 1980 n’en récupère plus que 117, et la baisse se poursuit pour les générations suivantes</w:t>
      </w:r>
      <w:r>
        <w:rPr>
          <w:rStyle w:val="FootnoteReference"/>
        </w:rPr>
        <w:footnoteReference w:id="87"/>
      </w:r>
      <w:r>
        <w:t>. La promesse initiale de la répartition, « tu cotises maintenant, tu toucheras plus tard », s’est transformée en « tu cotises maintenant, tu toucheras peut-être».</w:t>
      </w:r>
    </w:p>
    <w:p w14:paraId="0D6EB904" w14:textId="77777777" w:rsidR="00BF0342" w:rsidRDefault="00000000">
      <w:pPr>
        <w:pStyle w:val="BodyText"/>
      </w:pPr>
      <w:r>
        <w:t>Deux mouvements simultanés expliquent cet effondrement.</w:t>
      </w:r>
    </w:p>
    <w:p w14:paraId="6BBC8107" w14:textId="77777777" w:rsidR="00BF0342" w:rsidRDefault="00000000">
      <w:pPr>
        <w:pStyle w:val="BodyText"/>
      </w:pPr>
      <w:r>
        <w:t>Le premier mouvement, c’est la hausse continue du taux de cotisation. Les générations qui ont aujourd’hui plus de soixante-dix ans ont cotisé, sur la moyenne de leur carrière, entre 14 % et 18 % de leur salaire - c’est-à-dire, en intégrant la part patronale, environ un sixième de leur revenu d’activité. Les actifs d’aujourd’hui cotisent 27,8 %</w:t>
      </w:r>
      <w:r>
        <w:rPr>
          <w:rStyle w:val="FootnoteReference"/>
        </w:rPr>
        <w:footnoteReference w:id="88"/>
      </w:r>
      <w:r>
        <w:t>. Plus du quart de leur revenu, contre un sixième pour leurs grands-parents - sans que la pension qui les attend soit, à l’arrivée, proportionnellement plus généreuse.</w:t>
      </w:r>
    </w:p>
    <w:p w14:paraId="39AEDAAF" w14:textId="77777777" w:rsidR="00BF0342" w:rsidRDefault="00000000">
      <w:pPr>
        <w:pStyle w:val="BodyText"/>
      </w:pPr>
      <w:r>
        <w:t>Le second mouvement, c’est la baisse continue du niveau relatif des pensions. Dans la projection COR à législation inchangée, la pension moyenne rapportée au revenu d’activité moyen recule de 52,3 % en 2023 à 45,1 % en 2070 - plus de sept points de moins en une génération</w:t>
      </w:r>
      <w:r>
        <w:rPr>
          <w:rStyle w:val="FootnoteReference"/>
        </w:rPr>
        <w:footnoteReference w:id="89"/>
      </w:r>
      <w:r>
        <w:t xml:space="preserve">. Pour un cadre, c’est plus que cela - la part de salaire au-dessus du plafond de la Sécurité sociale est, dans la mécanique AGIRC-ARRCO, encore moins protégée. Le </w:t>
      </w:r>
      <w:r>
        <w:lastRenderedPageBreak/>
        <w:t>niveau de vie relatif des plus de soixante-cinq ans, qui s’établit aujourd’hui à 97 % de celui de la population active, passera dans le scénario central du COR à 87,5 % en 2070</w:t>
      </w:r>
      <w:r>
        <w:rPr>
          <w:rStyle w:val="FootnoteReference"/>
        </w:rPr>
        <w:footnoteReference w:id="90"/>
      </w:r>
      <w:r>
        <w:t>. C’est, là aussi, une dégradation mécanique. Personne n’a décidé qu’il fallait appauvrir les retraités de 2070 ; tout le monde, en revanche, a refusé pendant trente ans de prendre les mesures qui auraient évité cette dégradation.</w:t>
      </w:r>
    </w:p>
    <w:p w14:paraId="0408500F" w14:textId="77777777" w:rsidR="00BF0342" w:rsidRDefault="00000000">
      <w:pPr>
        <w:pStyle w:val="BodyText"/>
      </w:pPr>
      <w:r>
        <w:t>Et ces deux mouvements ne disent encore que la retraite — le solde différé, ce qu’on touchera dans quarante ans. Ils ne disent rien de ce que vivent, maintenant, ceux qui paient. Or ceux qui paient n’ont, à leur âge, jamais eu aussi peu. En 1970, un ménage français de moins de trente ans disposait d’un revenu supérieur à la moyenne nationale : 102 % du revenu moyen par ménage. En 2013, il était tombé à 60 %. Dans le même intervalle, le revenu relatif des ménages de soixante-dix à soixante-dix-neuf ans parcourait le chemin inverse, de 57 % à 86 % de la moyenne</w:t>
      </w:r>
      <w:r>
        <w:rPr>
          <w:rStyle w:val="FootnoteReference"/>
        </w:rPr>
        <w:footnoteReference w:id="91"/>
      </w:r>
      <w:r>
        <w:t>. Les jeunes se sont appauvris exactement quand leurs aînés s’enrichissaient — non pas en euros absolus, mais les uns relativement aux autres, ce qui est la seule mesure qui vaille lorsqu’on partage un même pays, un même budget et un même système de retraite.</w:t>
      </w:r>
    </w:p>
    <w:p w14:paraId="4DF3F2D1" w14:textId="77777777" w:rsidR="00BF0342" w:rsidRDefault="00000000">
      <w:pPr>
        <w:pStyle w:val="BodyText"/>
      </w:pPr>
      <w:r>
        <w:t>Le logement a verrouillé l’écart. Rapporté au revenu des ménages, le prix des logements a quitté, au tournant des années 2000, le « tunnel » dans lequel il évoluait sans à-coups depuis 1965 : il s’est envolé de 2002 à 2008, puis s’est figé sur un plateau élevé que l’économiste Jacques Friggit, qui a reconstitué cette série sur deux siècles, qualifie d’« exception française »</w:t>
      </w:r>
      <w:r>
        <w:rPr>
          <w:rStyle w:val="FootnoteReference"/>
        </w:rPr>
        <w:footnoteReference w:id="92"/>
      </w:r>
      <w:r>
        <w:t>. Se loger coûte désormais, en années de revenu, davantage qu’à aucun moment de l’après-guerre. Et l’on accède de moins en moins à la propriété : parmi les ménages de moins de trente ans, la part de locataires est passée de 74 % en 1970 à 81 % en 2013 — moins d’un sur cinq est propriétaire de son toit, et la proportion recule encore. Ce qui fut, pour la génération du baby-boom, l’ascenseur patrimonial par excellence — un logement acheté à crédit dans les années 1970, revalorisé de plusieurs centaines de pour cent, puis transmis — est devenu, pour ses petits-enfants, un mur.</w:t>
      </w:r>
    </w:p>
    <w:p w14:paraId="22B70B94" w14:textId="77777777" w:rsidR="00BF0342" w:rsidRDefault="00000000">
      <w:pPr>
        <w:pStyle w:val="BodyText"/>
      </w:pPr>
      <w:r>
        <w:t xml:space="preserve">Voilà ce que recouvre, au fond, l’expression qui donne son titre à ce chapitre. « C’est Nicolas qui paie » a surgi sur les réseaux sociaux en 2025, portée par de jeunes actifs qui faisaient, à leur façon, le calcul que fait ce livre : celui d’une génération qui cotise plus que toutes celles qui l’ont précédée, pour une pension qu’on lui annonce plus faible, tout en peinant à se loger dans le pays qu’elle finance. La formule a depuis été captée à des fins </w:t>
      </w:r>
      <w:r>
        <w:lastRenderedPageBreak/>
        <w:t>qui ne sont pas les nôtres</w:t>
      </w:r>
      <w:r>
        <w:rPr>
          <w:rStyle w:val="FootnoteReference"/>
        </w:rPr>
        <w:footnoteReference w:id="93"/>
      </w:r>
      <w:r>
        <w:t xml:space="preserve"> ; le ressentiment qu’elle traduit, lui, repose sur une arithmétique exacte. On cotise plus pour gagner moins. Ce n’est pas un slogan : c’est, ligne à ligne, ce que disent les chiffres.</w:t>
      </w:r>
    </w:p>
    <w:p w14:paraId="6343E376" w14:textId="77777777" w:rsidR="00BF0342" w:rsidRDefault="00000000">
      <w:pPr>
        <w:pStyle w:val="BodyText"/>
      </w:pPr>
      <w:r>
        <w:t xml:space="preserve">Le système français est, sur un point précis, un cas singulier de l’OCDE. Le </w:t>
      </w:r>
      <w:r>
        <w:rPr>
          <w:i/>
          <w:iCs/>
        </w:rPr>
        <w:t>Mercer CFA Institute Global Pension Index 2025</w:t>
      </w:r>
      <w:r>
        <w:t xml:space="preserve"> - qui note chaque année les systèmes de retraite des principaux pays développés sur trois dimensions (adéquation, viabilité, intégrité) - attribue à la France une note globale honorable, 70,3 sur 100, tirée vers le haut par l’adéquation de ses pensions (85,2). Mais le sous-indice « viabilité » la situe très bas : la France n’y obtient que 48,6 sur 100, contre 85,0 pour le Danemark et 83,5 pour les Pays-Bas - les deux pays dotés des piliers capitalisés les plus solides</w:t>
      </w:r>
      <w:r>
        <w:rPr>
          <w:rStyle w:val="FootnoteReference"/>
        </w:rPr>
        <w:footnoteReference w:id="94"/>
      </w:r>
      <w:r>
        <w:t>. Cette mesure n’a rien d’idéologique : elle compile la part des actifs en fonds de pension dans l’économie, le ratio cotisants/retraités, la croissance démographique, la dette publique et le poids des engagements de retraite implicites. C’est précisément sur ces sous-critères - ceux qui mesurent la capacité du système à tenir dans la durée - que la France décroche.</w:t>
      </w:r>
    </w:p>
    <w:p w14:paraId="3E7A16A2" w14:textId="77777777" w:rsidR="00BF0342" w:rsidRDefault="00000000">
      <w:pPr>
        <w:pStyle w:val="BodyText"/>
      </w:pPr>
      <w:r>
        <w:t>Comparons maintenant la France à la Suède. Une cohorte suédoise née la même année qu’une cohorte française obtient, dans son système qui adjoint à la répartition une part substantielle de capitalisation (comptes individuels PPM et régimes de branche), un rendement implicite annuel d’environ 3,1 %</w:t>
      </w:r>
      <w:r>
        <w:rPr>
          <w:rStyle w:val="FootnoteReference"/>
        </w:rPr>
        <w:footnoteReference w:id="95"/>
      </w:r>
      <w:r>
        <w:t xml:space="preserve"> - plus d’une fois et demie le rendement français pour la même cohorte. Et ce rendement supérieur, elle l’obtient en cotisant moins : une jeune Suédoise née en 1990 verse au total de l’ordre de 22 %, contre 28 % pour son équivalente française</w:t>
      </w:r>
      <w:r>
        <w:rPr>
          <w:rStyle w:val="FootnoteReference"/>
        </w:rPr>
        <w:footnoteReference w:id="96"/>
      </w:r>
      <w:r>
        <w:t>. La différence ne tient pas à la générosité des contribuables ni à la productivité moyenne du pays - elle tient à l’instrument. Le système suédois fait travailler le capital pendant que la jeune cotise ; le système français transfère ce qu’elle cotise vers ses aînés, et compte sur ses enfants pour faire de même.</w:t>
      </w:r>
    </w:p>
    <w:p w14:paraId="6CC32CDA" w14:textId="77777777" w:rsidR="00BF0342" w:rsidRDefault="00000000">
      <w:pPr>
        <w:pStyle w:val="BodyText"/>
      </w:pPr>
      <w:r>
        <w:lastRenderedPageBreak/>
        <w:t xml:space="preserve">Cela explique aussi le résultat probablement le plus brutal des sondages de ces deux dernières années. Selon le baromètre Odoxa-Groupama publié en novembre 2025, </w:t>
      </w:r>
      <w:r>
        <w:rPr>
          <w:b/>
          <w:bCs/>
        </w:rPr>
        <w:t>57 % des Français se déclarent désormais favorables à un système mixte mêlant répartition et capitalisation</w:t>
      </w:r>
      <w:r>
        <w:t>, contre 22 % qui préfèrent la capitalisation pure et seulement 20 % qui préfèrent la répartition pure</w:t>
      </w:r>
      <w:r>
        <w:rPr>
          <w:rStyle w:val="FootnoteReference"/>
        </w:rPr>
        <w:footnoteReference w:id="97"/>
      </w:r>
      <w:r>
        <w:t>. La proportion des partisans de la capitalisation dépasse, pour la première fois depuis qu’on mesure cette opinion, celle des partisans de la répartition pure.</w:t>
      </w:r>
    </w:p>
    <w:p w14:paraId="169C8588" w14:textId="77777777" w:rsidR="00BF0342" w:rsidRDefault="00000000">
      <w:pPr>
        <w:pStyle w:val="BodyText"/>
      </w:pPr>
      <w:r>
        <w:t>Chez les vingt-cinq-trente-cinq ans, la rupture est encore plus nette : selon les baromètres d’opinion du Cercle de l’Épargne et de l’Institut Montaigne, une large majorité ne croit plus à la viabilité du régime tel qu’il est</w:t>
      </w:r>
      <w:r>
        <w:rPr>
          <w:rStyle w:val="FootnoteReference"/>
        </w:rPr>
        <w:footnoteReference w:id="98"/>
      </w:r>
      <w:r>
        <w:t>. Ils ne se prononcent pas par idéologie ; ils ont fait le calcul, et le calcul leur dit qu’ils paieront pour les autres davantage qu’on ne paiera pour eux.</w:t>
      </w:r>
    </w:p>
    <w:p w14:paraId="0DBB8043" w14:textId="77777777" w:rsidR="00BF0342" w:rsidRDefault="00000000">
      <w:pPr>
        <w:pStyle w:val="BodyText"/>
      </w:pPr>
      <w:r>
        <w:t>Le tabou français, longtemps absolu, se fissure par les deux extrémités du spectre - du côté de l’opinion publique, et du côté des institutions qui, par construction, devraient être les dernières à céder.</w:t>
      </w:r>
    </w:p>
    <w:p w14:paraId="6D343340" w14:textId="77777777" w:rsidR="00BF0342" w:rsidRDefault="00000000">
      <w:pPr>
        <w:pStyle w:val="BodyText"/>
      </w:pPr>
      <w:r>
        <w:t>Tout cela compose un tableau qui n’est pas optimiste, mais qui n’est pas non plus dramatique : il est, à la lettre, sans issue dans le cadre actuel. L’âge légal en France atteindra soixante-quatre ans en 2030, contre soixante-sept en Allemagne et en Italie comme au Royaume-Uni, au Danemark et aux Pays-Bas</w:t>
      </w:r>
      <w:r>
        <w:rPr>
          <w:rStyle w:val="FootnoteReference"/>
        </w:rPr>
        <w:footnoteReference w:id="99"/>
      </w:r>
      <w:r>
        <w:t>. Théoriquement, la France peut encore monter. Dans la pratique, le taux d’emploi des 60-64 ans, malgré la réforme, n’atteint que 42,4 % en 2024 - la majorité des actifs âgés ne sont déjà plus en emploi avant l’âge légal</w:t>
      </w:r>
      <w:r>
        <w:rPr>
          <w:rStyle w:val="FootnoteReference"/>
        </w:rPr>
        <w:footnoteReference w:id="100"/>
      </w:r>
      <w:r>
        <w:t>. 26% des cadres seniors sont en chômage de longue durée, selon France Travail et l’APEC</w:t>
      </w:r>
      <w:r>
        <w:rPr>
          <w:rStyle w:val="FootnoteReference"/>
        </w:rPr>
        <w:footnoteReference w:id="101"/>
      </w:r>
      <w:r>
        <w:t>. Repousser l’âge légal sans politique massive d’emploi des seniors n’augmente pas la durée de cotisation effective : il augmente la durée de chômage de fin de carrière, suivie d’une retraite décotée. Frédéric Souillot, secrétaire général de Force ouvrière, le résumait sobrement en février 2023 : « cinquante pour cent des personnes qui liquident leur retraite à 62 ans n’ont plus d’emploi »</w:t>
      </w:r>
      <w:r>
        <w:rPr>
          <w:rStyle w:val="FootnoteReference"/>
        </w:rPr>
        <w:footnoteReference w:id="102"/>
      </w:r>
      <w:r>
        <w:t>.</w:t>
      </w:r>
    </w:p>
    <w:p w14:paraId="069EFED6" w14:textId="77777777" w:rsidR="00BF0342" w:rsidRDefault="00000000">
      <w:pPr>
        <w:pStyle w:val="BodyText"/>
      </w:pPr>
      <w:r>
        <w:lastRenderedPageBreak/>
        <w:t>Allonger la durée de cotisation, ce n’est pas davantage une issue : la France figure déjà parmi les durées de cotisation les plus élevées d’Europe avec quarante-trois années requises</w:t>
      </w:r>
      <w:r>
        <w:rPr>
          <w:rStyle w:val="FootnoteReference"/>
        </w:rPr>
        <w:footnoteReference w:id="103"/>
      </w:r>
      <w:r>
        <w:t>. Augmenter encore les cotisations, c’est asphyxier le coût du travail à un moment où il est déjà parmi les plus élevés du continent. Baisser les pensions, c’est ce que le système fait déjà tout seul, mécaniquement, par le simple fait de continuer à fonctionner.</w:t>
      </w:r>
    </w:p>
    <w:p w14:paraId="1CA31077" w14:textId="77777777" w:rsidR="00BF0342" w:rsidRDefault="00000000">
      <w:pPr>
        <w:pStyle w:val="BodyText"/>
      </w:pPr>
      <w:r>
        <w:t>Aucun de ces leviers, pris isolément, ne tient. Aucune combinaison plausible des quatre ne ramène le système à l’équilibre durable. Le COR, dans son scénario central, le reconnaît implicitement : il projette un déficit chronique jusqu’en 2070. Il l’écrit explicitement : « durablement en besoin de financement quel que soit le scénario ». La France a passé trente ans à perfectionner un outil - la réforme paramétrique - qui ne peut, par construction, résoudre le problème qui lui est posé. Et chaque année qui passe ajoute à la facture.</w:t>
      </w:r>
    </w:p>
    <w:p w14:paraId="4E1CEE25" w14:textId="77777777" w:rsidR="00D06B1C" w:rsidRDefault="00D06B1C">
      <w:pPr>
        <w:rPr>
          <w:ins w:id="38" w:author="emmanuel blezes" w:date="2026-06-22T16:04:00Z" w16du:dateUtc="2026-06-22T14:04:00Z"/>
          <w:rFonts w:asciiTheme="majorHAnsi" w:eastAsiaTheme="majorEastAsia" w:hAnsiTheme="majorHAnsi" w:cstheme="majorBidi"/>
          <w:color w:val="0F4761" w:themeColor="accent1" w:themeShade="BF"/>
          <w:sz w:val="40"/>
          <w:szCs w:val="40"/>
        </w:rPr>
      </w:pPr>
      <w:bookmarkStart w:id="39" w:name="partie-2-comprendre-la-capitalisation"/>
      <w:bookmarkStart w:id="40" w:name="_Toc233036186"/>
      <w:bookmarkEnd w:id="20"/>
      <w:bookmarkEnd w:id="36"/>
      <w:ins w:id="41" w:author="emmanuel blezes" w:date="2026-06-22T16:04:00Z" w16du:dateUtc="2026-06-22T14:04:00Z">
        <w:r>
          <w:br w:type="page"/>
        </w:r>
      </w:ins>
    </w:p>
    <w:p w14:paraId="36BB6BF7" w14:textId="4FC18520" w:rsidR="00BF0342" w:rsidRDefault="00000000">
      <w:pPr>
        <w:pStyle w:val="Heading1"/>
      </w:pPr>
      <w:r>
        <w:lastRenderedPageBreak/>
        <w:t>Partie 2 — Comprendre la capitalisation</w:t>
      </w:r>
      <w:bookmarkEnd w:id="40"/>
    </w:p>
    <w:p w14:paraId="4F29A830" w14:textId="77777777" w:rsidR="00BF0342" w:rsidRDefault="00000000">
      <w:pPr>
        <w:pStyle w:val="FirstParagraph"/>
      </w:pPr>
      <w:r>
        <w:rPr>
          <w:i/>
          <w:iCs/>
        </w:rPr>
        <w:t>Le mot tabou</w:t>
      </w:r>
    </w:p>
    <w:p w14:paraId="0C2621E4" w14:textId="77777777" w:rsidR="00BF0342" w:rsidRDefault="00000000">
      <w:pPr>
        <w:pStyle w:val="BodyText"/>
      </w:pPr>
      <w:r>
        <w:t xml:space="preserve">« Capitalisation ». Ce simple mot suffit à déployer tout un ensemble de caricatures : les </w:t>
      </w:r>
      <w:r>
        <w:rPr>
          <w:i/>
          <w:iCs/>
        </w:rPr>
        <w:t>traders</w:t>
      </w:r>
      <w:r>
        <w:t xml:space="preserve"> façon Loup de Wall Street, les </w:t>
      </w:r>
      <w:r>
        <w:rPr>
          <w:i/>
          <w:iCs/>
        </w:rPr>
        <w:t>subprimes</w:t>
      </w:r>
      <w:r>
        <w:t xml:space="preserve"> de 2008, le « capitalisme financier », Enron, Madoff… quasiment la fin du monde. Dans l’imaginaire français, capitaliser pour sa retraite se situe quelque part entre prier le veau d’or et parier au PMU. Trente ans de pédagogie négative ont abouti à ce résultat : faire de la capitalisation un repoussoir.</w:t>
      </w:r>
    </w:p>
    <w:p w14:paraId="2DEEE33F" w14:textId="77777777" w:rsidR="00BF0342" w:rsidRDefault="00000000">
      <w:pPr>
        <w:pStyle w:val="BodyText"/>
      </w:pPr>
      <w:r>
        <w:t>Ce rejet a pourtant une origine précise, et elle n’est pas d’abord idéologique : elle est historique. Si la France a choisi la répartition, ce fut par traumatisme avant que ce fût par doctrine. Les premières retraites françaises, instituées par les lois de 1910 et de 1928-1930, fonctionnaient par capitalisation : on accumulait un capital qui devait servir la pension. Or ce capital fut purement et simplement anéanti - par l’inflation de la Première Guerre mondiale, puis par celle des années 1930 et de la Seconde. La valeur réelle des sommes épargnées par des millions de travailleurs fut réduite à néant, et leurs pensions, présentes et futures, avec elle. Face à ce désastre, la loi du 14 mars 1941, puis l’ordonnance fondatrice du 4 octobre 1945 qui crée la Sécurité sociale, substituent définitivement la répartition à la capitalisation</w:t>
      </w:r>
      <w:r>
        <w:rPr>
          <w:rStyle w:val="FootnoteReference"/>
        </w:rPr>
        <w:footnoteReference w:id="104"/>
      </w:r>
      <w:r>
        <w:t>. Le choix de 1945 était, dans son contexte, parfaitement rationnel : dans un pays ruiné, sans marchés financiers profonds, où l’inflation venait de pulvériser deux fois l’épargne longue, la solidarité immédiate entre actifs et retraités était la seule promesse crédible.</w:t>
      </w:r>
    </w:p>
    <w:p w14:paraId="4090C34D" w14:textId="77777777" w:rsidR="00BF0342" w:rsidRDefault="00000000">
      <w:pPr>
        <w:pStyle w:val="BodyText"/>
      </w:pPr>
      <w:r>
        <w:t>Mais ce contexte n’est plus le nôtre. L’inflation à deux chiffres a disparu depuis plus de quarante ans. Les marchés de capitaux sont devenus profonds, liquides, mondiaux. Et la démographie qui rendait la répartition si avantageuse en 1945 - beaucoup d’actifs, peu de retraités, pour peu de temps - s’est entièrement retournée. Nous avons hérité d’un choix de circonstance, fait dans des circonstances qui ont depuis disparu, et nous le traitons comme un principe éternel. Le tabou français est, pour une bonne part, le fossile d’une catastrophe que plus personne n’a connue.</w:t>
      </w:r>
    </w:p>
    <w:p w14:paraId="0CA12B88" w14:textId="77777777" w:rsidR="00BF0342" w:rsidRDefault="00000000">
      <w:pPr>
        <w:pStyle w:val="BodyText"/>
      </w:pPr>
      <w:r>
        <w:t>Ce chapitre vise à rationaliser les termes du débat. Expliquer, le plus simplement possible, ce qu’on entend par « retraite par capitalisation ». Parce que tant que la capitalisation reste, dans l’imaginaire français, synonyme d’« investissement en bourse réservé aux riches », aucun débat sérieux n’est possible. Or je crois qu’on ne peut discuter intelligemment de ce qu’on ne comprend pas.</w:t>
      </w:r>
    </w:p>
    <w:p w14:paraId="1E0FA99F" w14:textId="77777777" w:rsidR="00BF0342" w:rsidRDefault="00000000">
      <w:pPr>
        <w:pStyle w:val="BodyText"/>
      </w:pPr>
      <w:r>
        <w:t xml:space="preserve">Définissons donc. La retraite par capitalisation, dans son acception technique, est un mécanisme à quatre temps. 1/ On cotise pendant la vie active. 2/ Les cotisations sont </w:t>
      </w:r>
      <w:r>
        <w:lastRenderedPageBreak/>
        <w:t>investies dans un portefeuille diversifié - actions, obligations, immobilier, infrastructures - sur un horizon de trente ou quarante ans. 3/ Ce portefeuille d’investissements produit chaque année un rendement, qui s’ajoute aux cotisations suivantes : c’est le rendement composé. 4/ À la retraite, le capital accumulé se transforme en rente mensuelle, versée jusqu’au décès</w:t>
      </w:r>
      <w:r>
        <w:rPr>
          <w:rStyle w:val="FootnoteReference"/>
        </w:rPr>
        <w:footnoteReference w:id="105"/>
      </w:r>
      <w:r>
        <w:t>. Voilà. Il n’y a pas de mystère. C’est de l’arithmétique appliquée à du temps long.</w:t>
      </w:r>
    </w:p>
    <w:p w14:paraId="59EAE87D" w14:textId="77777777" w:rsidR="00BF0342" w:rsidRDefault="00000000">
      <w:pPr>
        <w:pStyle w:val="BodyText"/>
      </w:pPr>
      <w:r>
        <w:t>GRAPHE INTERETS COMPOSES</w:t>
      </w:r>
    </w:p>
    <w:p w14:paraId="23E5F84D" w14:textId="77777777" w:rsidR="00BF0342" w:rsidRDefault="00000000">
      <w:pPr>
        <w:pStyle w:val="BodyText"/>
      </w:pPr>
      <w:r>
        <w:t>Et c’est exactement l’inverse de la répartition, qui constitue, depuis 1945, l’ossature unique du système français. En répartition, les cotisations prélevées en juin 2026 servent à payer les pensions versées en juin 2026</w:t>
      </w:r>
      <w:r>
        <w:rPr>
          <w:rStyle w:val="FootnoteReference"/>
        </w:rPr>
        <w:footnoteReference w:id="106"/>
      </w:r>
      <w:r>
        <w:t>. Rien ne s’accumule. Rien ne fructifie. Le système agit comme un tuyau et non comme un coffre.</w:t>
      </w:r>
    </w:p>
    <w:p w14:paraId="4873633C" w14:textId="77777777" w:rsidR="00BF0342" w:rsidRDefault="00000000">
      <w:pPr>
        <w:pStyle w:val="BodyText"/>
      </w:pPr>
      <w:r>
        <w:t>La capitalisation, elle, est un coffre collectif, géré professionnellement, alimenté tout au long de la vie, et qui rend à chacun, à l’âge de la retraite, ce qu’il a versé augmenté de ce que le capital a produit. Aucun système économique sérieux n’oppose les deux : tous les pays comparables combinent un pilier de répartition (la solidarité immédiate) et un pilier de capitalisation (l’accumulation longue). La France, elle, n’a que le premier.</w:t>
      </w:r>
    </w:p>
    <w:p w14:paraId="0DB2D6A8" w14:textId="77777777" w:rsidR="00BF0342" w:rsidRDefault="00000000">
      <w:pPr>
        <w:pStyle w:val="BodyText"/>
      </w:pPr>
      <w:r>
        <w:t>Nous allons, dans ce chapitre, sortir le sujet de l’idéologie pour le ramener à ce qu’il est : un outil. Un outil que nous n’avons pas, que nos voisins ont, et qui - c’est tout le travail des pages qui viennent - ferait, pour la pension d’un actif français de trente ans aujourd’hui, une différence chiffrable en centaines de milliers d’euros.</w:t>
      </w:r>
    </w:p>
    <w:p w14:paraId="20E1A70D" w14:textId="77777777" w:rsidR="00BF0342" w:rsidRDefault="00000000">
      <w:pPr>
        <w:pStyle w:val="Heading2"/>
      </w:pPr>
      <w:bookmarkStart w:id="42" w:name="anatomie-dun-euro-cotisé"/>
      <w:bookmarkStart w:id="43" w:name="_Toc233036187"/>
      <w:r>
        <w:t>Anatomie d’un euro cotisé</w:t>
      </w:r>
      <w:bookmarkEnd w:id="43"/>
    </w:p>
    <w:p w14:paraId="0BD26429" w14:textId="77777777" w:rsidR="00BF0342" w:rsidRDefault="00000000">
      <w:pPr>
        <w:pStyle w:val="FirstParagraph"/>
      </w:pPr>
      <w:r>
        <w:t>Pour comprendre ce que sépare vraiment la répartition de la capitalisation, le mieux est de suivre un euro cotisé - ou, par souci de lisibilité, une cotisation mensuelle entière.</w:t>
      </w:r>
    </w:p>
    <w:p w14:paraId="2159227B" w14:textId="77777777" w:rsidR="00BF0342" w:rsidRDefault="00000000">
      <w:pPr>
        <w:pStyle w:val="BodyText"/>
      </w:pPr>
      <w:r>
        <w:t>Imaginez : nous sommes en juin 2026. Un salarié de trente ans, salaire moyen - autour de 3 400 € brut par mois -, voit partir sur sa fiche de paie environ 390 € de cotisation retraite salariale, auxquels s’ajoutent environ 570 € de part patronale, car en France l’employeur cotise davantage que le salarié. Près de 960 € au total quittent chaque mois le compte de son employeur au titre de la retraite - nous les arrondirons à 1 000 €, par souci de lisibilité. Que deviennent-ils, en répartition, et qu’auraient-ils pu devenir en capitalisation ?</w:t>
      </w:r>
    </w:p>
    <w:p w14:paraId="738C9B40" w14:textId="77777777" w:rsidR="00BF0342" w:rsidRDefault="00000000">
      <w:pPr>
        <w:pStyle w:val="BodyText"/>
      </w:pPr>
      <w:r>
        <w:t xml:space="preserve">En répartition, le voyage est court : l’argent des cotisations arrive à la CNAV et à l’AGIRC-ARRCO. Le mois suivant, il en repart : il finance les pensions des retraités du mois en cours. </w:t>
      </w:r>
      <w:r>
        <w:lastRenderedPageBreak/>
        <w:t>Rien n’est mis de côté, rien n’est investi, rien ne capitalise. À la place du capital, le cotisant accumule des « points » ou des « trimestres », qui sont une promesse de l’État. Une promesse contractuelle, légitime, mais une promesse - pas une créance financière, pas un actif. Le rendement implicite de cette promesse, pour les générations actuellement en cours de cotisation, est estimé entre 1 % et 2 % par an</w:t>
      </w:r>
      <w:r>
        <w:rPr>
          <w:rStyle w:val="FootnoteReference"/>
        </w:rPr>
        <w:footnoteReference w:id="107"/>
      </w:r>
      <w:r>
        <w:t>. C’est, en termes financiers, l’équivalent d’un livret d’épargne en sous-rendement permanent - auquel on ajoute le risque démographique, c’est-à-dire le risque que les actifs futurs ne puissent payer.</w:t>
      </w:r>
    </w:p>
    <w:p w14:paraId="742CECE5" w14:textId="77777777" w:rsidR="00BF0342" w:rsidRDefault="00000000">
      <w:pPr>
        <w:pStyle w:val="BodyText"/>
      </w:pPr>
      <w:r>
        <w:t>En capitalisation - comme en Suède, aux Pays-Bas, en Australie -, le voyage est plus long et plus intéressant. Les 1 000 € arrivent à un fonds de pension. Ce fonds les investit : une part en actions cotées d’entreprises, une part en obligations souveraines et d’entreprise, une part en immobilier coté et non coté, une part marginale en liquidités</w:t>
      </w:r>
      <w:r>
        <w:rPr>
          <w:rStyle w:val="FootnoteReference"/>
        </w:rPr>
        <w:footnoteReference w:id="108"/>
      </w:r>
      <w:r>
        <w:t>. À aucun moment l’argent n’est laissé inerte. Il devient, presque instantanément, des parts dans Apple, Nestlé, TotalEnergies, des obligations du Trésor allemand, un immeuble de bureaux à Amsterdam, une part de fonds infrastructure qui finance des éoliennes en mer du Nord. Le travailleur passe de simple cotisant à actionnaire.</w:t>
      </w:r>
    </w:p>
    <w:p w14:paraId="7A88F6C3" w14:textId="77777777" w:rsidR="00BF0342" w:rsidRDefault="00000000">
      <w:pPr>
        <w:pStyle w:val="BodyText"/>
      </w:pPr>
      <w:r>
        <w:t>Et cet argent travaille. Au bout d’un an, à 4 % de rendement réel - hypothèse prudente, on y revient -, les 1 000 € sont devenus 1 040 €. La deuxième année, ce sont les 1 040 € qui produisent 4 %, soit 1 082 €. La troisième, 1 125 €. Le mécanisme, en apparence anodin, prend son sens sur la durée d’une carrière : au bout de quarante ans, ces 1 000 € initiaux valent, en euros constants, environ 4 800 €</w:t>
      </w:r>
      <w:r>
        <w:rPr>
          <w:rStyle w:val="FootnoteReference"/>
        </w:rPr>
        <w:footnoteReference w:id="109"/>
      </w:r>
      <w:r>
        <w:t>. Ce sont les intérêts composés, l’objet de mon tout premier cours de finance à HEC.</w:t>
      </w:r>
    </w:p>
    <w:p w14:paraId="736F947E" w14:textId="77777777" w:rsidR="00BF0342" w:rsidRDefault="00000000">
      <w:pPr>
        <w:pStyle w:val="BodyText"/>
      </w:pPr>
      <w:r>
        <w:t>GRAPHES : QUE DEVIENNENT DES COTISATIONS AVEC LES INTERETS COMPOSES</w:t>
      </w:r>
    </w:p>
    <w:p w14:paraId="1AA09724" w14:textId="77777777" w:rsidR="00BF0342" w:rsidRDefault="00000000">
      <w:pPr>
        <w:pStyle w:val="BodyText"/>
      </w:pPr>
      <w:r>
        <w:t>Une citation apocryphe attribuée à Einstein circule depuis des décennies sur le sujet : il en aurait fait la « huitième merveille du monde ». Elle est introuvable dans les œuvres d’Einstein, aucun historien des sciences n’en a retrouvé la source primaire</w:t>
      </w:r>
      <w:r>
        <w:rPr>
          <w:rStyle w:val="FootnoteReference"/>
        </w:rPr>
        <w:footnoteReference w:id="110"/>
      </w:r>
      <w:r>
        <w:t xml:space="preserve">. Mieux vaut </w:t>
      </w:r>
      <w:r>
        <w:lastRenderedPageBreak/>
        <w:t>donc l’oublier - le mécanisme n’a pas besoin d’Einstein pour être impressionnant. Il lui suffit d’être correctement compris.</w:t>
      </w:r>
    </w:p>
    <w:p w14:paraId="1DD3132D" w14:textId="77777777" w:rsidR="00BF0342" w:rsidRDefault="00000000">
      <w:pPr>
        <w:pStyle w:val="BodyText"/>
      </w:pPr>
      <w:r>
        <w:t>L’intérêt composé, c’est l’intérêt qui produit lui-même de l’intérêt. Sur dix ans, à 4 %, l’écart avec un intérêt simple reste discret : 1 000 € deviennent 1 480 €, contre 1 400 €. La différence ne se voit pas. Mais quelque chose se passe dans les profondeurs du calcul. Allongez l’horizon, et les ordres de grandeur changent : sur vingt ans à 4 %, le capital double pratiquement ; sur trente, il triple ; sur quarante - la durée d’une carrière -, il est multiplié par 4,8 ; sur cinquante ans, par 7,1</w:t>
      </w:r>
      <w:r>
        <w:rPr>
          <w:rStyle w:val="FootnoteReference"/>
        </w:rPr>
        <w:footnoteReference w:id="111"/>
      </w:r>
      <w:r>
        <w:t>. Même taux, même placement. Seul le temps a changé.</w:t>
      </w:r>
    </w:p>
    <w:p w14:paraId="459369AF" w14:textId="77777777" w:rsidR="00BF0342" w:rsidRDefault="00000000">
      <w:pPr>
        <w:pStyle w:val="BodyText"/>
      </w:pPr>
      <w:r>
        <w:t>Pour les retraites, ce mécanisme bête comme chou a une conséquence implacable. Une cotisation versée à 25 ans travaille pendant quarante ans avant de payer une pension. Une cotisation versée à 55 ans travaille pendant dix ans. À taux égal, la première vaut plus de trois fois la seconde</w:t>
      </w:r>
      <w:r>
        <w:rPr>
          <w:rStyle w:val="FootnoteReference"/>
        </w:rPr>
        <w:footnoteReference w:id="112"/>
      </w:r>
      <w:r>
        <w:t>. C’est pourquoi tous les systèmes capitalisés sérieux insistent sur un démarrage tôt et sur la durée d’exposition au capital.</w:t>
      </w:r>
    </w:p>
    <w:p w14:paraId="434A2B3A" w14:textId="77777777" w:rsidR="00BF0342" w:rsidRDefault="00000000">
      <w:pPr>
        <w:pStyle w:val="BodyText"/>
      </w:pPr>
      <w:r>
        <w:t xml:space="preserve">Ce mécanisme renvoie aussi à une question plus large, celle posée par Thomas Piketty dans </w:t>
      </w:r>
      <w:r>
        <w:rPr>
          <w:i/>
          <w:iCs/>
        </w:rPr>
        <w:t>Le Capital au XXIe siècle</w:t>
      </w:r>
      <w:r>
        <w:t xml:space="preserve">. Piketty observe, sur données très longues, que le rendement du capital (qu’il note </w:t>
      </w:r>
      <w:r>
        <w:rPr>
          <w:i/>
          <w:iCs/>
        </w:rPr>
        <w:t>r</w:t>
      </w:r>
      <w:r>
        <w:t xml:space="preserve">) tend à dépasser le taux de croissance économique (qu’il note </w:t>
      </w:r>
      <w:r>
        <w:rPr>
          <w:i/>
          <w:iCs/>
        </w:rPr>
        <w:t>g</w:t>
      </w:r>
      <w:r>
        <w:t xml:space="preserve">). C’est l’inégalité célèbre, </w:t>
      </w:r>
      <w:r>
        <w:rPr>
          <w:i/>
          <w:iCs/>
        </w:rPr>
        <w:t>r &gt; g</w:t>
      </w:r>
      <w:r>
        <w:t>. La conclusion politique qu’il en tire est une demande de redistribution massive du capital, par l’impôt notamment</w:t>
      </w:r>
      <w:r>
        <w:rPr>
          <w:rStyle w:val="FootnoteReference"/>
        </w:rPr>
        <w:footnoteReference w:id="113"/>
      </w:r>
      <w:r>
        <w:t>. La conclusion technique, indépendante de ses conclusions politiques, est plus directement utilisable ici : si le rendement du capital dépasse durablement la croissance, alors un système qui fait travailler le capital pour ses retraités produit, à long terme, davantage qu’un système qui se contente de prélever sur la masse salariale courante. C’est, mathématiquement, le départ entre capitalisation et répartition.</w:t>
      </w:r>
    </w:p>
    <w:p w14:paraId="0F6922F2" w14:textId="77777777" w:rsidR="00BF0342" w:rsidRDefault="00000000">
      <w:pPr>
        <w:pStyle w:val="BodyText"/>
      </w:pPr>
      <w:r>
        <w:t xml:space="preserve">Les ordres de grandeur peuvent se vérifier dans les données très longues. Le </w:t>
      </w:r>
      <w:r>
        <w:rPr>
          <w:i/>
          <w:iCs/>
        </w:rPr>
        <w:t>Global Investment Returns Yearbook</w:t>
      </w:r>
      <w:r>
        <w:t xml:space="preserve"> publié chaque année par UBS avec Elroy Dimson (université de Cambridge), Paul Marsh et Mike Staunton (London Business School) calcule les rendements réels annualisés de 35 marchés boursiers sur cent vingt-cinq ans, de 1900 à 2024. Le résultat : les actions mondiales ont produit, en termes réels, 5,2 % par an. Les </w:t>
      </w:r>
      <w:r>
        <w:lastRenderedPageBreak/>
        <w:t>obligations gouvernementales, 1,7 %. Les bons du Trésor, 0,5 %</w:t>
      </w:r>
      <w:r>
        <w:rPr>
          <w:rStyle w:val="FootnoteReference"/>
        </w:rPr>
        <w:footnoteReference w:id="114"/>
      </w:r>
      <w:r>
        <w:t>. Ces chiffres incluent deux guerres mondiales, la crise de 1929, la stagflation des années 1970, les crashs récents de 2000 et 2008. Ils ne décrivent pas un best case : ils décrivent ce qu’on a effectivement observé, sur un siècle et un quart, dans le monde réel.</w:t>
      </w:r>
    </w:p>
    <w:p w14:paraId="4F6E4D58" w14:textId="77777777" w:rsidR="00BF0342" w:rsidRDefault="00000000">
      <w:pPr>
        <w:pStyle w:val="BodyText"/>
      </w:pPr>
      <w:r>
        <w:t xml:space="preserve">Mille milliards de petits articles vous diront que les performances passées ne préjugent pas des performances futures. C’est juste. Mais cent vingt-cinq ans d’histoire boursière constituent l’un des plus longs corpus de données empiriques en sciences sociales. Les fonds de pension qui projettent un rendement réel net de 4 % par an sur quarante ans ne projettent pas un fantasme : ils projettent une valeur prudente, située en dessous de la moyenne historique longue. C’est cette zone de 3 à 5 % réel que tous les calculs sérieux - Martinot pour Fondapol, l’OCDE dans </w:t>
      </w:r>
      <w:r>
        <w:rPr>
          <w:i/>
          <w:iCs/>
        </w:rPr>
        <w:t>Pensions at a Glance</w:t>
      </w:r>
      <w:r>
        <w:t>, les rapports annuels des grands fonds - retiennent comme hypothèse centrale. C’est elle que nous utilisons ici.</w:t>
      </w:r>
    </w:p>
    <w:p w14:paraId="559A01FC" w14:textId="77777777" w:rsidR="00BF0342" w:rsidRDefault="00000000">
      <w:pPr>
        <w:pStyle w:val="BodyText"/>
      </w:pPr>
      <w:r>
        <w:t>À la retraite, le capital accumulé se transforme en rente. Le fonds calcule, en fonction de l’espérance de vie résiduelle, le montant mensuel qu’il peut verser pour épuiser le capital - augmenté de son propre rendement résiduel - sur la durée probable de retraite. Le retraité touche cette rente jusqu’à son décès. Si le capital n’est pas entièrement consommé - décès anticipé, héritage -, certains régimes prévoient une transmission, d’autres non</w:t>
      </w:r>
      <w:r>
        <w:rPr>
          <w:rStyle w:val="FootnoteReference"/>
        </w:rPr>
        <w:footnoteReference w:id="115"/>
      </w:r>
      <w:r>
        <w:t>.</w:t>
      </w:r>
    </w:p>
    <w:p w14:paraId="104AF24C" w14:textId="77777777" w:rsidR="00BF0342" w:rsidRDefault="00000000">
      <w:pPr>
        <w:pStyle w:val="BodyText"/>
      </w:pPr>
      <w:r>
        <w:t xml:space="preserve">Cette transformation du capital en rente soulève l’objection la plus fréquente, et la plus légitime : « et si les marchés s’effondrent juste avant mon départ ? » C’est ce que les actuaires nomment le </w:t>
      </w:r>
      <w:r>
        <w:rPr>
          <w:i/>
          <w:iCs/>
        </w:rPr>
        <w:t>risque de séquence</w:t>
      </w:r>
      <w:r>
        <w:t xml:space="preserve"> : un krach survenant à soixante-trois ans, lorsque le capital est à son maximum, fait infiniment plus de dégâts que le même krach à trente ans, quand il n’y a presque rien à perdre. L’objection est sérieuse. Elle a une réponse - et cette réponse n’est pas « croisons les doigts ». C’est la gestion en cycle de vie.</w:t>
      </w:r>
    </w:p>
    <w:p w14:paraId="263E079B" w14:textId="77777777" w:rsidR="00BF0342" w:rsidRDefault="00000000">
      <w:pPr>
        <w:pStyle w:val="BodyText"/>
      </w:pPr>
      <w:r>
        <w:t xml:space="preserve">Le principe en est simple, et automatique. Tant que le cotisant est jeune, son épargne est massivement investie en actions : l’actif le plus rémunérateur sur longue période, dont la volatilité de court terme est sans conséquence puisqu’on ne touchera à rien avant des décennies. À mesure qu’il approche de la retraite, le fonds réduit mécaniquement la part d’actions et augmente celle des obligations, de sorte qu’au moment du départ, le capital est largement à l’abri d’un krach. Le cotisant n’a aucune décision à prendre : la désensibilisation se fait seule, selon son âge. C’est exactement le fonctionnement du fonds par défaut suédois, AP7 Såfa : jusqu’à cinquante-cinq ans, l’épargne est investie à 100 % dans un fonds actions - lui-même doté d’un effet de levier d’environ 1,25, soit une exposition supérieure à 100 % pour les plus jeunes - ; puis, de cinquante-six à soixante-quinze ans, le curseur glisse chaque année vers les obligations, jusqu’à deux tiers de taux </w:t>
      </w:r>
      <w:r>
        <w:lastRenderedPageBreak/>
        <w:t>fixe à l’arrivée</w:t>
      </w:r>
      <w:r>
        <w:rPr>
          <w:rStyle w:val="FootnoteReference"/>
        </w:rPr>
        <w:footnoteReference w:id="116"/>
      </w:r>
      <w:r>
        <w:t>. Un Suédois entré dans le système en 2000 et parti en 2024 a ainsi traversé plusieurs krachs majeurs en voyant, à chaque fois, son exposition au risque ajustée à son âge.</w:t>
      </w:r>
    </w:p>
    <w:p w14:paraId="34B68F6A" w14:textId="77777777" w:rsidR="00BF0342" w:rsidRDefault="00000000">
      <w:pPr>
        <w:pStyle w:val="BodyText"/>
      </w:pPr>
      <w:r>
        <w:t>À cela s’ajoute, dans les régimes collectifs, un second amortisseur : la mutualisation et la réserve de lissage. Un fonds de pension ne liquide pas tout le même jour ; il sert des rentes à des millions de retraités d’âges différents tout en encaissant les cotisations de millions d’actifs. Un mauvais millésime boursier est absorbé par la masse, étalé dans le temps, amorti par le coussin de surcouverture - celui-là même que le RAFP affiche à 135 % de sa valeur économique. Le risque de « tomber au mauvais moment », réel pour l’épargnant solitaire, est, dans un régime collectif bien construit, largement neutralisé.</w:t>
      </w:r>
    </w:p>
    <w:p w14:paraId="5AA8A1A2" w14:textId="77777777" w:rsidR="00BF0342" w:rsidRDefault="00000000">
      <w:pPr>
        <w:pStyle w:val="BodyText"/>
      </w:pPr>
      <w:r>
        <w:t>Il y a, dans cette comparaison, deux différences qui méritent qu’on les nomme.</w:t>
      </w:r>
    </w:p>
    <w:p w14:paraId="124DB2AC" w14:textId="77777777" w:rsidR="00BF0342" w:rsidRDefault="00000000">
      <w:pPr>
        <w:pStyle w:val="BodyText"/>
      </w:pPr>
      <w:r>
        <w:t>La première est temporelle. La répartition ne fait jamais travailler l’argent. Elle le fait transiter. Chaque euro qui rentre au mois M ressort au mois M+1. La capitalisation, elle, fait travailler l’argent pendant trente ou quarante ans. C’est la même différence qu’entre passer une nuit dans un hôtel et y être propriétaire d’une chambre.</w:t>
      </w:r>
    </w:p>
    <w:p w14:paraId="49CC3CC3" w14:textId="77777777" w:rsidR="00BF0342" w:rsidRDefault="00000000">
      <w:pPr>
        <w:pStyle w:val="BodyText"/>
      </w:pPr>
      <w:r>
        <w:t>La seconde est juridique. En répartition, la cotisation crée un droit - un droit politique, garanti par la République. En capitalisation, la cotisation crée une créance - une créance financière, garantie par un actif. Les deux ne sont pas équivalents. Un droit politique peut être révisé par une loi. Une créance financière, elle, reste la propriété de son titulaire, même si l’État change.</w:t>
      </w:r>
    </w:p>
    <w:p w14:paraId="3B43DB3C" w14:textId="77777777" w:rsidR="00BF0342" w:rsidRDefault="00000000">
      <w:pPr>
        <w:pStyle w:val="BodyText"/>
      </w:pPr>
      <w:r>
        <w:t>Aucun système viable ne fonctionne intégralement avec l’un ou l’autre. La Suède combine répartition et capitalisation au premier pilier, plus une couche complémentaire professionnelle obligatoire</w:t>
      </w:r>
      <w:r>
        <w:rPr>
          <w:rStyle w:val="FootnoteReference"/>
        </w:rPr>
        <w:footnoteReference w:id="117"/>
      </w:r>
      <w:r>
        <w:t>. Les Pays-Bas font différemment : une base de répartition modeste, complétée par un étage capitalisé sectoriel obligatoire qui couvre 85 % des salariés et porte l’essentiel du revenu de retraite</w:t>
      </w:r>
      <w:r>
        <w:rPr>
          <w:rStyle w:val="FootnoteReference"/>
        </w:rPr>
        <w:footnoteReference w:id="118"/>
      </w:r>
      <w:r>
        <w:t xml:space="preserve">. L’Australie, qui partait de zéro en 1992, est aujourd’hui à 12 % de cotisation patronale obligatoire en pure capitalisation, en complément d’une </w:t>
      </w:r>
      <w:r>
        <w:rPr>
          <w:i/>
          <w:iCs/>
        </w:rPr>
        <w:t>Age Pension</w:t>
      </w:r>
      <w:r>
        <w:t xml:space="preserve"> publique</w:t>
      </w:r>
      <w:r>
        <w:rPr>
          <w:rStyle w:val="FootnoteReference"/>
        </w:rPr>
        <w:footnoteReference w:id="119"/>
      </w:r>
      <w:r>
        <w:t>. Aucun de ces pays n’a démantelé sa répartition. Tous ont simplement ajouté un coffre à côté du tuyau.</w:t>
      </w:r>
    </w:p>
    <w:p w14:paraId="353E50D5" w14:textId="77777777" w:rsidR="00BF0342" w:rsidRDefault="00000000">
      <w:pPr>
        <w:pStyle w:val="BodyText"/>
      </w:pPr>
      <w:r>
        <w:lastRenderedPageBreak/>
        <w:t>La France, depuis 1945, n’a qu’un tuyau. Et nous arrivons au moment où la démographie cesse de l’alimenter.</w:t>
      </w:r>
    </w:p>
    <w:p w14:paraId="32AFD286" w14:textId="77777777" w:rsidR="00BF0342" w:rsidRDefault="00000000">
      <w:pPr>
        <w:pStyle w:val="Heading2"/>
      </w:pPr>
      <w:bookmarkStart w:id="44" w:name="ce-que-la-capitalisation-nest-pas"/>
      <w:bookmarkStart w:id="45" w:name="_Toc233036188"/>
      <w:bookmarkEnd w:id="42"/>
      <w:r>
        <w:t>Ce que la capitalisation n’est pas</w:t>
      </w:r>
      <w:bookmarkEnd w:id="45"/>
    </w:p>
    <w:p w14:paraId="1E2C1BAC" w14:textId="77777777" w:rsidR="00BF0342" w:rsidRDefault="00000000">
      <w:pPr>
        <w:pStyle w:val="FirstParagraph"/>
      </w:pPr>
      <w:r>
        <w:t>Une bonne moitié du débat français sur la capitalisation est consacrée à dénoncer des choses qui ne sont pas de la capitalisation. Avant de défendre l’idée, il faut donc lui rendre service en la distinguant de ce avec quoi on la confond. Cinq malentendus, principalement, encombrent la conversation.</w:t>
      </w:r>
    </w:p>
    <w:p w14:paraId="1D2E69C8" w14:textId="77777777" w:rsidR="00BF0342" w:rsidRDefault="00000000">
      <w:pPr>
        <w:pStyle w:val="BodyText"/>
      </w:pPr>
      <w:r>
        <w:rPr>
          <w:b/>
          <w:bCs/>
        </w:rPr>
        <w:t>Premier malentendu : capitalisation et assurance-vie individuelle.</w:t>
      </w:r>
      <w:r>
        <w:t xml:space="preserve"> Lorsqu’un Français entend « capitalisation pour la retraite », il pense souvent à son contrat d’assurance-vie, le produit d’épargne le plus diffusé du pays - environ 1 989 milliards d’euros d’encours fin 2024, dont 1 178 milliards en fonds euros individuels</w:t>
      </w:r>
      <w:r>
        <w:rPr>
          <w:rStyle w:val="FootnoteReference"/>
        </w:rPr>
        <w:footnoteReference w:id="120"/>
      </w:r>
      <w:r>
        <w:t>. Or l’assurance-vie n’est pas un système de retraite par capitalisation au sens économique du terme. C’est un produit d’épargne volontaire, individuel, géré majoritairement par des assureurs privés, dont l’allocation est dominée par les obligations souveraines françaises (les fonds euros)</w:t>
      </w:r>
      <w:r>
        <w:rPr>
          <w:rStyle w:val="FootnoteReference"/>
        </w:rPr>
        <w:footnoteReference w:id="121"/>
      </w:r>
      <w:r>
        <w:t>. Le rendement moyen brut des fonds euros en 2024 atteignait 2,63 %</w:t>
      </w:r>
      <w:r>
        <w:rPr>
          <w:rStyle w:val="FootnoteReference"/>
        </w:rPr>
        <w:footnoteReference w:id="122"/>
      </w:r>
      <w:r>
        <w:t>. Une fois retranchés les prélèvements sociaux et l’inflation, le rendement réel net est proche de zéro, parfois légèrement négatif</w:t>
      </w:r>
      <w:r>
        <w:rPr>
          <w:rStyle w:val="FootnoteReference"/>
        </w:rPr>
        <w:footnoteReference w:id="123"/>
      </w:r>
      <w:r>
        <w:t>. C’est l’inverse d’un fonds de pension : ni horizon long, ni allocation diversifiée en actions, ni propriété collective d’actifs productifs. C’est un livret amélioré, fiscalement avantageux, exposé à l’érosion monétaire.</w:t>
      </w:r>
    </w:p>
    <w:p w14:paraId="189CDE66" w14:textId="77777777" w:rsidR="00BF0342" w:rsidRDefault="00000000">
      <w:pPr>
        <w:pStyle w:val="BodyText"/>
      </w:pPr>
      <w:r>
        <w:rPr>
          <w:b/>
          <w:bCs/>
        </w:rPr>
        <w:t>Deuxième malentendu : capitalisation et PER.</w:t>
      </w:r>
      <w:r>
        <w:t xml:space="preserve"> Le Plan d’épargne retraite, créé par la loi Pacte en 2019, est presque toujours présenté comme le « pilier capitalisation à la française ». Il ne l’est pas vraiment. À fin du troisième trimestre 2024, le PER compte 11,2 millions de titulaires et 118,9 milliards d’euros d’encours</w:t>
      </w:r>
      <w:r>
        <w:rPr>
          <w:rStyle w:val="FootnoteReference"/>
        </w:rPr>
        <w:footnoteReference w:id="124"/>
      </w:r>
      <w:r>
        <w:t xml:space="preserve">. C’est un succès quantitatif réel. Mais ce n’est pas, structurellement, un fonds de pension. C’est un produit d’épargne retraite individuelle, à adhésion volontaire pour la majorité des contrats, sans </w:t>
      </w:r>
      <w:r>
        <w:lastRenderedPageBreak/>
        <w:t xml:space="preserve">gouvernance paritaire, sans fléchage macroéconomique, sans obligation patronale uniforme. Le PER équivaut, dans l’écosystème international, au Roth IRA américain ou au </w:t>
      </w:r>
      <w:r>
        <w:rPr>
          <w:i/>
          <w:iCs/>
        </w:rPr>
        <w:t>Self-Invested Personal Pension</w:t>
      </w:r>
      <w:r>
        <w:t xml:space="preserve"> britannique. Pas au NEST britannique, ni à l’ABP néerlandais, ni à la </w:t>
      </w:r>
      <w:r>
        <w:rPr>
          <w:i/>
          <w:iCs/>
        </w:rPr>
        <w:t>Superannuation</w:t>
      </w:r>
      <w:r>
        <w:t xml:space="preserve"> australienne, qui sont des dispositifs structurels couvrant la quasi-totalité de la population active et accumulant des centaines de milliards d’actifs gérés professionnellement</w:t>
      </w:r>
      <w:r>
        <w:rPr>
          <w:rStyle w:val="FootnoteReference"/>
        </w:rPr>
        <w:footnoteReference w:id="125"/>
      </w:r>
      <w:r>
        <w:t>. L’écart d’encours moyen par titulaire est éclairant : environ 10 600 euros par souscripteur français pour le PER, contre plusieurs dizaines de milliers d’euros pour la plupart des comptes individuels néerlandais ou australiens à mi-carrière.</w:t>
      </w:r>
    </w:p>
    <w:p w14:paraId="550CA022" w14:textId="77777777" w:rsidR="00BF0342" w:rsidRDefault="00000000">
      <w:pPr>
        <w:pStyle w:val="BodyText"/>
      </w:pPr>
      <w:r>
        <w:rPr>
          <w:b/>
          <w:bCs/>
        </w:rPr>
        <w:t>Troisième malentendu : capitalisation et livret réglementé.</w:t>
      </w:r>
      <w:r>
        <w:t xml:space="preserve"> Le Livret A, le LDDS, le LEP sont d’excellents outils - de trésorerie. Avec leur taux administré, leur garantie d’État, leur liquidité immédiate, ils répondent à un besoin d’épargne de précaution. Aucun fonds de pension au monde n’est construit sur ce modèle, pour une raison simple : un rendement administré ne peut pas, par construction, dépasser de manière durable le rendement du capital productif. Quand le Livret A rapporte 1,5 % - son taux depuis février 2026 - et que l’inflation repasse au-dessus de 2 %, son détenteur perd chaque année du pouvoir d’achat en termes réels</w:t>
      </w:r>
      <w:r>
        <w:rPr>
          <w:rStyle w:val="FootnoteReference"/>
        </w:rPr>
        <w:footnoteReference w:id="126"/>
      </w:r>
      <w:r>
        <w:t>.</w:t>
      </w:r>
    </w:p>
    <w:p w14:paraId="60681137" w14:textId="77777777" w:rsidR="00BF0342" w:rsidRDefault="00000000">
      <w:pPr>
        <w:pStyle w:val="BodyText"/>
      </w:pPr>
      <w:r>
        <w:rPr>
          <w:b/>
          <w:bCs/>
        </w:rPr>
        <w:t>Quatrième malentendu, le plus tenace : capitalisation et bourse individuelle.</w:t>
      </w:r>
      <w:r>
        <w:t xml:space="preserve"> « Mettre sa retraite en bourse », « jouer ses cotisations au casino » : les expressions reviennent dès qu’on évoque le sujet. Or un fonds de pension public ou paritaire ne fait rien de tel. Il n’envoie pas votre cotisation chez un courtier en ligne pour qu’elle alimente votre compte personnel. Il agrège des millions de cotisations dans un véhicule collectif, géré par des équipes d’investisseurs professionnels, diversifié sur plusieurs milliers de lignes mondiales</w:t>
      </w:r>
      <w:r>
        <w:rPr>
          <w:rStyle w:val="FootnoteReference"/>
        </w:rPr>
        <w:footnoteReference w:id="127"/>
      </w:r>
      <w:r>
        <w:t>, encadré par un régulateur indépendant et par des règles légales strictes - taux de couverture minimal, plan de redressement obligatoire en cas de dérive, supervision continue</w:t>
      </w:r>
      <w:r>
        <w:rPr>
          <w:rStyle w:val="FootnoteReference"/>
        </w:rPr>
        <w:footnoteReference w:id="128"/>
      </w:r>
      <w:r>
        <w:t xml:space="preserve">. La </w:t>
      </w:r>
      <w:r>
        <w:rPr>
          <w:i/>
          <w:iCs/>
        </w:rPr>
        <w:t>Norges Bank Investment Management</w:t>
      </w:r>
      <w:r>
        <w:t xml:space="preserve">, qui gère le fonds souverain norvégien, emploie plus de six cent cinquante professionnels permanents. AP7, le fonds par défaut suédois, n’a pas de courtier individuel ; il a un mandat de gestion </w:t>
      </w:r>
      <w:r>
        <w:lastRenderedPageBreak/>
        <w:t>mondial et un coût total inférieur à 0,1 % d’encours par an</w:t>
      </w:r>
      <w:r>
        <w:rPr>
          <w:rStyle w:val="FootnoteReference"/>
        </w:rPr>
        <w:footnoteReference w:id="129"/>
      </w:r>
      <w:r>
        <w:t>. C’est le contraire exact d’une logique spéculative individuelle.</w:t>
      </w:r>
    </w:p>
    <w:p w14:paraId="13695528" w14:textId="77777777" w:rsidR="00BF0342" w:rsidRDefault="00000000">
      <w:pPr>
        <w:pStyle w:val="BodyText"/>
      </w:pPr>
      <w:r>
        <w:rPr>
          <w:b/>
          <w:bCs/>
        </w:rPr>
        <w:t>Cinquième malentendu, le plus lourd politiquement : capitalisation et démantèlement de la répartition.</w:t>
      </w:r>
      <w:r>
        <w:t xml:space="preserve"> C’est l’objection qui clôt, en France, presque toutes les discussions : « capitaliser, c’est abandonner la solidarité, c’est privatiser les retraites, c’est livrer les vieux aux marchés. » L’équation est fausse, et elle est même l’inverse de ce que font tous les systèmes qui marchent. Aucun des pays que ce livre prend en exemple n’a démantelé sa répartition pour la remplacer par de la capitalisation. La Suède a conservé un premier pilier public par répartition - les comptes notionnels - et lui a </w:t>
      </w:r>
      <w:r>
        <w:rPr>
          <w:i/>
          <w:iCs/>
        </w:rPr>
        <w:t>adossé</w:t>
      </w:r>
      <w:r>
        <w:t xml:space="preserve"> un étage capitalisé. Les Pays-Bas ont gardé une retraite de base publique, l’AOW, financée par répartition, </w:t>
      </w:r>
      <w:r>
        <w:rPr>
          <w:i/>
          <w:iCs/>
        </w:rPr>
        <w:t>sous</w:t>
      </w:r>
      <w:r>
        <w:t xml:space="preserve"> leur puissant deuxième pilier capitalisé. L’Australie verse une pension publique sous condition de ressources, l’</w:t>
      </w:r>
      <w:r>
        <w:rPr>
          <w:i/>
          <w:iCs/>
        </w:rPr>
        <w:t>Age Pension</w:t>
      </w:r>
      <w:r>
        <w:t xml:space="preserve">, </w:t>
      </w:r>
      <w:r>
        <w:rPr>
          <w:i/>
          <w:iCs/>
        </w:rPr>
        <w:t>à côté</w:t>
      </w:r>
      <w:r>
        <w:t xml:space="preserve"> de la </w:t>
      </w:r>
      <w:r>
        <w:rPr>
          <w:i/>
          <w:iCs/>
        </w:rPr>
        <w:t>Superannuation</w:t>
      </w:r>
      <w:r>
        <w:t>. Le seul pays qui ait vraiment tenté le tout-capitalisation en supprimant la répartition - le Chili de 1981 - est précisément le contre-exemple que ce livre étudiera pour ne pas le suivre. Ajouter un coffre n’est pas casser le tuyau : c’est lui adjoindre ce qui lui manque. La capitalisation dont il est ici question n’est pas une porte de sortie de la solidarité ; c’est une seconde jambe, pour un système qui boite aujourd’hui sur une seule.</w:t>
      </w:r>
    </w:p>
    <w:p w14:paraId="4AF4A1C4" w14:textId="77777777" w:rsidR="00BF0342" w:rsidRDefault="00000000">
      <w:pPr>
        <w:pStyle w:val="BodyText"/>
      </w:pPr>
      <w:r>
        <w:t>Et elle n’est pas davantage, contrairement au second volet de la même objection, un mécanisme intrinsèquement inégalitaire. L’argument court ainsi : « le capital profitera aux cadres qui épargnent déjà, pas aux smicards. » Il vise juste - mais seulement quand la capitalisation est volontaire et individuelle, comme le PER, qui de fait bénéficie surtout aux foyers aisés. Il tombe dès lors que la capitalisation est obligatoire et universelle. Quand chaque salarié cotise un pourcentage de son salaire, le smicard accumule lui aussi un capital - modeste en valeur absolue, mais au même taux de rendement que celui du cadre. Le rendement ne connaît pas les classes sociales : 4 % sur mille euros comme sur cent mille. Mieux : couplée à un plancher public - l’AOW néerlandaise, l’</w:t>
      </w:r>
      <w:r>
        <w:rPr>
          <w:i/>
          <w:iCs/>
        </w:rPr>
        <w:t>Age Pension</w:t>
      </w:r>
      <w:r>
        <w:t xml:space="preserve"> australienne, le minimum vieillesse français -, la capitalisation universelle corrige un biais que la répartition pure, paradoxalement, entretient. Car la répartition récompense la longévité, et les cadres vivent plus longtemps que les ouvriers - à trente-cinq ans, 5,3 années de plus pour les hommes</w:t>
      </w:r>
      <w:r>
        <w:rPr>
          <w:rStyle w:val="FootnoteReference"/>
        </w:rPr>
        <w:footnoteReference w:id="130"/>
      </w:r>
      <w:r>
        <w:t xml:space="preserve"> : à cotisation égale, ils touchent leur pension de répartition bien plus longtemps. Le capital, lui, appartient à son titulaire dès le premier jour de la retraite, et reste transmissible à ses proches en cas de décès précoce. Sur ce point précis, c’est la capitalisation qui est la plus juste.</w:t>
      </w:r>
    </w:p>
    <w:p w14:paraId="25EECBEC" w14:textId="77777777" w:rsidR="00BF0342" w:rsidRDefault="00000000">
      <w:pPr>
        <w:pStyle w:val="BodyText"/>
      </w:pPr>
      <w:r>
        <w:t xml:space="preserve">Capitalisation, donc, ce n’est ni un livret amélioré, ni un produit d’épargne fiscalement boosté, ni un pari personnel sur les marchés. C’est une infrastructure collective d’investissement long terme, qui transforme les cotisations actuelles d’une génération en </w:t>
      </w:r>
      <w:r>
        <w:lastRenderedPageBreak/>
        <w:t xml:space="preserve">capital productif, et le capital productif accumulé en revenu pour cette même génération une fois retraitée. Cette infrastructure, soixante-dix ans après les premiers fonds néerlandais, soixante ans après les fonds suédois, trente ans après la </w:t>
      </w:r>
      <w:r>
        <w:rPr>
          <w:i/>
          <w:iCs/>
        </w:rPr>
        <w:t>Superannuation</w:t>
      </w:r>
      <w:r>
        <w:t xml:space="preserve"> australienne, n’existe toujours pas en France. Pas par manque d’idée. Par refus.</w:t>
      </w:r>
    </w:p>
    <w:p w14:paraId="5511EFE7" w14:textId="77777777" w:rsidR="00BF0342" w:rsidRDefault="00000000">
      <w:pPr>
        <w:pStyle w:val="Heading2"/>
      </w:pPr>
      <w:bookmarkStart w:id="46" w:name="le-rafp-ce-mécanisme-à-lœuvre-chez-nous"/>
      <w:bookmarkStart w:id="47" w:name="_Toc233036189"/>
      <w:bookmarkEnd w:id="44"/>
      <w:r>
        <w:t>Le RAFP : ce mécanisme à l’œuvre chez nous</w:t>
      </w:r>
      <w:bookmarkEnd w:id="47"/>
    </w:p>
    <w:p w14:paraId="2C2D6296" w14:textId="77777777" w:rsidR="00BF0342" w:rsidRDefault="00000000">
      <w:pPr>
        <w:pStyle w:val="FirstParagraph"/>
      </w:pPr>
      <w:r>
        <w:t>Tout ce que ce chapitre vient de décrire — la cotisation investie au lieu d’être reversée, le rendement composé, la diversification mondiale, la désensibilisation au risque avec l’âge, le coût de gestion minuscule — n’a rien d’hypothétique. Cela existe, en France, sous statut public, depuis vingt ans. L’introduction l’a établi : le RAFP, le régime de retraite additionnelle de la fonction publique, capitalise depuis 2005 les cotisations de quatre millions et demi d’agents publics, gère près de cinquante milliards d’euros et a rapporté 4,3 % par an</w:t>
      </w:r>
      <w:r>
        <w:rPr>
          <w:rStyle w:val="FootnoteReference"/>
        </w:rPr>
        <w:footnoteReference w:id="131"/>
      </w:r>
      <w:r>
        <w:t>. Que la France exploite déjà un fonds de pension obligatoire — tout en refusant de l’appeler par son nom — est l’un des points de départ de ce livre. Il faut y revenir ici, non plus comme révélation, mais comme banc d’essai : le RAFP est la démonstration vivante de tout ce que ce chapitre a exposé en théorie.</w:t>
      </w:r>
    </w:p>
    <w:p w14:paraId="642BDD05" w14:textId="77777777" w:rsidR="00BF0342" w:rsidRDefault="00000000">
      <w:pPr>
        <w:pStyle w:val="BodyText"/>
      </w:pPr>
      <w:r>
        <w:t>Reprenons les pièces. La cotisation investie plutôt que reversée : c’est le RAFP, où les cotisations sur les primes sont placées, non consommées. La diversification : le régime détient des obligations, des actions, du capital-investissement, de l’immobilier — exactement le portefeuille décrit plus haut. La mutualisation et le coussin de lissage : le RAFP affiche un taux de couverture de ses engagements supérieur à 135 % en valeur de marché</w:t>
      </w:r>
      <w:r>
        <w:rPr>
          <w:rStyle w:val="FootnoteReference"/>
        </w:rPr>
        <w:footnoteReference w:id="132"/>
      </w:r>
      <w:r>
        <w:t>. Cette surcapitalisation n’est pas un détail comptable : c’est précisément le coussin qui, on l’a vu, permet d’absorber un krach sans toucher aux pensions servies. Le coût minuscule, enfin : les frais de gestion du RAFP tournent autour de 0,18 % de l’encours par an</w:t>
      </w:r>
      <w:r>
        <w:rPr>
          <w:rStyle w:val="FootnoteReference"/>
        </w:rPr>
        <w:footnoteReference w:id="133"/>
      </w:r>
      <w:r>
        <w:t xml:space="preserve"> — le niveau d’un grand fonds institutionnel, là où l’industrie de l’épargne grand public prélève dix fois plus. Le RAFP n’est pas une théorie française de la capitalisation. C’en est la pratique, vérifiée sur vingt ans et deux krachs.</w:t>
      </w:r>
    </w:p>
    <w:p w14:paraId="01CB026E" w14:textId="77777777" w:rsidR="00BF0342" w:rsidRDefault="00000000">
      <w:pPr>
        <w:pStyle w:val="BodyText"/>
      </w:pPr>
      <w:r>
        <w:t xml:space="preserve">Restent les deux objections que ce chapitre n’a pas encore traitées, et auxquelles le RAFP répond mieux qu’aucun raisonnement. La première : « qui contrôlera ce capital ? » Au RAFP, ni gérant lointain ni fonds américain, mais un établissement public, l’ERAFP, dont le </w:t>
      </w:r>
      <w:r>
        <w:lastRenderedPageBreak/>
        <w:t>conseil d’administration de dix-neuf membres fonctionne au paritarisme strict — huit représentants des cotisants, c’est-à-dire des organisations syndicales, huit des employeurs publics, trois personnalités qualifiées</w:t>
      </w:r>
      <w:r>
        <w:rPr>
          <w:rStyle w:val="FootnoteReference"/>
        </w:rPr>
        <w:footnoteReference w:id="134"/>
      </w:r>
      <w:r>
        <w:t>. Ce sont eux, et non un opérateur de marché anonyme, qui fixent la valeur du point et les orientations de placement. Le capital des fonctionnaires est piloté par les fonctionnaires et leurs employeurs, sous le contrôle de l’État. La seconde objection : « investir l’argent des retraités, n’est-ce pas trahir nos valeurs ? » Le RAFP y répond depuis l’origine : il fut l’un des tout premiers fonds publics au monde à appliquer une charte d’investissement socialement responsable à 100 % de ses actifs</w:t>
      </w:r>
      <w:r>
        <w:rPr>
          <w:rStyle w:val="FootnoteReference"/>
        </w:rPr>
        <w:footnoteReference w:id="135"/>
      </w:r>
      <w:r>
        <w:t>. Capitaliser le revenu différé des travailleurs et le faire selon des critères sociaux et environnementaux ne sont nullement contradictoires : le régime le démontre, chiffres à l’appui, depuis 2005.</w:t>
      </w:r>
    </w:p>
    <w:p w14:paraId="6428E1DE" w14:textId="77777777" w:rsidR="00BF0342" w:rsidRDefault="00000000">
      <w:pPr>
        <w:pStyle w:val="BodyText"/>
      </w:pPr>
      <w:r>
        <w:t>Reste alors la seule question qui vaille, et l’introduction l’a déjà posée : pourquoi ce qui fonctionne pour quatre millions et demi de fonctionnaires est-il refusé aux vingt millions de salariés du privé ? Le chapitre qui suit y répond — non plus par des principes, mais en euros.</w:t>
      </w:r>
    </w:p>
    <w:p w14:paraId="0F6DEC6D" w14:textId="77777777" w:rsidR="00BF0342" w:rsidRDefault="00000000">
      <w:pPr>
        <w:pStyle w:val="Heading2"/>
      </w:pPr>
      <w:bookmarkStart w:id="48" w:name="cotiser-moins-pour-gagner-plus"/>
      <w:bookmarkStart w:id="49" w:name="_Toc233036190"/>
      <w:bookmarkEnd w:id="46"/>
      <w:r>
        <w:t>Cotiser moins pour gagner plus</w:t>
      </w:r>
      <w:bookmarkEnd w:id="49"/>
    </w:p>
    <w:p w14:paraId="0713D5DC" w14:textId="77777777" w:rsidR="00BF0342" w:rsidRDefault="00000000">
      <w:pPr>
        <w:pStyle w:val="FirstParagraph"/>
      </w:pPr>
      <w:r>
        <w:t>Tout ce qui précède est de la pédagogie. Cette section est de l’arithmétique. C’est, à mes yeux, le cœur du chapitre, parce que c’est ce que l’on n’a presque jamais l’occasion de lire en France : un cas-type chiffré, suivi sur quarante-trois ans, qui dit en euros ce que coûte à un actif né en 1996 le choix politique du tout-répartition.</w:t>
      </w:r>
    </w:p>
    <w:p w14:paraId="1F001E9C" w14:textId="77777777" w:rsidR="00BF0342" w:rsidRDefault="00000000">
      <w:pPr>
        <w:pStyle w:val="BodyText"/>
      </w:pPr>
      <w:r>
        <w:t>Plantons le décor. Notre cas-type est un actif de trente ans en 2026, salaire brut annuel de 35 000 € - proche du salaire médian brut français, le salaire moyen s’établissant plus haut, autour de 41 000 €</w:t>
      </w:r>
      <w:r>
        <w:rPr>
          <w:rStyle w:val="FootnoteReference"/>
        </w:rPr>
        <w:footnoteReference w:id="136"/>
      </w:r>
      <w:r>
        <w:t xml:space="preserve">. Carrière complète de 43 ans, en accord avec la réforme de 2023 et le Code de la sécurité sociale. Tous les chiffres qui suivent sont exprimés en euros constants 2026, c’est-à-dire que l’inflation a été neutralisée pour qu’on compare des pouvoirs d’achat, pas des montants nominaux. Le salaire croît de 0,5 % par an en termes réels, </w:t>
      </w:r>
      <w:r>
        <w:lastRenderedPageBreak/>
        <w:t>conformément au scénario médian du COR. La cotisation vieillesse totale (employeur et salarié, régime général et complémentaire) s’élève à 28 % du brut</w:t>
      </w:r>
      <w:r>
        <w:rPr>
          <w:rStyle w:val="FootnoteReference"/>
        </w:rPr>
        <w:footnoteReference w:id="137"/>
      </w:r>
      <w:r>
        <w:t>.</w:t>
      </w:r>
    </w:p>
    <w:p w14:paraId="62A2F74C" w14:textId="77777777" w:rsidR="00BF0342" w:rsidRDefault="00000000">
      <w:pPr>
        <w:pStyle w:val="BodyText"/>
      </w:pPr>
      <w:r>
        <w:t>Trois scénarios sont comparés.</w:t>
      </w:r>
    </w:p>
    <w:p w14:paraId="20F61A65" w14:textId="77777777" w:rsidR="00BF0342" w:rsidRDefault="00000000">
      <w:pPr>
        <w:pStyle w:val="BodyText"/>
      </w:pPr>
      <w:r>
        <w:t>Le scénario A est le statu quo : tout en répartition. Cent pour cent des 28 % de cotisation alimentent les régimes par répartition. Aucun capital ne s’accumule. À la retraite, l’actif touche, sur la base des hypothèses centrales du COR pour les générations actuellement actives, un taux de remplacement net de 70 %</w:t>
      </w:r>
      <w:r>
        <w:rPr>
          <w:rStyle w:val="FootnoteReference"/>
        </w:rPr>
        <w:footnoteReference w:id="138"/>
      </w:r>
      <w:r>
        <w:t xml:space="preserve"> - c’est-à-dire que sa pension nette représente 70 % de son salaire net juste avant le départ. Pour notre cas-type, cela donne une pension annuelle de 23 261 €, soit 1 938 € par mois nets. Avec un départ à taux plein à 64 ans après une carrière complète de 43 annuités</w:t>
      </w:r>
      <w:r>
        <w:rPr>
          <w:rStyle w:val="FootnoteReference"/>
        </w:rPr>
        <w:footnoteReference w:id="139"/>
      </w:r>
      <w:r>
        <w:t>, et une espérance de vie résiduelle moyenne d’environ vingt-quatre ans - l’espérance de vie de cohorte projetée pour un actif né en 1996 partant vers 2060 -, le total cumulé sur la retraite atteint 558 264 €. Voilà ce qu’on touchera, à comportement et législation inchangés.</w:t>
      </w:r>
    </w:p>
    <w:p w14:paraId="1C5F4ADE" w14:textId="77777777" w:rsidR="00BF0342" w:rsidRDefault="00000000">
      <w:pPr>
        <w:pStyle w:val="BodyText"/>
      </w:pPr>
      <w:r>
        <w:t>Le scénario B reprend la logique suédoise du premier pilier. Quatre-vingts pour cent des cotisations restent en répartition. Vingt pour cent partent en capitalisation - soit 5,6 % du salaire brut, soit 1 960 € la première année. Cette somme s’investit dans un fonds de pension diversifié, à 4 % de rendement réel brut, dont on retire 0,3 % de frais de gestion - soit davantage que les grands fonds publics les plus efficients, comme AP7 à 0,07 %, donc une hypothèse prudente</w:t>
      </w:r>
      <w:r>
        <w:rPr>
          <w:rStyle w:val="FootnoteReference"/>
        </w:rPr>
        <w:footnoteReference w:id="140"/>
      </w:r>
      <w:r>
        <w:t xml:space="preserve">. Au bout de 43 ans, et compte tenu de la croissance salariale réelle de 0,5 % par an, le capital constitué atteint 216 240 €. À 64 ans, ce capital se transforme en rente viagère sur vingt-quatre ans d’espérance de vie résiduelle (hommes-femmes pondérés, cohorte projetée), à un taux prudent de 2 % réel en phase de liquidation. Il en sort une rente de 953 € par mois. Cette rente s’ajoute à la pension de répartition, qui n’est plus que de 80 % de celle du scénario A - 18 609 € par an, soit 1 551 € par mois. Pension totale : 30 042 € par an, soit 2 503 € par mois. Sur vingt-quatre ans de retraite : 721 005 €. Différence avec le scénario A : </w:t>
      </w:r>
      <w:r>
        <w:rPr>
          <w:b/>
          <w:bCs/>
        </w:rPr>
        <w:t>+162 741 €</w:t>
      </w:r>
      <w:r>
        <w:t xml:space="preserve"> sur la durée de la retraite.</w:t>
      </w:r>
    </w:p>
    <w:p w14:paraId="0EC7E6A4" w14:textId="77777777" w:rsidR="00BF0342" w:rsidRDefault="00000000">
      <w:pPr>
        <w:pStyle w:val="BodyText"/>
      </w:pPr>
      <w:r>
        <w:lastRenderedPageBreak/>
        <w:t xml:space="preserve">Le scénario C reprend la logique néerlandaise du deuxième pilier paritaire obligatoire. Soixante pour cent des cotisations en répartition, quarante pour cent en capitalisation. La cotisation capitalisée double - 3 920 € par an la première année -, et le capital aussi : 432 480 € à 64 ans. La rente correspondante atteint 1 905 € par mois. Pension totale : 36 823 € par an, soit 3 069 € par mois. Cumul sur vingt-quatre ans de retraite : 883 745 €. Différence avec le scénario A : </w:t>
      </w:r>
      <w:r>
        <w:rPr>
          <w:b/>
          <w:bCs/>
        </w:rPr>
        <w:t>+325 481 €</w:t>
      </w:r>
      <w:r>
        <w:rPr>
          <w:rStyle w:val="FootnoteReference"/>
        </w:rPr>
        <w:footnoteReference w:id="141"/>
      </w:r>
      <w:r>
        <w:t>.</w:t>
      </w:r>
    </w:p>
    <w:p w14:paraId="25E7D9B4" w14:textId="77777777" w:rsidR="00BF0342" w:rsidRDefault="00000000">
      <w:pPr>
        <w:pStyle w:val="BodyText"/>
      </w:pPr>
      <w:r>
        <w:t xml:space="preserve">Récapitulons. Pour un actif de trente ans en 2026, au salaire médian, dans le scénario suédois, le simple fait d’orienter un cinquième de la cotisation vieillesse vers un pilier capitalisé pendant quarante-trois ans représente un gain cumulé de retraite de l’ordre de </w:t>
      </w:r>
      <w:r>
        <w:rPr>
          <w:b/>
          <w:bCs/>
        </w:rPr>
        <w:t>163 000 €</w:t>
      </w:r>
      <w:r>
        <w:t xml:space="preserve">. Dans le scénario néerlandais, où la part capitalisée monte à 40 %, le gain dépasse </w:t>
      </w:r>
      <w:r>
        <w:rPr>
          <w:b/>
          <w:bCs/>
        </w:rPr>
        <w:t>325 000 €</w:t>
      </w:r>
      <w:r>
        <w:t>. À ce stade-là, on ne parle plus de pourcentages, on parle d’achats immobiliers complets ou de plusieurs années supplémentaires de vie.</w:t>
      </w:r>
    </w:p>
    <w:p w14:paraId="4A9783BD" w14:textId="77777777" w:rsidR="00BF0342" w:rsidRDefault="00000000">
      <w:pPr>
        <w:pStyle w:val="BodyText"/>
      </w:pPr>
      <w:r>
        <w:t>Il vaut la peine de regarder l’effort à fournir pour obtenir ces gains. Dans le scénario B, le cumul des cotisations capitalisées sur les 43 années de carrière s’élève à 93 766 €, en euros constants. Pour cet effort de 94 000 €, l’actif récupère 163 000 € de pension supplémentaire - un facteur de 1,7 sur la durée</w:t>
      </w:r>
      <w:r>
        <w:rPr>
          <w:rStyle w:val="FootnoteReference"/>
        </w:rPr>
        <w:footnoteReference w:id="142"/>
      </w:r>
      <w:r>
        <w:t>. Cet effet de levier ne vient pas d’une magie financière. Il vient du temps : pendant quarante-trois ans, l’épargne investie a produit du rendement, et ce rendement a produit lui-même du rendement.</w:t>
      </w:r>
    </w:p>
    <w:p w14:paraId="31A5D017" w14:textId="77777777" w:rsidR="00BF0342" w:rsidRDefault="00000000">
      <w:pPr>
        <w:pStyle w:val="BodyText"/>
      </w:pPr>
      <w:r>
        <w:t xml:space="preserve">Le calcul est, bien sûr, sensible au rendement supposé. Que se passe-t-il si le rendement réel net se révèle plus bas que les 3,7 % retenus ici comme hypothèse centrale ? Si on tombe à 3 % réel brut - un scénario véritablement pessimiste, en dessous du rendement long terme observé empiriquement sur 125 ans -, le capital du scénario B descend à 169 731 € et le gain cumulé sur 24 ans à 103 724 €. Toujours mieux que la répartition pure, mais moins. À l’inverse, à 5 % réel brut - en dessous de la moyenne historique de longue période -, le capital monte à 278 461 € et le gain à 241 693 €. Un repère français existe d’ailleurs : le RAFP, fonds public à allocation prudente (un cinquième seulement d’actions), a délivré 4,3 % nominal depuis 2005, soit de l’ordre de 2,7 % réel net ; même à ce rendement conservateur, le gain du scénario B reste d’environ 100 000 €. La fourchette est large, la conclusion ne change pas : dans toutes les hypothèses raisonnables, le scénario mixte domine la répartition pure. Les fonds étrangers existants depuis dix à vingt-cinq ans confirment d’ailleurs que ces valeurs sont atteignables - 4,1 % réel net pour le GPFG, 8,3 % </w:t>
      </w:r>
      <w:r>
        <w:lastRenderedPageBreak/>
        <w:t>nominal net pour le CPPIB, 7,94 % nominal net pour AustralianSuper, environ 14 % nominal depuis 2010 pour AP7</w:t>
      </w:r>
      <w:r>
        <w:rPr>
          <w:rStyle w:val="FootnoteReference"/>
        </w:rPr>
        <w:footnoteReference w:id="143"/>
      </w:r>
      <w:r>
        <w:t>.</w:t>
      </w:r>
    </w:p>
    <w:p w14:paraId="412CC172" w14:textId="77777777" w:rsidR="00BF0342" w:rsidRDefault="00000000">
      <w:pPr>
        <w:pStyle w:val="BodyText"/>
      </w:pPr>
      <w:r>
        <w:t>Voilà, en chiffres, ce que coûte à un actif né en 1996 le choix français du tout-répartition. Entre cent soixante et trois cent vingt-cinq mille euros sur sa retraite, selon l’architecture qu’on aurait pu construire. C’est, à dire vrai, un ordre de grandeur supérieur à ce que la plupart des Français imaginent. Ce n’est pas un détail d’optimisation. C’est un siècle de patrimoine.</w:t>
      </w:r>
    </w:p>
    <w:p w14:paraId="6D060A01" w14:textId="77777777" w:rsidR="00BF0342" w:rsidRDefault="00000000">
      <w:pPr>
        <w:pStyle w:val="BodyText"/>
      </w:pPr>
      <w:r>
        <w:t>Et c’est, très précisément, le patrimoine dont on prive la génération qui cotise le plus pour la pension la plus incertaine - celle que la première partie a montrée se logeant plus mal que toutes celles qui l’ont précédée, écrasée de cotisations pour une retraite qu’on lui annonce plus maigre. Le capital du scénario B - 216 240 euros au moment du départ -, c’est, pour cette génération-là, l’ordre de grandeur d’un apport immobilier, d’une dépendance financée, d’un héritage transmissible. Tout ce dont la répartition pure, par construction, ne lui laisse rien. « Cotiser moins pour gagner plus » n’est pas un slogan d’optimisation fiscale : c’est, pour les actifs nés après 1980, la différence entre posséder et ne rien posséder.</w:t>
      </w:r>
    </w:p>
    <w:p w14:paraId="1BBAAF2B" w14:textId="77777777" w:rsidR="00BF0342" w:rsidRDefault="00000000">
      <w:pPr>
        <w:pStyle w:val="BodyText"/>
      </w:pPr>
      <w:r>
        <w:t>Cet effet individuel n’est, pourtant, que la moitié du tableau. Car ce que la capitalisation change pour chaque actif, elle le change aussi pour le système tout entier - son équilibre budgétaire, le poids de ses cotisations, sa résistance au choc démographique. C’est l’objet du chapitre suivant.</w:t>
      </w:r>
    </w:p>
    <w:p w14:paraId="63DEC030" w14:textId="77777777" w:rsidR="00BF0342" w:rsidRDefault="00000000">
      <w:pPr>
        <w:pStyle w:val="Heading2"/>
      </w:pPr>
      <w:bookmarkStart w:id="50" w:name="ce-que-ça-change-pour-le-système"/>
      <w:bookmarkStart w:id="51" w:name="_Toc233036191"/>
      <w:bookmarkEnd w:id="48"/>
      <w:r>
        <w:t>Ce que ça change pour le système</w:t>
      </w:r>
      <w:bookmarkEnd w:id="51"/>
    </w:p>
    <w:p w14:paraId="737FDAC9" w14:textId="77777777" w:rsidR="00BF0342" w:rsidRDefault="00000000">
      <w:pPr>
        <w:pStyle w:val="Heading3"/>
      </w:pPr>
      <w:bookmarkStart w:id="52" w:name="les-cotisations-sociales-peuvent-baisser"/>
      <w:bookmarkStart w:id="53" w:name="_Toc233036192"/>
      <w:r>
        <w:t>Les cotisations sociales peuvent baisser</w:t>
      </w:r>
      <w:bookmarkEnd w:id="53"/>
    </w:p>
    <w:p w14:paraId="0AF939B3" w14:textId="77777777" w:rsidR="00BF0342" w:rsidRDefault="00000000">
      <w:pPr>
        <w:pStyle w:val="FirstParagraph"/>
      </w:pPr>
      <w:r>
        <w:t>Aujourd’hui, un salarié français et son employeur versent ensemble 28 % du salaire brut au financement des retraites — cotisation vieillesse de base, retraite complémentaire AGIRC-ARRCO</w:t>
      </w:r>
      <w:r>
        <w:rPr>
          <w:rStyle w:val="FootnoteReference"/>
        </w:rPr>
        <w:footnoteReference w:id="144"/>
      </w:r>
      <w:r>
        <w:t xml:space="preserve">. Ce chiffre est, parmi les pays comparables, l’un des plus élevés au monde. En Suède, le total tourne autour de 22 %, en additionnant le régime public (18,5 %) et les régimes de branche. Aux Pays-Bas, autour de 26 %, dont une large part en capitalisation. En Australie, 12 % de cotisation patronale en capitalisation, à quoi s’ajoute une </w:t>
      </w:r>
      <w:r>
        <w:rPr>
          <w:i/>
          <w:iCs/>
        </w:rPr>
        <w:t>Age Pension</w:t>
      </w:r>
      <w:r>
        <w:t xml:space="preserve"> publique modeste financée par l’impôt général. La France est de loin la plus chère à cotisations pour le seul système de retraite.</w:t>
      </w:r>
    </w:p>
    <w:p w14:paraId="16273211" w14:textId="77777777" w:rsidR="00BF0342" w:rsidRDefault="00000000">
      <w:pPr>
        <w:pStyle w:val="BodyText"/>
      </w:pPr>
      <w:r>
        <w:lastRenderedPageBreak/>
        <w:t>Pourquoi ? Parce que dans un système où tout passe par la répartition, ce sont les actifs qui financent intégralement les pensions des retraités. Quand la démographie devient défavorable, les cotisations doivent monter pour compenser. Quand le système est mixte, le capital prend une partie de la charge — et la pression sur les cotisations peut s’alléger.</w:t>
      </w:r>
    </w:p>
    <w:p w14:paraId="78B865D4" w14:textId="77777777" w:rsidR="00BF0342" w:rsidRDefault="00000000">
      <w:pPr>
        <w:pStyle w:val="BodyText"/>
      </w:pPr>
      <w:r>
        <w:t>Une fois le pilier capitalisé arrivé à maturité — trente à quarante ans après le démarrage —, la France pourrait raisonnablement réduire son taux de cotisation total de plusieurs points sans que les pensions servies n’en souffrent</w:t>
      </w:r>
      <w:r>
        <w:rPr>
          <w:rStyle w:val="FootnoteReference"/>
        </w:rPr>
        <w:footnoteReference w:id="145"/>
      </w:r>
      <w:r>
        <w:t>. Trois points, par exemple, redonneraient de l’ordre de 40 milliards d’euros par an de pouvoir d’achat aux salariés ou de capacité d’embauche aux employeurs. C’est, à peu de chose près, le budget annuel de la Défense. Ces ordres de grandeur ne sont pas spéculatifs : Bertrand Martinot et ses coauteurs, dans leurs travaux pour la Fondation pour l’innovation politique, chiffrent une baisse pouvant dépasser six points de cotisation à long terme selon les scénarios, le taux repassant sous son niveau actuel à partir des années 2050</w:t>
      </w:r>
      <w:r>
        <w:rPr>
          <w:rStyle w:val="FootnoteReference"/>
        </w:rPr>
        <w:footnoteReference w:id="146"/>
      </w:r>
      <w:r>
        <w:t>.</w:t>
      </w:r>
    </w:p>
    <w:p w14:paraId="552763EF" w14:textId="77777777" w:rsidR="00BF0342" w:rsidRDefault="00000000">
      <w:pPr>
        <w:pStyle w:val="BodyText"/>
      </w:pPr>
      <w:r>
        <w:t>[GRAPHIQUE — Taux de cotisation retraite total France : 28 % aujourd’hui, palier transitoire 30 % entre 2032 et 2050, retour à 24-25 % à régime stationnaire en 2060]</w:t>
      </w:r>
    </w:p>
    <w:p w14:paraId="6331B3A5" w14:textId="77777777" w:rsidR="00BF0342" w:rsidRDefault="00000000">
      <w:pPr>
        <w:pStyle w:val="Heading3"/>
      </w:pPr>
      <w:bookmarkStart w:id="54" w:name="un-choc-démographique-encaissé-plus-subi"/>
      <w:bookmarkStart w:id="55" w:name="_Toc233036193"/>
      <w:bookmarkEnd w:id="52"/>
      <w:r>
        <w:t>Un choc démographique encaissé, plus subi</w:t>
      </w:r>
      <w:bookmarkEnd w:id="55"/>
    </w:p>
    <w:p w14:paraId="04C5A965" w14:textId="77777777" w:rsidR="00BF0342" w:rsidRDefault="00000000">
      <w:pPr>
        <w:pStyle w:val="FirstParagraph"/>
      </w:pPr>
      <w:r>
        <w:t>La première partie l’a montré sans ménagement : le système français est l’otage de sa démographie. Le rapport entre cotisants et retraités, qui dépassait quatre pour un dans les années 1960, n’est plus que de 1,8 aujourd’hui, et le Conseil d’orientation des retraites le projette autour de 1,4 en 2070</w:t>
      </w:r>
      <w:r>
        <w:rPr>
          <w:rStyle w:val="FootnoteReference"/>
        </w:rPr>
        <w:footnoteReference w:id="147"/>
      </w:r>
      <w:r>
        <w:t>. En répartition pure, cette équation est sans échappatoire : moins d’actifs pour davantage de retraités, cela signifie mécaniquement cotiser plus, travailler plus longtemps, ou toucher moins - les trois leviers que la quatrième partie montrera épuisés.</w:t>
      </w:r>
    </w:p>
    <w:p w14:paraId="2E00431C" w14:textId="77777777" w:rsidR="00BF0342" w:rsidRDefault="00000000">
      <w:pPr>
        <w:pStyle w:val="BodyText"/>
      </w:pPr>
      <w:r>
        <w:t xml:space="preserve">C’est ici que la capitalisation change la nature même du problème. Un euro capitalisé ne dépend pas du nombre d’actifs présents au moment où il est reversé en pension : il dépend du capital qu’il a accumulé pendant quarante ans. La pension issue d’un pilier capitalisé est financée par l’épargne passée du retraité lui-même, et par le rendement qu’elle a produit - non par les cotisations d’une génération suivante qui se réduit. Le pilier </w:t>
      </w:r>
      <w:r>
        <w:lastRenderedPageBreak/>
        <w:t>capitalisé est, par construction, immunisé contre le retournement démographique qui mine la répartition.</w:t>
      </w:r>
    </w:p>
    <w:p w14:paraId="5B1B6495" w14:textId="77777777" w:rsidR="00BF0342" w:rsidRDefault="00000000">
      <w:pPr>
        <w:pStyle w:val="BodyText"/>
      </w:pPr>
      <w:r>
        <w:t>Cela n’efface pas le problème : la part restée en répartition y demeure exposée. Mais cela le borne. Plus la part capitalisée est élevée, moins le système, dans son ensemble, dépend du ratio cotisants-retraités, et plus le choc du vieillissement est amorti au lieu d’être intégralement répercuté sur les actifs. C’est la différence entre un système qui plie à chaque recensement et un système qui tient parce qu’une partie de ses promesses est déjà provisionnée, déjà investie, déjà là. Le RAFP, surcapitalisé à 135 %, en est la preuve : il n’a pas besoin d’un seul cotisant de plus pour honorer ce qu’il doit.</w:t>
      </w:r>
    </w:p>
    <w:p w14:paraId="44EE990C" w14:textId="77777777" w:rsidR="00BF0342" w:rsidRDefault="00000000">
      <w:pPr>
        <w:pStyle w:val="BodyText"/>
      </w:pPr>
      <w:r>
        <w:t>Tout ce qui précède dans ce chapitre concerne les retraites. Plusieurs centaines de milliers d’euros de pension cumulée pour les actifs d’aujourd’hui, une dépense publique de retraite qui se contracte au lieu de gonfler, un choc démographique encaissé plutôt que subi, et la preuve française, par vingt ans de chiffres, que la capitalisation obligatoire pour quatre millions de personnes rapporte plusieurs fois ce que rapporte la répartition pour tous les autres. Quatre bénéfices déjà décisifs. Mais la capitalisation, dans les pays qui l’ont adoptée à grande échelle, fait autre chose en plus. Elle structure leur économie entière. Elle décide qui détient les entreprises cotées, qui reprend les ETI familiales, qui finance les startups, qui rachète les infrastructures. Pendant que la France n’a, hors RAFP, pas de pilier capitalisé d’envergure, les fonds des Néerlandais, des Norvégiens, des Canadiens et des Californiens font ce travail à sa place — sur ses propres entreprises, avec ses propres dividendes. La partie suivante va regarder cette face du sujet en face.</w:t>
      </w:r>
    </w:p>
    <w:p w14:paraId="107230F0" w14:textId="77777777" w:rsidR="00BF0342" w:rsidRDefault="00000000">
      <w:pPr>
        <w:pStyle w:val="Heading1"/>
      </w:pPr>
      <w:bookmarkStart w:id="56" w:name="X0036c895ec64327b5faf3402ab61797114f3f6b"/>
      <w:bookmarkStart w:id="57" w:name="_Toc233036194"/>
      <w:bookmarkEnd w:id="39"/>
      <w:bookmarkEnd w:id="50"/>
      <w:bookmarkEnd w:id="54"/>
      <w:r>
        <w:t>Partie 3 — La capitalisation permet d’avoir des fonds de pension</w:t>
      </w:r>
      <w:bookmarkEnd w:id="57"/>
    </w:p>
    <w:p w14:paraId="07CC16EC" w14:textId="77777777" w:rsidR="00BF0342" w:rsidRDefault="00000000">
      <w:pPr>
        <w:pStyle w:val="FirstParagraph"/>
      </w:pPr>
      <w:r>
        <w:t>Pendant que nous ne capitalisons pas, les autres le font à notre place — avec notre épargne, sur nos entreprises. Le résultat est un grand transfert silencieux : six mille milliards d’euros qui dorment chez nous, et nos plus belles ETI qui se vendent à des fonds qui n’auront jamais à payer de retraite française. Cette partie le documente.</w:t>
      </w:r>
    </w:p>
    <w:p w14:paraId="3B9803E6" w14:textId="77777777" w:rsidR="00BF0342" w:rsidRDefault="00000000">
      <w:pPr>
        <w:pStyle w:val="Heading2"/>
      </w:pPr>
      <w:bookmarkStart w:id="58" w:name="X29917781f31cf7c125664640aa511f4650f0640"/>
      <w:bookmarkStart w:id="59" w:name="_Toc233036195"/>
      <w:r>
        <w:t>Qu’est-ce qu’un fonds de pension ? À quoi ça sert ? Les trois familles</w:t>
      </w:r>
      <w:bookmarkEnd w:id="59"/>
    </w:p>
    <w:p w14:paraId="51DA4FD1" w14:textId="77777777" w:rsidR="00BF0342" w:rsidRDefault="00000000">
      <w:pPr>
        <w:pStyle w:val="FirstParagraph"/>
      </w:pPr>
      <w:r>
        <w:t xml:space="preserve">Avant de regarder pourquoi la France perd son capital, il faut prendre le temps de poser ce qu’est, concrètement, un fonds de pension. Le mot circule beaucoup dans le débat public ; sa réalité technique reste, étrangement, mal connue. Un fonds de pension est un organisme d’investissement collectif dont la mission est de gérer, sur plusieurs décennies, les cotisations retraite versées par une population définie — salariés d’un secteur, fonctionnaires d’un État, travailleurs d’une entreprise, ou cotisants d’un régime national entier. Ces cotisations ne sont pas redistribuées immédiatement comme dans la répartition. Elles sont investies — actions cotées, obligations d’État et d’entreprises, immobilier, infrastructures, capital-investissement — et produisent un rendement qui </w:t>
      </w:r>
      <w:r>
        <w:lastRenderedPageBreak/>
        <w:t>s’accumule au capital. À l’âge de la retraite, le capital accumulé pour chaque affilié est converti en rente viagère ou versé sous forme de capital, selon les règles du régime.</w:t>
      </w:r>
    </w:p>
    <w:p w14:paraId="3F34E6C8" w14:textId="77777777" w:rsidR="00BF0342" w:rsidRDefault="00000000">
      <w:pPr>
        <w:pStyle w:val="BodyText"/>
      </w:pPr>
      <w:r>
        <w:t>Un fonds de pension remplit donc, simultanément, quatre fonctions. La première est sociale : assurer un revenu complémentaire ou principal de retraite à ses affiliés, lissé sur trente à quarante ans de vie active. La deuxième est financière : valoriser ce revenu par le rendement composé du capital investi, ce qui démultiplie l’effort de cotisation par un facteur de deux à cinq selon les durées. La troisième est macroéconomique : transformer l’épargne nationale en force productive, en finançant les entreprises, les infrastructures et les projets de long terme dans lesquels il investit. La quatrième est politique : reprendre la maîtrise nationale du capital, en évitant que les meilleures entreprises domestiques basculent par défaut sous le contrôle de fonds étrangers — c’est l’enjeu de souveraineté qui structure toute la suite de cette partie.</w:t>
      </w:r>
    </w:p>
    <w:p w14:paraId="6B866909" w14:textId="77777777" w:rsidR="00BF0342" w:rsidRDefault="00000000">
      <w:pPr>
        <w:pStyle w:val="BodyText"/>
      </w:pPr>
      <w:r>
        <w:t>La France, on l’a vu en introduction, dispose déjà d’un fonds de pension public obligatoire — le RAFP — qui couvre 4,5 millions de fonctionnaires depuis 2005, gère 47,8 milliards d’euros à fin 2024 et rapporte 4,3 % nets par an depuis l’origine. Il s’agit, mécaniquement, exactement de ce qui est décrit ci-dessus : cotisations capitalisées, allocation diversifiée — 58 % obligations, 20 % actions, 10 % capital-investissement et infrastructures, 9 % immobilier —, gouvernance publique paritaire, horizon long. Le RAFP n’est pas un fonds de pension exotique. C’est l’exemple français du modèle. La seule particularité, dans le débat hexagonal, est qu’il a été soigneusement maintenu en dehors du radar politique pendant vingt ans. Quand on parle de fonds de pension dans la suite de ce livre, on parle donc d’une infrastructure dont la France maîtrise déjà la technique pour une partie de sa population active. La question est de savoir pourquoi elle se l’interdit pour les autres.</w:t>
      </w:r>
    </w:p>
    <w:p w14:paraId="1E786B11" w14:textId="77777777" w:rsidR="00BF0342" w:rsidRDefault="00000000">
      <w:pPr>
        <w:pStyle w:val="BodyText"/>
      </w:pPr>
      <w:r>
        <w:t xml:space="preserve">Quand on parcourt les pays qui ont adopté un pilier capitalisé, on s’aperçoit qu’ils n’ont pas tous fait la même chose. La capitalisation n’est pas un modèle unique mais une famille de modèles, qui se distinguent par la nature de la cotisation, l’identité de l’opérateur et le degré de contrainte. Trois grandes familles ressortent. Comprendre ces trois familles, c’est se débarrasser d’une autre fausse idée : celle selon laquelle « la capitalisation, c’est anglo-saxon ». Les variantes nordiques, néerlandaises et québécoises ressemblent, sur leurs principes essentiels, à tout sauf à du </w:t>
      </w:r>
      <w:r>
        <w:rPr>
          <w:i/>
          <w:iCs/>
        </w:rPr>
        <w:t>Wall Street</w:t>
      </w:r>
      <w:r>
        <w:t>.</w:t>
      </w:r>
    </w:p>
    <w:p w14:paraId="0CB03B21" w14:textId="77777777" w:rsidR="00BF0342" w:rsidRDefault="00000000">
      <w:pPr>
        <w:pStyle w:val="BodyText"/>
      </w:pPr>
      <w:r>
        <w:rPr>
          <w:b/>
          <w:bCs/>
        </w:rPr>
        <w:t>Première famille : les fonds publics, parfois souverains.</w:t>
      </w:r>
      <w:r>
        <w:t xml:space="preserve"> Ils sont gérés par une institution publique, souvent dérivée de la banque centrale ou d’une agence dédiée, et investissent au nom d’une collectivité - un pays, une province, un régime entier - dans une logique de très long terme. Le plus connu, et le plus impressionnant par sa taille, est le </w:t>
      </w:r>
      <w:r>
        <w:rPr>
          <w:i/>
          <w:iCs/>
        </w:rPr>
        <w:t>Government Pension Fund Global</w:t>
      </w:r>
      <w:r>
        <w:t xml:space="preserve"> norvégien. À fin 2024, il gérait 19 742 milliards de couronnes norvégiennes, soit environ 1 675 milliards d’euros, dans près de 8 700 sociétés cotées et 71 pays.</w:t>
      </w:r>
    </w:p>
    <w:p w14:paraId="5FD90D32" w14:textId="77777777" w:rsidR="00BF0342" w:rsidRDefault="00000000">
      <w:pPr>
        <w:pStyle w:val="BodyText"/>
      </w:pPr>
      <w:r>
        <w:lastRenderedPageBreak/>
        <w:t>Son rendement nominal moyen depuis 1998 atteint 6,3 % par an, soit 4,1 % par an en termes réels nets de frais et d’inflation</w:t>
      </w:r>
      <w:r>
        <w:rPr>
          <w:rStyle w:val="FootnoteReference"/>
        </w:rPr>
        <w:footnoteReference w:id="148"/>
      </w:r>
      <w:r>
        <w:t>. C’est un fonds de pension à part puisqu’il est alimenté par la rente pétrolière norvégienne - mais ses règles de gouvernance, sa structure d’investissement, son code éthique servent partout de référence. La Caisse de dépôt et placement du Québec joue, à l’échelle d’une province, un rôle comparable. Avec 473 milliards de dollars canadiens d’actifs sous gestion fin 2024, elle finance le Régime de rentes du Québec et plusieurs autres régimes québécois, à un rendement annualisé de 7,1 % sur dix ans</w:t>
      </w:r>
      <w:r>
        <w:rPr>
          <w:rStyle w:val="FootnoteReference"/>
        </w:rPr>
        <w:footnoteReference w:id="149"/>
      </w:r>
      <w:r>
        <w:t>.</w:t>
      </w:r>
    </w:p>
    <w:p w14:paraId="24DC1773" w14:textId="77777777" w:rsidR="00BF0342" w:rsidRDefault="00000000">
      <w:pPr>
        <w:pStyle w:val="BodyText"/>
      </w:pPr>
      <w:r>
        <w:t>Les AP-fonds suédois (AP1 à AP4 et AP6) jouent le rôle de fonds-tampons publics pour le système suédois par répartition, avec environ 2 100 milliards de couronnes suédoises d’actifs et un rendement annualisé sur dix ans de 7,6 % pour AP1-AP4</w:t>
      </w:r>
      <w:r>
        <w:rPr>
          <w:rStyle w:val="FootnoteReference"/>
        </w:rPr>
        <w:footnoteReference w:id="150"/>
      </w:r>
      <w:r>
        <w:t xml:space="preserve">. Le </w:t>
      </w:r>
      <w:r>
        <w:rPr>
          <w:i/>
          <w:iCs/>
        </w:rPr>
        <w:t>Canada Pension Plan Investment Board</w:t>
      </w:r>
      <w:r>
        <w:t xml:space="preserve"> gère, lui, 714 milliards de dollars canadiens fin mars 2025, pour un rendement annualisé sur dix ans de 8,3 % net de frais</w:t>
      </w:r>
      <w:r>
        <w:rPr>
          <w:rStyle w:val="FootnoteReference"/>
        </w:rPr>
        <w:footnoteReference w:id="151"/>
      </w:r>
      <w:r>
        <w:t>. Ces fonds publics partagent quatre traits : une gouvernance publique mais indépendante du pouvoir politique, une stratégie d’investissement globale et diversifiée, un horizon multi-décennal, des frais de gestion très bas.</w:t>
      </w:r>
    </w:p>
    <w:p w14:paraId="2A7C59EA" w14:textId="77777777" w:rsidR="00BF0342" w:rsidRDefault="00000000">
      <w:pPr>
        <w:pStyle w:val="BodyText"/>
      </w:pPr>
      <w:r>
        <w:rPr>
          <w:b/>
          <w:bCs/>
        </w:rPr>
        <w:t>Deuxième famille : les fonds sectoriels paritaires.</w:t>
      </w:r>
      <w:r>
        <w:t xml:space="preserve"> Ils ne gèrent pas un régime entier ; ils gèrent celui d’un secteur professionnel donné, sous gouvernance partagée entre représentants des employeurs et représentants des salariés. C’est le modèle néerlandais, qui structure le deuxième pilier de retraite du pays. ABP, la caisse des fonctionnaires et des enseignants, gère 542 milliards d’euros d’actifs pour 2,9 millions de salariés couverts. Son rendement 2024 a atteint 8,6 %. PFZW, la caisse du secteur hospitalier et social, gère 259 milliards d’euros pour près de 2,9 millions d’affiliés, avec un rendement de 8 % en 2024</w:t>
      </w:r>
      <w:r>
        <w:rPr>
          <w:rStyle w:val="FootnoteReference"/>
        </w:rPr>
        <w:footnoteReference w:id="152"/>
      </w:r>
      <w:r>
        <w:t>. Plus de 85 % des salariés néerlandais sont couverts par un fonds sectoriel obligatoire. Le modèle danois est cousin : Industriens Pension, dans l’industrie manufacturière, gère 255 milliards de couronnes danoises d’actifs pour 447 000 membres</w:t>
      </w:r>
      <w:r>
        <w:rPr>
          <w:rStyle w:val="FootnoteReference"/>
        </w:rPr>
        <w:footnoteReference w:id="153"/>
      </w:r>
      <w:r>
        <w:t xml:space="preserve">. La force du modèle paritaire est sa légitimité : les syndicats co-gouvernent, ils n’ont aucun intérêt à laisser dériver l’allocation, et la transparence imposée évite la </w:t>
      </w:r>
      <w:r>
        <w:lastRenderedPageBreak/>
        <w:t>capture par les gérants. C’est aussi la formule qui place les Pays-Bas en tête du classement Mercer CFA mondial des systèmes de retraite, en grade A, depuis plusieurs années consécutives</w:t>
      </w:r>
      <w:r>
        <w:rPr>
          <w:rStyle w:val="FootnoteReference"/>
        </w:rPr>
        <w:footnoteReference w:id="154"/>
      </w:r>
      <w:r>
        <w:t>.</w:t>
      </w:r>
    </w:p>
    <w:p w14:paraId="7F923641" w14:textId="77777777" w:rsidR="00BF0342" w:rsidRDefault="00000000">
      <w:pPr>
        <w:pStyle w:val="BodyText"/>
      </w:pPr>
      <w:r>
        <w:rPr>
          <w:b/>
          <w:bCs/>
        </w:rPr>
        <w:t>Troisième famille : l’auto-enrolment.</w:t>
      </w:r>
      <w:r>
        <w:t xml:space="preserve"> Le pays cotise par défaut, le salarié peut sortir s’il le souhaite. C’est une trouvaille britannique de 2012, généralisée depuis : tout employeur doit inscrire automatiquement ses salariés à un dispositif de retraite capitalisée et y verser une contribution. Le salarié reste libre de refuser, mais l’inertie comportementale fait que neuf sur dix restent inscrits</w:t>
      </w:r>
      <w:r>
        <w:rPr>
          <w:rStyle w:val="FootnoteReference"/>
        </w:rPr>
        <w:footnoteReference w:id="155"/>
      </w:r>
      <w:r>
        <w:t>. NEST, le fonds par défaut, gère 49,7 milliards de livres pour 13,8 millions de membres au 31 mars 2025, avec un fonds 2045 par défaut performant à 9,9 % annualisés sur cinq ans</w:t>
      </w:r>
      <w:r>
        <w:rPr>
          <w:rStyle w:val="FootnoteReference"/>
        </w:rPr>
        <w:footnoteReference w:id="156"/>
      </w:r>
      <w:r>
        <w:t>. L’Australie a un modèle plus contraignant - pas de droit d’</w:t>
      </w:r>
      <w:r>
        <w:rPr>
          <w:i/>
          <w:iCs/>
        </w:rPr>
        <w:t>opt-out</w:t>
      </w:r>
      <w:r>
        <w:t>, contribution patronale obligatoire portée à 12 % du salaire en juillet 2025 - mais dans la même famille logique : c’est l’employeur qui cotise pour le salarié, dans un fonds géré par un opérateur agréé</w:t>
      </w:r>
      <w:r>
        <w:rPr>
          <w:rStyle w:val="FootnoteReference"/>
        </w:rPr>
        <w:footnoteReference w:id="157"/>
      </w:r>
      <w:r>
        <w:t xml:space="preserve">. </w:t>
      </w:r>
      <w:r>
        <w:rPr>
          <w:i/>
          <w:iCs/>
        </w:rPr>
        <w:t>AustralianSuper</w:t>
      </w:r>
      <w:r>
        <w:t>, premier fonds du pays, affiche 7,94 % annualisés sur dix ans nets de frais. La Nouvelle-Zélande a copié le modèle britannique en plus léger ; le KiwiSaver compte plus de trois millions de membres et couvre la grande majorité des actifs néo-zélandais</w:t>
      </w:r>
      <w:r>
        <w:rPr>
          <w:rStyle w:val="FootnoteReference"/>
        </w:rPr>
        <w:footnoteReference w:id="158"/>
      </w:r>
      <w:r>
        <w:t>.</w:t>
      </w:r>
    </w:p>
    <w:p w14:paraId="27384A0F" w14:textId="77777777" w:rsidR="00BF0342" w:rsidRDefault="00000000">
      <w:pPr>
        <w:pStyle w:val="BodyText"/>
      </w:pPr>
      <w:r>
        <w:t xml:space="preserve">Ces trois familles ne sont pas concurrentes : elles peuvent se combiner. La Suède a un pilier répartition NDC, un </w:t>
      </w:r>
      <w:r>
        <w:rPr>
          <w:i/>
          <w:iCs/>
        </w:rPr>
        <w:t>Premiepension</w:t>
      </w:r>
      <w:r>
        <w:t xml:space="preserve"> capitalisé à comptes individuels, des AP-fonds publics qui amortissent les chocs démographiques, et un étage professionnel paritaire négocié par branche. Les Pays-Bas combinent l’AOW (répartition de base) avec un deuxième pilier paritaire massif. L’Australie mixe </w:t>
      </w:r>
      <w:r>
        <w:rPr>
          <w:i/>
          <w:iCs/>
        </w:rPr>
        <w:t>Superannuation</w:t>
      </w:r>
      <w:r>
        <w:t xml:space="preserve"> obligatoire et </w:t>
      </w:r>
      <w:r>
        <w:rPr>
          <w:i/>
          <w:iCs/>
        </w:rPr>
        <w:t>Age Pension</w:t>
      </w:r>
      <w:r>
        <w:t xml:space="preserve"> publique. Chaque pays a créé un système selon son histoire, ses syndicats, sa fiscalité. Aucun n’a tout misé sur un seul mécanisme. Aucun n’est, non plus, revenu en arrière.</w:t>
      </w:r>
    </w:p>
    <w:p w14:paraId="357DF140" w14:textId="77777777" w:rsidR="00BF0342" w:rsidRDefault="00000000">
      <w:pPr>
        <w:pStyle w:val="BodyText"/>
      </w:pPr>
      <w:r>
        <w:lastRenderedPageBreak/>
        <w:t xml:space="preserve">Et c’est là, peut-être, le plus parlant. Les piliers de capitalisation des pays que ce livre prend en exemple - Suède, Pays-Bas, Danemark, Australie, Canada, Royaume-Uni - n’ont jamais été démantelés, même quand l’alternance politique a renversé la majorité qui les avait institués. Une fois en place, la capitalisation y est devenue consensuelle : elle traverse les majorités, comme la Sécurité sociale a traversé les nôtres. Les seules remises en cause survenues dans l’OCDE concernent un modèle tout différent - les </w:t>
      </w:r>
      <w:r>
        <w:rPr>
          <w:i/>
          <w:iCs/>
        </w:rPr>
        <w:t>carve-out</w:t>
      </w:r>
      <w:r>
        <w:t xml:space="preserve"> d’Europe centrale des années 1990, qui détournaient une part des cotisations de répartition existantes vers des comptes privés sans ressource nouvelle. Sous la pression budgétaire de l’après-2008, la Hongrie a renationalisé le sien (2010-2011) et la Pologne l’a réduit puis rendu facultatif (2013-2014)</w:t>
      </w:r>
      <w:r>
        <w:rPr>
          <w:rStyle w:val="FootnoteReference"/>
        </w:rPr>
        <w:footnoteReference w:id="159"/>
      </w:r>
      <w:r>
        <w:t>. Or ce contre-modèle - bâtir un étage capitalisé en vidant la répartition - est précisément celui qu’aucun des systèmes étudiés ici n’a suivi, et celui que ce livre se garde de recommander. Ce qui en dit long sur l’écart entre ce que la France imagine du sujet et ce qui se fait partout ailleurs.</w:t>
      </w:r>
    </w:p>
    <w:p w14:paraId="3B9CE8E3" w14:textId="77777777" w:rsidR="00BF0342" w:rsidRDefault="00000000">
      <w:pPr>
        <w:pStyle w:val="Heading2"/>
      </w:pPr>
      <w:bookmarkStart w:id="60" w:name="le-capital-qui-nous-échappe"/>
      <w:bookmarkStart w:id="61" w:name="_Toc233036196"/>
      <w:bookmarkEnd w:id="58"/>
      <w:r>
        <w:t>Le capital qui nous échappe</w:t>
      </w:r>
      <w:bookmarkEnd w:id="61"/>
    </w:p>
    <w:p w14:paraId="0D9F0EA1" w14:textId="77777777" w:rsidR="00BF0342" w:rsidRDefault="00000000">
      <w:pPr>
        <w:pStyle w:val="FirstParagraph"/>
      </w:pPr>
      <w:r>
        <w:t xml:space="preserve">Première observation, brutale dans les chiffres. À fin 2024, la moitié du capital des grandes sociétés-mères françaises du CAC 40 est détenue par des investisseurs non-résidents. Le </w:t>
      </w:r>
      <w:r>
        <w:rPr>
          <w:i/>
          <w:iCs/>
        </w:rPr>
        <w:t>Government Pension Fund Global</w:t>
      </w:r>
      <w:r>
        <w:t xml:space="preserve"> norvégien, qu’on a évoqué plus haut, détient à lui seul environ 35 milliards d’euros d’actions françaises. ABP, le fonds des fonctionnaires néerlandais, est présent au capital de Schneider Electric, L’Oréal, Sanofi, Saint-Gobain, BNP Paribas, Air Liquide, AXA, Danone, Société Générale, Klepierre. </w:t>
      </w:r>
      <w:r>
        <w:rPr>
          <w:i/>
          <w:iCs/>
        </w:rPr>
        <w:t>CPP Investments</w:t>
      </w:r>
      <w:r>
        <w:t xml:space="preserve">, le gestionnaire de la retraite des Canadiens, détient des participations dans Schneider, Air Liquide, Veolia. </w:t>
      </w:r>
      <w:r>
        <w:rPr>
          <w:i/>
          <w:iCs/>
        </w:rPr>
        <w:t>AustralianSuper</w:t>
      </w:r>
      <w:r>
        <w:t xml:space="preserve">, </w:t>
      </w:r>
      <w:r>
        <w:rPr>
          <w:i/>
          <w:iCs/>
        </w:rPr>
        <w:t>USS</w:t>
      </w:r>
      <w:r>
        <w:t xml:space="preserve">, le fonds des universités britanniques, les </w:t>
      </w:r>
      <w:r>
        <w:rPr>
          <w:i/>
          <w:iCs/>
        </w:rPr>
        <w:t>teachers’ pensions</w:t>
      </w:r>
      <w:r>
        <w:t xml:space="preserve"> du Texas et de l’Ontario, </w:t>
      </w:r>
      <w:r>
        <w:rPr>
          <w:i/>
          <w:iCs/>
        </w:rPr>
        <w:t>BlackRock</w:t>
      </w:r>
      <w:r>
        <w:t xml:space="preserve"> et </w:t>
      </w:r>
      <w:r>
        <w:rPr>
          <w:i/>
          <w:iCs/>
        </w:rPr>
        <w:t>Vanguard</w:t>
      </w:r>
      <w:r>
        <w:t xml:space="preserve"> qui répliquent l’indice mondial pour les épargnants retraite américains : tous sont au capital de nos plus grandes entreprises. Les bénéficiaires ultimes de leur rendement sont, par construction, des retraités étrangers.</w:t>
      </w:r>
    </w:p>
    <w:p w14:paraId="2A00F8E0" w14:textId="77777777" w:rsidR="00BF0342" w:rsidRDefault="00000000">
      <w:pPr>
        <w:pStyle w:val="BodyText"/>
      </w:pPr>
      <w:r>
        <w:t xml:space="preserve">Le mécanisme est mécaniquement transparent. Les fonds de pension étrangers ont besoin d’investir leurs cotisations dans des actifs cotés performants ; nos grandes entreprises sont des actifs cotés performants ; donc ils investissent chez nous. La France ne dispose pas de fonds de pension d’envergure équivalente — Ardian, premier gestionnaire français de capital-investissement, gère environ 200 milliards de dollars, soit de l’ordre d’un dixième du seul fonds norvégien. Il n’y a, par construction, personne du côté français pour faire contrepoids au flux entrant. Le résultat : sur les 73 milliards </w:t>
      </w:r>
      <w:r>
        <w:lastRenderedPageBreak/>
        <w:t>d’euros de dividendes versés en 2024 par les sociétés du CAC 40, plus de 36 milliards - près de la moitié - sont partis à l’étranger. Chaque année, les bénéfices de nos plus grandes entreprises financent en partie les retraites néerlandaises, les universités californiennes, les pensions de l’Ontario, l’État providence norvégien.</w:t>
      </w:r>
    </w:p>
    <w:p w14:paraId="025880AC" w14:textId="77777777" w:rsidR="00BF0342" w:rsidRDefault="00000000">
      <w:pPr>
        <w:pStyle w:val="BodyText"/>
      </w:pPr>
      <w:r>
        <w:t>Le paradoxe central de cette partie tient en une phrase. Ce n’est pas que la France n’a pas d’épargne. Au contraire — elle en a plus de six mille milliards d’euros. C’est que cette épargne ne va pas là où il faudrait pour qu’elle finance le capital national. Elle est immobilisée, mal canalisée, sous-rémunérée. La section qui suit documente où elle dort, et pourquoi.</w:t>
      </w:r>
    </w:p>
    <w:p w14:paraId="184CEB0D" w14:textId="77777777" w:rsidR="00BF0342" w:rsidRDefault="00000000">
      <w:pPr>
        <w:pStyle w:val="Heading3"/>
      </w:pPr>
      <w:bookmarkStart w:id="62" w:name="six-mille-milliards-qui-dorment"/>
      <w:bookmarkStart w:id="63" w:name="_Toc233036197"/>
      <w:r>
        <w:t>Six mille milliards qui dorment</w:t>
      </w:r>
      <w:bookmarkEnd w:id="63"/>
    </w:p>
    <w:p w14:paraId="59E21DC7" w14:textId="77777777" w:rsidR="00BF0342" w:rsidRDefault="00000000">
      <w:pPr>
        <w:pStyle w:val="FirstParagraph"/>
      </w:pPr>
      <w:r>
        <w:t>Les ménages français épargnent beaucoup. Sur 100 euros gagnés chaque mois, près de 20 sont mis de côté</w:t>
      </w:r>
      <w:r>
        <w:rPr>
          <w:rStyle w:val="FootnoteReference"/>
        </w:rPr>
        <w:footnoteReference w:id="160"/>
      </w:r>
      <w:r>
        <w:t>. Et pourtant, quand Sanofi a annoncé la cession d’Opella, en octobre 2024, aucun acheteur français n’a levé la main. Pas un. Pas même au prix demandé, pas même à un prix légèrement moindre. Le pays le plus épargnant d’Europe occidentale n’avait, ce jour-là, personne à mettre en face d’un fonds new-yorkais. C’est le paradoxe central de ce chapitre.</w:t>
      </w:r>
    </w:p>
    <w:p w14:paraId="529D33C8" w14:textId="77777777" w:rsidR="00BF0342" w:rsidRDefault="00000000">
      <w:pPr>
        <w:pStyle w:val="BodyText"/>
      </w:pPr>
      <w:r>
        <w:t>Lafarge, Alstom, Technip, Latécoère, Photonis, Exxelia, Doliprane, Ingenico ont fait l’actualité et la liste s’allongera.</w:t>
      </w:r>
    </w:p>
    <w:p w14:paraId="73D86D59" w14:textId="77777777" w:rsidR="00BF0342" w:rsidRDefault="00000000">
      <w:pPr>
        <w:pStyle w:val="BodyText"/>
      </w:pPr>
      <w:r>
        <w:t>Ce paradoxe a deux faces indissociables. D’un côté, six mille milliards d’euros d’épargne dorment sur des livrets et des fonds en euros, sans irriguer ni les entreprises françaises ni les retraites futures. De l’autre, une vague historique de transmissions d’entreprises s’ouvre, et elle risque d’être capturée presque entièrement par des fonds étrangers.</w:t>
      </w:r>
    </w:p>
    <w:p w14:paraId="50E7EC89" w14:textId="77777777" w:rsidR="00BF0342" w:rsidRDefault="00000000">
      <w:pPr>
        <w:pStyle w:val="BodyText"/>
      </w:pPr>
      <w:r>
        <w:t xml:space="preserve">La France a l’argent. Elle ne s’en sert pas. Et parce qu’elle ne s’en sert pas, ses entreprises se vendent à ceux qui, eux, s’en servent. C’est ce </w:t>
      </w:r>
      <w:r>
        <w:rPr>
          <w:i/>
          <w:iCs/>
        </w:rPr>
        <w:t>hold-up silencieux</w:t>
      </w:r>
      <w:r>
        <w:t xml:space="preserve"> que ce chapitre documente. Le capital existe mais n’est pas utilisé.</w:t>
      </w:r>
    </w:p>
    <w:p w14:paraId="6C6A31B0" w14:textId="77777777" w:rsidR="00BF0342" w:rsidRDefault="00000000">
      <w:pPr>
        <w:pStyle w:val="BodyText"/>
      </w:pPr>
      <w:r>
        <w:t>La retraite par capitalisation n'est pas seulement un enjeu pour permettre la soutenabilité du système : c'est plus fondamentalement un enjeu de souveraineté. Derrière la retraite par capitalisation, il y a la possibilité de bâtir des fonds de pension et donc la capacité de la France à rester propriétaire de ses entreprises.</w:t>
      </w:r>
    </w:p>
    <w:p w14:paraId="410118AF" w14:textId="77777777" w:rsidR="00BF0342" w:rsidRDefault="00000000">
      <w:pPr>
        <w:pStyle w:val="BodyText"/>
      </w:pPr>
      <w:r>
        <w:t xml:space="preserve">Pour bien voir le pivot, il faut reprendre les deux chapitres précédents et les emboîter. Le premier a posé un diagnostic : le système actuel, à législation inchangée, n’offre plus aux générations nées après 1980 qu’un rendement implicite voisin de 1 %, qui s’effondre encore génération après génération à mesure que le ratio cotisants/retraités glisse vers 1,40. Le second a posé une réponse individuelle : un actif de trente ans aujourd’hui, qui </w:t>
      </w:r>
      <w:r>
        <w:lastRenderedPageBreak/>
        <w:t>orienterait un cinquième de sa cotisation vieillesse vers un pilier capitalisé pendant ses 43 années de carrière, accumulerait environ 216 000 € de capital propre et toucherait, sur sa retraite, près de 162 000 € de pension supplémentaire par rapport au statu quo. Ce chiffre, on l’a démontré, n’a rien d’utopique : il est tenu par cent vingt-cinq ans de données boursières mondiales et confirmé par les rendements observés en Norvège, en Suède, au Canada, aux Pays-Bas.</w:t>
      </w:r>
    </w:p>
    <w:p w14:paraId="621CD30E" w14:textId="77777777" w:rsidR="00BF0342" w:rsidRDefault="00000000">
      <w:pPr>
        <w:pStyle w:val="BodyText"/>
      </w:pPr>
      <w:r>
        <w:t xml:space="preserve">C’est ici que les deux fils du livre se rejoignent. Ces 216 000 € ne sont pas un actif individuel suspendu dans le vide. Agrégés aux vingt-trois millions d’actifs français, et minorés du capital simultanément consommé par les retraités comme dans tout régime mature, ils dessinent un stock de capital national qu’on peut chiffrer à deux horizons. À vingt-cinq ans, l’horizon d’une transition australienne ou suédoise, la France atteindrait environ </w:t>
      </w:r>
      <w:r>
        <w:rPr>
          <w:b/>
          <w:bCs/>
        </w:rPr>
        <w:t>1 500 milliards d’euros</w:t>
      </w:r>
      <w:r>
        <w:t xml:space="preserve"> sous gestion, soit la moitié de son PIB - encore loin derrière les grands marchés de pension (Danemark ~204 %, Suisse ~165 %, Canada ~158 %, Pays-Bas ~150 %). À cinquante ans, l’horizon d’un régime stable, elle s’approcherait des </w:t>
      </w:r>
      <w:r>
        <w:rPr>
          <w:b/>
          <w:bCs/>
        </w:rPr>
        <w:t>3 000 milliards d’euros</w:t>
      </w:r>
      <w:r>
        <w:t xml:space="preserve">, soit autour de 100 % du PIB - au-dessus de la moyenne des vingt-deux plus grands marchés de pension (de l’ordre de 76 % du PIB), sans pour autant rejoindre les leaders, telle que mesurée chaque année par le </w:t>
      </w:r>
      <w:r>
        <w:rPr>
          <w:i/>
          <w:iCs/>
        </w:rPr>
        <w:t>Global Pension Assets Study</w:t>
      </w:r>
      <w:r>
        <w:t xml:space="preserve"> de Thinking Ahead Institute</w:t>
      </w:r>
      <w:r>
        <w:rPr>
          <w:rStyle w:val="FootnoteReference"/>
        </w:rPr>
        <w:footnoteReference w:id="161"/>
      </w:r>
      <w:r>
        <w:t>. Pour fixer les idées : la France gère aujourd’hui, tous véhicules de capitalisation additionnés, à peine 200 milliards d’euros. À vingt-cinq ans, ce serait sept fois plus. À cinquante, quinze fois plus.</w:t>
      </w:r>
    </w:p>
    <w:p w14:paraId="06D9A5FE" w14:textId="77777777" w:rsidR="00BF0342" w:rsidRDefault="00000000">
      <w:pPr>
        <w:pStyle w:val="BodyText"/>
      </w:pPr>
      <w:r>
        <w:t>Cet écosystème - qu’il pèse 1 500 ou 3 000 milliards selon l’horizon - est exactement celui qui permettrait à la France de financer et de retenir ses entreprises. Le capital qui fait défaut à la retraite et le capital qui fait défaut aux ETI françaises ne sont pas deux problèmes distincts. C’est le même capital. Et la réponse est une réponse unique - bâtir le pilier capitalisé que le pays n’a jamais construit - à deux problèmes qu’on a appris à séparer mais qui n’en font qu’un. C’est cette unicité qui fonde ce chapitre.</w:t>
      </w:r>
    </w:p>
    <w:p w14:paraId="66C1B5F2" w14:textId="77777777" w:rsidR="00BF0342" w:rsidRDefault="00000000">
      <w:pPr>
        <w:pStyle w:val="BodyText"/>
      </w:pPr>
      <w:r>
        <w:t>Le patrimoine financier brut des ménages français atteignait 6 356 milliards d’euros fin 2024, en hausse de 1,7 % sur l’année</w:t>
      </w:r>
      <w:r>
        <w:rPr>
          <w:rStyle w:val="FootnoteReference"/>
        </w:rPr>
        <w:footnoteReference w:id="162"/>
      </w:r>
      <w:r>
        <w:t>. C’est plus de deux fois le produit intérieur brut. C’est aussi, ramené à la population, à peu près 93 000 euros par habitant - enfants compris. Aucun pays comparable ne dispose, en stock, d’un patrimoine financier de ménages plus élevé en proportion. Et pourtant, ce stock est, économiquement, presque inerte.</w:t>
      </w:r>
    </w:p>
    <w:p w14:paraId="306DF95B" w14:textId="77777777" w:rsidR="00BF0342" w:rsidRDefault="00000000">
      <w:pPr>
        <w:pStyle w:val="BodyText"/>
      </w:pPr>
      <w:r>
        <w:lastRenderedPageBreak/>
        <w:t>Pour comprendre pourquoi, il faut regarder où dort cet argent. Un tiers - environ 2 100 milliards d’euros - se trouve sur des dépôts à vue, c’est-à-dire des comptes courants qui ne rapportent rien. Un autre tiers, près de 2000 milliards, est logé dans des contrats d’assurance-vie, dont 1 178 milliards en fonds euros individuels, c’est-à-dire des poches majoritairement investies en obligations d’État françaises et européennes</w:t>
      </w:r>
      <w:r>
        <w:rPr>
          <w:rStyle w:val="FootnoteReference"/>
        </w:rPr>
        <w:footnoteReference w:id="163"/>
      </w:r>
      <w:r>
        <w:t>. Près d’un dixième, 695 milliards, est immobilisé sur des livrets réglementés - Livret A, LDDS, LEP - dont le taux est fixé par décret. Le reste, à peu près un quart, est réparti entre actions cotées détenues en direct, parts d’OPC, Plan Epargne Actions (PEA), Plan Epargne Retraites (PER), épargne logement, et quelques poches mineures</w:t>
      </w:r>
      <w:r>
        <w:rPr>
          <w:rStyle w:val="FootnoteReference"/>
        </w:rPr>
        <w:footnoteReference w:id="164"/>
      </w:r>
      <w:r>
        <w:t>.</w:t>
      </w:r>
    </w:p>
    <w:p w14:paraId="0603D5E1" w14:textId="77777777" w:rsidR="00BF0342" w:rsidRDefault="00000000">
      <w:pPr>
        <w:pStyle w:val="BodyText"/>
      </w:pPr>
      <w:r>
        <w:t>Ramené à une échelle plus parlante : pour cent euros d’épargne financière, le ménage français en place vingt-sept en actions, soixante en assurance-vie ou dépôts, et le reste en livrets et accessoires. Le ménage américain place cinquante euros en actions ou en parts de fonds. L’écart se mesure en dizaines de points. La préférence française, depuis quarante ans, est très claire : faire travailler le moins possible l’épargne dans des actifs productifs risqués, et le plus possible dans des supports administrés à rendement quasi nul.</w:t>
      </w:r>
    </w:p>
    <w:p w14:paraId="5C30C698" w14:textId="77777777" w:rsidR="00BF0342" w:rsidRDefault="00000000">
      <w:pPr>
        <w:pStyle w:val="BodyText"/>
      </w:pPr>
      <w:r>
        <w:t>Ce choix et ses conséquences se chiffrent. Le rendement moyen brut des fonds euros en 2024 s’est établi à 2,63 %</w:t>
      </w:r>
      <w:r>
        <w:rPr>
          <w:rStyle w:val="FootnoteReference"/>
        </w:rPr>
        <w:footnoteReference w:id="165"/>
      </w:r>
      <w:r>
        <w:t>. Une fois retranchés les 17,2 % de prélèvements sociaux et l’inflation 2024 à 2,0 %, le rendement réel net moyen ressort à 0,15 % - soit l’équivalent d’un billet de cinq euros perdu chaque année sur dix mille placés. Sur la période 2014-2024, le rendement réel net cumulé des fonds euros est proche de zéro. Et pourtant, les Français continuent d’y déposer massivement leur épargne nouvelle : en 2024, 61,8 % des primes brutes versées en assurance-vie sont parties vers les fonds euros, contre 38,2 % vers les unités de compte plus dynamiques</w:t>
      </w:r>
      <w:r>
        <w:rPr>
          <w:rStyle w:val="FootnoteReference"/>
        </w:rPr>
        <w:footnoteReference w:id="166"/>
      </w:r>
      <w:r>
        <w:t>. La collecte nette des unités de compte a certes progressé, à +34,4 milliards d’euros sur l’année, tandis que les fonds euros affichaient pour la première fois une décollecte nette de 5,0 milliards. Mais les encours, eux, restent dominés par les fonds euros : 1 178 milliards en fonds euros individuels, contre environ 825 milliards en unités de compte. Près de six euros sur dix placés en assurance-vie continuent d’aller, en brut, vers les supports qui ne rapportent rien.</w:t>
      </w:r>
    </w:p>
    <w:p w14:paraId="563F955A" w14:textId="77777777" w:rsidR="00BF0342" w:rsidRDefault="00000000">
      <w:pPr>
        <w:pStyle w:val="BodyText"/>
      </w:pPr>
      <w:r>
        <w:lastRenderedPageBreak/>
        <w:t xml:space="preserve">+---------------------—+ | &gt; </w:t>
      </w:r>
      <w:r>
        <w:rPr>
          <w:b/>
          <w:bCs/>
          <w:u w:val="single"/>
        </w:rPr>
        <w:t>Calcul. Le manque à gagner d’une épargne mal allouée sur | | &gt; vingt ans.</w:t>
      </w:r>
      <w:r>
        <w:t xml:space="preserve"> | | &gt; | | &gt; Hypothèse : 1 000 € investis le 1er janvier 2005 dans trois | | &gt; allocations différentes, jusqu’au 31 décembre 2024 (20 ans). | | &gt; | | &gt; En fonds euros à 2 % annuel moyen, le capital final atteint 1 | | &gt; 561 €. En portefeuille équilibré 60 % actions monde et 40 % | | &gt; obligations, à 5,6 % annualisé, il atteint 3 247 €. En actions | | &gt; mondiales seules, à 6,8 % annualisé, il atteint 4 156 €. | | &gt; | | &gt; Manque à gagner par mille euros placés : </w:t>
      </w:r>
      <w:r>
        <w:rPr>
          <w:b/>
          <w:bCs/>
        </w:rPr>
        <w:t>1 686 €</w:t>
      </w:r>
      <w:r>
        <w:t xml:space="preserve"> pour le | | &gt; portefeuille équilibré, </w:t>
      </w:r>
      <w:r>
        <w:rPr>
          <w:b/>
          <w:bCs/>
        </w:rPr>
        <w:t>2 595 €</w:t>
      </w:r>
      <w:r>
        <w:t xml:space="preserve"> pour les actions | | &gt; mondiales</w:t>
      </w:r>
      <w:r>
        <w:rPr>
          <w:rStyle w:val="FootnoteReference"/>
        </w:rPr>
        <w:footnoteReference w:id="167"/>
      </w:r>
      <w:r>
        <w:t>. | +====================================================================+</w:t>
      </w:r>
    </w:p>
    <w:p w14:paraId="60517942" w14:textId="77777777" w:rsidR="00BF0342" w:rsidRDefault="00000000">
      <w:pPr>
        <w:pStyle w:val="BodyText"/>
      </w:pPr>
      <w:r>
        <w:t>C’est ce manque à gagner, démultiplié par six mille milliards et par quarante ans, qui constitue le premier coût caché du choix français. Le Livret A et le fonds euros ne sont pas des produits dangereux. Ce sont des produits adaptés à un objectif - la liquidité, la précaution - qu’ils remplissent honorablement. Le problème est qu’ils sont devenus, en France, le réceptacle de la quasi-totalité de l’épargne longue, y compris celle qui devrait préparer une retraite à trente ans de distance. On épargne pour quarante ans avec un produit conçu pour trois mois.</w:t>
      </w:r>
    </w:p>
    <w:p w14:paraId="30A5B178" w14:textId="77777777" w:rsidR="00BF0342" w:rsidRDefault="00000000">
      <w:pPr>
        <w:pStyle w:val="BodyText"/>
      </w:pPr>
      <w:r>
        <w:t>Et l’argent ainsi capté ne dort pas tout à fait. Il finance la dette publique. La Caisse des dépôts redistribue les flux du Livret A et du LDDS vers le logement social, vers les collectivités, vers des prêts à long terme. Les assureurs-vie, eux, placent les fonds euros à hauteur de 35 à 45 % en obligations d’État françaises</w:t>
      </w:r>
      <w:r>
        <w:rPr>
          <w:rStyle w:val="FootnoteReference"/>
        </w:rPr>
        <w:footnoteReference w:id="168"/>
      </w:r>
      <w:r>
        <w:t>. Autrement dit : l’épargne populaire française finance, par circuits administrés, une partie de la dette publique française.</w:t>
      </w:r>
    </w:p>
    <w:p w14:paraId="5F960FED" w14:textId="77777777" w:rsidR="00BF0342" w:rsidRDefault="00000000">
      <w:pPr>
        <w:pStyle w:val="BodyText"/>
      </w:pPr>
      <w:r>
        <w:t>Cette architecture n’est pas un accident contemporain : elle a deux cents ans. Le Livret A est créé en 1818, sous la Restauration, par Benjamin Delessert et François de La Rochefoucauld-Liancourt</w:t>
      </w:r>
      <w:r>
        <w:rPr>
          <w:rStyle w:val="FootnoteReference"/>
        </w:rPr>
        <w:footnoteReference w:id="169"/>
      </w:r>
      <w:r>
        <w:t>. Les caisses d’épargne reçoivent alors deux missions énoncées sans détour : encourager les classes populaires à épargner pour leurs vieux jours, et placer cette épargne en rentes publiques à cinq pour cent. L’épargne au service de la dette. Deux siècles plus tard, le pacte fondateur tient toujours. Aucun gouvernement, depuis 1818, n’a osé toucher à ce cliquet. Le Livret A est devenu intouchable, non pour ses qualités économiques - son rendement réel net est proche de zéro - mais parce qu’il est devenu un totem politique. Y porter la main, c’est s’exposer à un procès en attaque de l’épargne populaire. Un produit conçu pour absorber l’épargne ouvrière du XIXᵉ siècle continue, en 2025, de capter une part massive de l’épargne longue d’un pays moyennement développé.</w:t>
      </w:r>
    </w:p>
    <w:p w14:paraId="1AEDCDF1" w14:textId="77777777" w:rsidR="00BF0342" w:rsidRDefault="00000000">
      <w:pPr>
        <w:pStyle w:val="BodyText"/>
      </w:pPr>
      <w:r>
        <w:lastRenderedPageBreak/>
        <w:t>Ce verrouillage culturel s’est doublé, depuis quarante ans, d’une série de traumatismes boursiers que la mémoire collective n’a pas digérés. Le krach 2000-2002 avec Vivendi-Messier et France Télécom (chute de plus de 90 %), Eurotunnel et ses petits porteurs ruinés, EDF introduite en Bourse en 2005 et dont l’action a perdu plus de la moitié de sa valeur en une décennie : à chaque épisode, le narratif s’est consolidé. L’action est un casino, le Livret A est sûr, l’État protège ce qu’il garantit. Ce récit n’est pas faux ; il est partiel. Il oublie l’horizon - une action française détenue de 1985 à 2025, dividendes réinvestis, rapporte environ 8 % nominal annualisé, et la probabilité de perte réelle d’un portefeuille diversifié tombe sous 5 % à vingt ans</w:t>
      </w:r>
      <w:r>
        <w:rPr>
          <w:rStyle w:val="FootnoteReference"/>
        </w:rPr>
        <w:footnoteReference w:id="170"/>
      </w:r>
      <w:r>
        <w:t>. Et il oublie l’intermédiation : un fonds de pension n’est pas un compte-titres personnel, il agrège, diversifie, lisse les cycles. Il fait ce que le ménage individuel ne peut pas faire seul. Le piège des fonds euros n’est pas technique, il est culturel et historique : on dépose son épargne longue dans un véhicule conçu pour les flux courts, on finance la dette publique avec ce qui devrait financer sa propre retraite, et l’on s’étonne ensuite que les entreprises se vendent à l’étranger.</w:t>
      </w:r>
    </w:p>
    <w:p w14:paraId="30025E09" w14:textId="77777777" w:rsidR="00BF0342" w:rsidRDefault="00000000">
      <w:pPr>
        <w:pStyle w:val="BodyText"/>
      </w:pPr>
      <w:r>
        <w:t>Cette épargne mal allouée a une conséquence directe : la Bourse de Paris se rétracte. La capitalisation boursière française rapportée au PIB oscille entre 103 % et 124 % en 2024 - moins que les États-Unis (plus de 200 %), moins que la Suède (autour de 150 %), loin derrière les Pays-Bas dont le ratio dépasse 220 % en pointe</w:t>
      </w:r>
      <w:r>
        <w:rPr>
          <w:rStyle w:val="FootnoteReference"/>
        </w:rPr>
        <w:footnoteReference w:id="171"/>
      </w:r>
      <w:r>
        <w:t>. La France n’est pas en queue de peloton, mais elle se rétrécit année après année. Trois indicateurs disent la même chose. Le nombre d’IPO d’abord : dix à vingt par an sur Euronext Paris entre 2015 et 2019, six en 2023, quarante-sept en 2024 dont la quasi-totalité sur Euronext Growth, deux à mi-2025</w:t>
      </w:r>
      <w:r>
        <w:rPr>
          <w:rStyle w:val="FootnoteReference"/>
        </w:rPr>
        <w:footnoteReference w:id="172"/>
      </w:r>
      <w:r>
        <w:t>. Le marché primaire ne fonctionne plus qu’au ralenti. Le départ des entreprises cotées ensuite : Iliad-Free a quitté la Bourse en juillet 2021 (retrait à 182 € par action, valorisant la totalité à environ 12 milliards), Xavier Niel jugeant que le marché français ne sait pas valoriser les champions technologiques. En décembre 2024, Vivendi a procédé à un éclatement spectaculaire - Canal+ vers la London Stock Exchange, Havas vers Euronext Amsterdam, Louis Hachette vers Euronext Growth Paris</w:t>
      </w:r>
      <w:r>
        <w:rPr>
          <w:rStyle w:val="FootnoteReference"/>
        </w:rPr>
        <w:footnoteReference w:id="173"/>
      </w:r>
      <w:r>
        <w:t xml:space="preserve">. Mistral AI envisage Nasdaq ; BlaBlaCar, Doctolib, Qonto, Alan regardent Londres ou New York autant que Paris. L’écosystème entrepreneurial français produit des champions, mais il les pousse à se faire valoriser ailleurs. Euronext Paris compte aujourd’hui environ sept cents </w:t>
      </w:r>
      <w:r>
        <w:lastRenderedPageBreak/>
        <w:t>sociétés cotées, dont 318 sur le marché régulé</w:t>
      </w:r>
      <w:r>
        <w:rPr>
          <w:rStyle w:val="FootnoteReference"/>
        </w:rPr>
        <w:footnoteReference w:id="174"/>
      </w:r>
      <w:r>
        <w:t xml:space="preserve"> - quatre fois moins que la London Stock Exchange, six fois moins que les 2 400 cotations du NYSE. Le CAC 40 concentre 75 % de la capitalisation boursière française. Quelques très grandes capitalisations multinationales écrasent un tissu mid-cap atrophié.</w:t>
      </w:r>
    </w:p>
    <w:p w14:paraId="65DE3DAF" w14:textId="77777777" w:rsidR="00BF0342" w:rsidRDefault="00000000">
      <w:pPr>
        <w:pStyle w:val="BodyText"/>
      </w:pPr>
      <w:r>
        <w:t xml:space="preserve">Pourquoi cette rétraction ? Une Bourse profonde a besoin d’investisseurs institutionnels nationaux importants - fonds de pension, mutuelles, fonds souverains - qui achètent à long terme. New York s’appuie sur les </w:t>
      </w:r>
      <w:r>
        <w:rPr>
          <w:i/>
          <w:iCs/>
        </w:rPr>
        <w:t>401(k)</w:t>
      </w:r>
      <w:r>
        <w:t xml:space="preserve"> et les </w:t>
      </w:r>
      <w:r>
        <w:rPr>
          <w:i/>
          <w:iCs/>
        </w:rPr>
        <w:t>endowments</w:t>
      </w:r>
      <w:r>
        <w:t xml:space="preserve"> universitaires. Londres sur ses </w:t>
      </w:r>
      <w:r>
        <w:rPr>
          <w:i/>
          <w:iCs/>
        </w:rPr>
        <w:t>pension schemes</w:t>
      </w:r>
      <w:r>
        <w:t>. Amsterdam sur ABP, PFZW et PMT. Paris sur la BPCE et CNP Assurances, dont les portefeuilles sont massivement contraints en obligations, et sur des fonds non-résidents qui détiennent désormais la moitié du CAC 40. Cercle vicieux : moins de profondeur produit moins de valorisation, ce qui produit moins d’IPO, ce qui produit encore moins de profondeur. Une Bourse atrophiée appelle des investisseurs nationaux de long terme - précisément ceux que les fonds de pension auraient été.</w:t>
      </w:r>
    </w:p>
    <w:p w14:paraId="19F1482E" w14:textId="77777777" w:rsidR="00BF0342" w:rsidRDefault="00000000">
      <w:pPr>
        <w:pStyle w:val="BodyText"/>
      </w:pPr>
      <w:r>
        <w:t>Au bout du compte, ce que tout cela décrit, c’est un comportement de ménage. Le Français détient des actions cotées directement ou via OPC pour environ 27 % de son patrimoine financier brut. Le Suédois 35 à 40 %. Le Néerlandais 32 à 36 %. L’Américain 45 à 50 %. L’Allemand 25 à 28 %. L’écart le plus parlant : 12,5 % de ménages français détiennent effectivement des actions cotées en direct en 2024 (en hausse depuis 6,9 % en 2020), contre 32 à 38 % aux États-Unis et 30 à 40 % en Suède</w:t>
      </w:r>
      <w:r>
        <w:rPr>
          <w:rStyle w:val="FootnoteReference"/>
        </w:rPr>
        <w:footnoteReference w:id="175"/>
      </w:r>
      <w:r>
        <w:t>. Ce n’est pas le pourcentage qui compte, c’est la composition. Un ménage suédois moyen détient son exposition aux actions via son fonds de pension obligatoire ; un ménage néerlandais via son ABP. Ils ne décident pas, ils bénéficient. Le Français, lui, doit décider. S’il ne décide rien, son argent va sur un livret. S’il décide d’épargner, il choisit d’abord l’assurance-vie en fonds euros. La culture suit l’architecture, pas l’inverse. C’est parce que la France n’a pas construit l’architecture qu’elle est devenue, par défaut, le pays des livrets.</w:t>
      </w:r>
    </w:p>
    <w:p w14:paraId="586ACBE0" w14:textId="77777777" w:rsidR="00BF0342" w:rsidRDefault="00000000">
      <w:pPr>
        <w:pStyle w:val="BodyText"/>
      </w:pPr>
      <w:r>
        <w:t>Rapporté à la tête d’habitant, l’écart devient embarrassant. La France détient 1 715 milliards d’actions et OPC actions pour 68 millions d’habitants, soit 25 200 € par tête. La Suède 40 000 € par tête. Plus de 50 % d’écart, alors même que le patrimoine financier brut total français est plus de cinq fois supérieur à celui de la Suède</w:t>
      </w:r>
      <w:r>
        <w:rPr>
          <w:rStyle w:val="FootnoteReference"/>
        </w:rPr>
        <w:footnoteReference w:id="176"/>
      </w:r>
      <w:r>
        <w:t xml:space="preserve">. C’est ça, le paradoxe : nous épargnons davantage, et nous investissons moins. La fourmi sans champ. Si cette épargne ne va pas vers les entreprises françaises, où va-t-elle ? L’argent va dans les fonds étrangers qui rachètent ces mêmes entreprises françaises. Le capital qui devrait financer </w:t>
      </w:r>
      <w:r>
        <w:lastRenderedPageBreak/>
        <w:t>nos ETI les finance - en passant par Amsterdam, Toronto, New York, Oslo - mais sous pavillon étranger. Et le contrôle change de main, en silence, milliard après milliard.</w:t>
      </w:r>
    </w:p>
    <w:p w14:paraId="141C2EF0" w14:textId="77777777" w:rsidR="00BF0342" w:rsidRDefault="00000000">
      <w:pPr>
        <w:pStyle w:val="Heading2"/>
      </w:pPr>
      <w:bookmarkStart w:id="64" w:name="la-vague-des-cessions-silencieuses"/>
      <w:bookmarkStart w:id="65" w:name="_Toc233036198"/>
      <w:bookmarkEnd w:id="60"/>
      <w:bookmarkEnd w:id="62"/>
      <w:r>
        <w:t>La vague des cessions silencieuses</w:t>
      </w:r>
      <w:bookmarkEnd w:id="65"/>
    </w:p>
    <w:p w14:paraId="18416982" w14:textId="77777777" w:rsidR="00BF0342" w:rsidRDefault="00000000">
      <w:pPr>
        <w:pStyle w:val="FirstParagraph"/>
      </w:pPr>
      <w:r>
        <w:t xml:space="preserve">Le capital qui nous échappe n’est pas une notion abstraite. Il prend, dans la décennie qui s’ouvre, une forme parfaitement concrète : la vague de cessions des entreprises familiales françaises sans repreneur national. Cette vague a deux faces qui sont, en réalité, le même phénomène. Côté tissu industriel : 240 000 entreprises françaises chercheront un repreneur d’ici 2030 sans en trouver. Côté grandes entreprises cotées : un </w:t>
      </w:r>
      <w:r>
        <w:rPr>
          <w:i/>
          <w:iCs/>
        </w:rPr>
        <w:t>hold-up silencieux</w:t>
      </w:r>
      <w:r>
        <w:t xml:space="preserve"> qui se déroule depuis vingt ans, transaction par transaction, et qui transfère les sièges, les brevets, les centres de décision et les dividendes vers des opérateurs étrangers.</w:t>
      </w:r>
    </w:p>
    <w:p w14:paraId="20795C2C" w14:textId="77777777" w:rsidR="00BF0342" w:rsidRDefault="00000000">
      <w:pPr>
        <w:pStyle w:val="Heading3"/>
      </w:pPr>
      <w:bookmarkStart w:id="66" w:name="entreprises-sans-repreneur-français"/>
      <w:bookmarkStart w:id="67" w:name="_Toc233036199"/>
      <w:r>
        <w:t>240 000 entreprises sans repreneur français</w:t>
      </w:r>
      <w:bookmarkEnd w:id="67"/>
    </w:p>
    <w:p w14:paraId="6AD1C372" w14:textId="77777777" w:rsidR="00BF0342" w:rsidRDefault="00000000">
      <w:pPr>
        <w:pStyle w:val="FirstParagraph"/>
      </w:pPr>
      <w:r>
        <w:t>L’argument n’est plus seulement structurel. Il est temporel. La France entre, à partir de 2025, dans une fenêtre démographique d’une dizaine d’années pendant laquelle un tissu entier d’entreprises familiales et patrimoniales va changer de mains. Cette fenêtre se referme vers 2035. C’est, par taille, le plus grand mouvement de transmission jamais observé dans l’économie française. Et il est presque entièrement non préparé.</w:t>
      </w:r>
    </w:p>
    <w:p w14:paraId="0C43E6DA" w14:textId="77777777" w:rsidR="00BF0342" w:rsidRDefault="00000000">
      <w:pPr>
        <w:pStyle w:val="BodyText"/>
      </w:pPr>
      <w:r>
        <w:t>Selon BPI France Le Lab, 370 000 entreprises françaises ayant au moins un salarié vont entrer en phase de transmission d’ici 2030</w:t>
      </w:r>
      <w:r>
        <w:rPr>
          <w:rStyle w:val="FootnoteReference"/>
        </w:rPr>
        <w:footnoteReference w:id="177"/>
      </w:r>
      <w:r>
        <w:t xml:space="preserve"> : 310 000 TPE, 58 000 PME, 1 200 ETI. Au total, ces 370 000 entreprises emploient environ trois millions de personnes. Ce qui rend la fenêtre dangereuse, c’est l’écart entre intentions et réalisations. En 2024, seules 26 000 entreprises ont été effectivement transmises. À ce rythme, 130 000 le seront d’ici 2030 - moins de la moitié du potentiel</w:t>
      </w:r>
      <w:r>
        <w:rPr>
          <w:rStyle w:val="FootnoteReference"/>
        </w:rPr>
        <w:footnoteReference w:id="178"/>
      </w:r>
      <w:r>
        <w:t>. Les 240 000 autres ne trouveront pas de repreneur : elles se vendront à perte, à un acteur étranger, ou elles fermeront.</w:t>
      </w:r>
    </w:p>
    <w:p w14:paraId="23FBE508" w14:textId="77777777" w:rsidR="00BF0342" w:rsidRDefault="00000000">
      <w:pPr>
        <w:pStyle w:val="BodyText"/>
      </w:pPr>
      <w:r>
        <w:t>Pourquoi un tel écart ? Trois obstacles dominent. Le financement, d’abord : 60 % des repreneurs déclarent avoir rencontré des obstacles significatifs, et la difficulté à réunir les fonds est citée comme frein principal par 30 % d’entre eux - jusqu’à 44 % chez les repreneurs anciens salariés</w:t>
      </w:r>
      <w:r>
        <w:rPr>
          <w:rStyle w:val="FootnoteReference"/>
        </w:rPr>
        <w:footnoteReference w:id="179"/>
      </w:r>
      <w:r>
        <w:t xml:space="preserve">. Les banques exigent des apports que le repreneur n’a pas et des structures de dette qui asphyxient l’entreprise dès le premier exercice. La valorisation, ensuite : un repreneur sur quatre juge, a posteriori, avoir payé son acquisition trop cher - signe d’un marché où le prix attendu par le cédant et la capacité de </w:t>
      </w:r>
      <w:r>
        <w:lastRenderedPageBreak/>
        <w:t>remboursement du repreneur peinent à se rejoindre</w:t>
      </w:r>
      <w:r>
        <w:rPr>
          <w:rStyle w:val="FootnoteReference"/>
        </w:rPr>
        <w:footnoteReference w:id="180"/>
      </w:r>
      <w:r>
        <w:t>. La préparation, enfin : 70 % des dirigeants dont la transmission est prévue à plus d’un an n’en sont encore qu’au tout début du processus</w:t>
      </w:r>
      <w:r>
        <w:rPr>
          <w:rStyle w:val="FootnoteReference"/>
        </w:rPr>
        <w:footnoteReference w:id="181"/>
      </w:r>
      <w:r>
        <w:t>. Quand la transmission arrive, elle se fait dans l’urgence, et l’urgence se paie.</w:t>
      </w:r>
    </w:p>
    <w:p w14:paraId="118E215A" w14:textId="77777777" w:rsidR="00BF0342" w:rsidRDefault="00000000">
      <w:pPr>
        <w:pStyle w:val="BodyText"/>
      </w:pPr>
      <w:r>
        <w:t>Trois millions d’emplois sont concernés. C’est plus du double des effectifs que les entreprises du CAC 40 emploient en France</w:t>
      </w:r>
      <w:r>
        <w:rPr>
          <w:rStyle w:val="FootnoteReference"/>
        </w:rPr>
        <w:footnoteReference w:id="182"/>
      </w:r>
      <w:r>
        <w:t>. Cette donnée à elle seule devrait suffire à faire de la transmission un sujet politique majeur. Elle ne l’est pas. Le grand public n’en entend parler qu’à l’occasion d’un cas symbolique - Doliprane en 2024, Photonis en 2020 -, alors qu’il s’agit d’un phénomène de masse, étalé dans la durée, presque invisible parce que diffus. C’est cela qui rend ce hold-up « silencieux » : il n’est pas spectaculaire, il est dispersé. Mais il est massif.</w:t>
      </w:r>
    </w:p>
    <w:p w14:paraId="14A22B13" w14:textId="77777777" w:rsidR="00BF0342" w:rsidRDefault="00000000">
      <w:pPr>
        <w:pStyle w:val="BodyText"/>
      </w:pPr>
      <w:r>
        <w:t>Cette vague de transmissions arrive dans un environnement de financement profondément déséquilibré. Les ETI à vendre, les PME aux savoir-faire critiques, les start-up à la maturité d’IPO - elles arrivent toutes sur le marché au même moment où l’épargne française reste détournée vers les fonds euros et la dette publique. Pendant ce temps, les fonds étrangers regardent la France comme un guichet ouvert. Ce n’est pas un hasard.</w:t>
      </w:r>
    </w:p>
    <w:p w14:paraId="2C5B4647" w14:textId="77777777" w:rsidR="00BF0342" w:rsidRDefault="00000000">
      <w:pPr>
        <w:pStyle w:val="BodyText"/>
      </w:pPr>
      <w:r>
        <w:t>Pour comprendre pourquoi ils gagnent presque toujours, il faut mettre côte à côte deux acteurs : le plus gros gestionnaire de capital-investissement français et un fonds de pension étranger de taille moyenne. Le plus gros gestionnaire français s’appelle Ardian. Début 2026, il gère environ 200 milliards de dollars d’actifs, dont 137 milliards en capital-investissement</w:t>
      </w:r>
      <w:r>
        <w:rPr>
          <w:rStyle w:val="FootnoteReference"/>
        </w:rPr>
        <w:footnoteReference w:id="183"/>
      </w:r>
      <w:r>
        <w:t>. C’est l’un des cinq premiers européens. C’est aussi l’unique acteur français de cette taille - derrière, PAI Partners, Eurazeo, Tikehau, Apax France, tous mille fois plus petits que les grands fonds de pension étrangers.</w:t>
      </w:r>
    </w:p>
    <w:p w14:paraId="44A3EB7B" w14:textId="77777777" w:rsidR="00BF0342" w:rsidRDefault="00000000">
      <w:pPr>
        <w:pStyle w:val="BodyText"/>
      </w:pPr>
      <w:r>
        <w:t>Un fonds de pension étranger de taille moyenne, l’ABP néerlandais : 542 milliards d’euros à fin 2024</w:t>
      </w:r>
      <w:r>
        <w:rPr>
          <w:rStyle w:val="FootnoteReference"/>
        </w:rPr>
        <w:footnoteReference w:id="184"/>
      </w:r>
      <w:r>
        <w:t>. Presque trois fois Ardian. Et l’ABP n’est même pas le plus gros : CPPIB et CDPQ canadiens pèsent respectivement 714,4 milliards de dollars canadiens et 473 milliards. AustralianSuper pèse 315 milliards de dollars australiens fin juin 2024</w:t>
      </w:r>
      <w:r>
        <w:rPr>
          <w:rStyle w:val="FootnoteReference"/>
        </w:rPr>
        <w:footnoteReference w:id="185"/>
      </w:r>
      <w:r>
        <w:t xml:space="preserve">. </w:t>
      </w:r>
      <w:r>
        <w:lastRenderedPageBreak/>
        <w:t>CalPERS pesait 506,6 milliards de dollars au 30 juin 2024</w:t>
      </w:r>
      <w:r>
        <w:rPr>
          <w:rStyle w:val="FootnoteReference"/>
        </w:rPr>
        <w:footnoteReference w:id="186"/>
      </w:r>
      <w:r>
        <w:t>. Au sommet, le fonds souverain norvégien gère autour de 1 675 milliards d’euros, dans près de 8 700 sociétés cotées dans 71 pays</w:t>
      </w:r>
      <w:r>
        <w:rPr>
          <w:rStyle w:val="FootnoteReference"/>
        </w:rPr>
        <w:footnoteReference w:id="187"/>
      </w:r>
      <w:r>
        <w:t>. Si l’on additionne ces six fonds, on dépasse 3 600 milliards d’euros. Ardian, c’est environ 5 % de cette somme.</w:t>
      </w:r>
    </w:p>
    <w:p w14:paraId="5F8DB7C8" w14:textId="77777777" w:rsidR="00BF0342" w:rsidRDefault="00000000">
      <w:pPr>
        <w:pStyle w:val="BodyText"/>
      </w:pPr>
      <w:r>
        <w:t xml:space="preserve">C’est l’asymétrie. Et elle n’est pas seulement quantitative. Elle est structurelle. L’horizon, d’abord : un fonds de capital-investissement a des </w:t>
      </w:r>
      <w:r>
        <w:rPr>
          <w:i/>
          <w:iCs/>
        </w:rPr>
        <w:t>limited partners</w:t>
      </w:r>
      <w:r>
        <w:t xml:space="preserve"> qui lui ont confié leur argent pour cinq à sept ans. Au bout de cette période, il doit vendre. Le rendement attendu se situe entre dix et quinze pour cent net annualisé. Coût implicite du capital : autour de douze pour cent. Un fonds de pension, lui, a des engagements à payer sur trente ou cinquante ans. Il peut détenir un actif aussi longtemps qu’il génère un revenu stable. Rendement attendu plus modeste - six à huit pour cent -, contrainte de temps presque inexistante, coût implicite autour de six à sept pour cent</w:t>
      </w:r>
      <w:r>
        <w:rPr>
          <w:rStyle w:val="FootnoteReference"/>
        </w:rPr>
        <w:footnoteReference w:id="188"/>
      </w:r>
      <w:r>
        <w:t>.</w:t>
      </w:r>
    </w:p>
    <w:p w14:paraId="5AD05549" w14:textId="77777777" w:rsidR="00BF0342" w:rsidRDefault="00000000">
      <w:pPr>
        <w:pStyle w:val="BodyText"/>
      </w:pPr>
      <w:r>
        <w:t xml:space="preserve">Cette différence d’horizon se traduit en prix. Pour une ETI française produisant cinq millions d’euros d’EBITDA, Ardian peut payer trois à quatre fois l’EBITDA - quinze à vingt millions - en espérant la revendre à six ou sept fois dans cinq ans. Un fonds de pension étranger peut payer cinq à six fois l’EBITDA - vingt-cinq à trente millions -, conserver vingt ans, et atteindre malgré tout son objectif grâce à la durée. Concrètement, </w:t>
      </w:r>
      <w:r>
        <w:rPr>
          <w:b/>
          <w:bCs/>
        </w:rPr>
        <w:t>vingt à cinquante pour cent plus cher</w:t>
      </w:r>
      <w:r>
        <w:t xml:space="preserve"> pour la même entreprise. Quand un dirigeant cédant regarde le chèque qu’on lui tend, le plus gros vient presque toujours du fonds de pension étranger. Le choix est mécanique.</w:t>
      </w:r>
    </w:p>
    <w:p w14:paraId="0564C55D" w14:textId="77777777" w:rsidR="00BF0342" w:rsidRDefault="00000000">
      <w:pPr>
        <w:pStyle w:val="BodyText"/>
      </w:pPr>
      <w:r>
        <w:t xml:space="preserve">La structure de coûts amplifie l’écart. Un fonds de PE facture entre 1,5 et 2,5 % de frais annuels, plus 20 % de </w:t>
      </w:r>
      <w:r>
        <w:rPr>
          <w:i/>
          <w:iCs/>
        </w:rPr>
        <w:t>carried interest</w:t>
      </w:r>
      <w:r>
        <w:t>. Un fonds de pension public supporte des frais bien moindres - 0,5 à 1 %, parfois moins. AP7 suédois opère à 0,05 % sur sa poche actions. NBIM norvégien à 0,04 %</w:t>
      </w:r>
      <w:r>
        <w:rPr>
          <w:rStyle w:val="FootnoteReference"/>
        </w:rPr>
        <w:footnoteReference w:id="189"/>
      </w:r>
      <w:r>
        <w:t>. La différence se cumule sur trente ans : à capital et rendement brut égaux, le ménage suédois ou norvégien récupère, à terme, vingt à trente pour cent de plus. La taille des tickets, enfin : pour un fonds de pension de plusieurs centaines de milliards, une ETI à 500 millions représente moins de 0,5 % du portefeuille - une participation marginale qu’il peut détenir sans nécessité de revente.</w:t>
      </w:r>
    </w:p>
    <w:tbl>
      <w:tblPr>
        <w:tblStyle w:val="Table"/>
        <w:tblW w:w="4878" w:type="pct"/>
        <w:tblLayout w:type="fixed"/>
        <w:tblLook w:val="0020" w:firstRow="1" w:lastRow="0" w:firstColumn="0" w:lastColumn="0" w:noHBand="0" w:noVBand="0"/>
      </w:tblPr>
      <w:tblGrid>
        <w:gridCol w:w="3269"/>
        <w:gridCol w:w="2803"/>
        <w:gridCol w:w="3270"/>
      </w:tblGrid>
      <w:tr w:rsidR="00BF0342" w14:paraId="3DFA25D9" w14:textId="77777777" w:rsidTr="00BF0342">
        <w:trPr>
          <w:cnfStyle w:val="100000000000" w:firstRow="1" w:lastRow="0" w:firstColumn="0" w:lastColumn="0" w:oddVBand="0" w:evenVBand="0" w:oddHBand="0" w:evenHBand="0" w:firstRowFirstColumn="0" w:firstRowLastColumn="0" w:lastRowFirstColumn="0" w:lastRowLastColumn="0"/>
          <w:tblHeader/>
        </w:trPr>
        <w:tc>
          <w:tcPr>
            <w:tcW w:w="2704" w:type="dxa"/>
          </w:tcPr>
          <w:p w14:paraId="05F42D39" w14:textId="77777777" w:rsidR="00BF0342" w:rsidRDefault="00000000">
            <w:pPr>
              <w:pStyle w:val="Compact"/>
            </w:pPr>
            <w:r>
              <w:t>Critère</w:t>
            </w:r>
          </w:p>
        </w:tc>
        <w:tc>
          <w:tcPr>
            <w:tcW w:w="2318" w:type="dxa"/>
          </w:tcPr>
          <w:p w14:paraId="03778C2C" w14:textId="77777777" w:rsidR="00BF0342" w:rsidRDefault="00000000">
            <w:pPr>
              <w:pStyle w:val="Compact"/>
            </w:pPr>
            <w:r>
              <w:t>Fonds de PE français</w:t>
            </w:r>
          </w:p>
        </w:tc>
        <w:tc>
          <w:tcPr>
            <w:tcW w:w="2704" w:type="dxa"/>
          </w:tcPr>
          <w:p w14:paraId="1C492AC2" w14:textId="77777777" w:rsidR="00BF0342" w:rsidRDefault="00000000">
            <w:pPr>
              <w:pStyle w:val="Compact"/>
            </w:pPr>
            <w:r>
              <w:t>Fonds de pension étranger</w:t>
            </w:r>
          </w:p>
        </w:tc>
      </w:tr>
      <w:tr w:rsidR="00BF0342" w14:paraId="7FD7A520" w14:textId="77777777">
        <w:tc>
          <w:tcPr>
            <w:tcW w:w="2704" w:type="dxa"/>
          </w:tcPr>
          <w:p w14:paraId="408AD9B6" w14:textId="77777777" w:rsidR="00BF0342" w:rsidRDefault="00000000">
            <w:pPr>
              <w:pStyle w:val="Compact"/>
            </w:pPr>
            <w:r>
              <w:t>Taille typique</w:t>
            </w:r>
          </w:p>
        </w:tc>
        <w:tc>
          <w:tcPr>
            <w:tcW w:w="2318" w:type="dxa"/>
          </w:tcPr>
          <w:p w14:paraId="29CEF9D4" w14:textId="77777777" w:rsidR="00BF0342" w:rsidRDefault="00000000">
            <w:pPr>
              <w:pStyle w:val="Compact"/>
            </w:pPr>
            <w:r>
              <w:t>10 à 200 Md€</w:t>
            </w:r>
          </w:p>
        </w:tc>
        <w:tc>
          <w:tcPr>
            <w:tcW w:w="2704" w:type="dxa"/>
          </w:tcPr>
          <w:p w14:paraId="04530446" w14:textId="77777777" w:rsidR="00BF0342" w:rsidRDefault="00000000">
            <w:pPr>
              <w:pStyle w:val="Compact"/>
            </w:pPr>
            <w:r>
              <w:t>300 à 1 675 Md€</w:t>
            </w:r>
          </w:p>
        </w:tc>
      </w:tr>
      <w:tr w:rsidR="00BF0342" w14:paraId="15E4381B" w14:textId="77777777">
        <w:tc>
          <w:tcPr>
            <w:tcW w:w="2704" w:type="dxa"/>
          </w:tcPr>
          <w:p w14:paraId="0EE6C992" w14:textId="77777777" w:rsidR="00BF0342" w:rsidRDefault="00000000">
            <w:pPr>
              <w:pStyle w:val="Compact"/>
            </w:pPr>
            <w:r>
              <w:t>Horizon de détention</w:t>
            </w:r>
          </w:p>
        </w:tc>
        <w:tc>
          <w:tcPr>
            <w:tcW w:w="2318" w:type="dxa"/>
          </w:tcPr>
          <w:p w14:paraId="46CF8CC7" w14:textId="77777777" w:rsidR="00BF0342" w:rsidRDefault="00000000">
            <w:pPr>
              <w:pStyle w:val="Compact"/>
            </w:pPr>
            <w:r>
              <w:t>5 à 7 ans</w:t>
            </w:r>
          </w:p>
        </w:tc>
        <w:tc>
          <w:tcPr>
            <w:tcW w:w="2704" w:type="dxa"/>
          </w:tcPr>
          <w:p w14:paraId="2358849D" w14:textId="77777777" w:rsidR="00BF0342" w:rsidRDefault="00000000">
            <w:pPr>
              <w:pStyle w:val="Compact"/>
            </w:pPr>
            <w:r>
              <w:t>20 à 50 ans</w:t>
            </w:r>
          </w:p>
        </w:tc>
      </w:tr>
      <w:tr w:rsidR="00BF0342" w14:paraId="78A38BBF" w14:textId="77777777">
        <w:tc>
          <w:tcPr>
            <w:tcW w:w="2704" w:type="dxa"/>
          </w:tcPr>
          <w:p w14:paraId="6F4918B5" w14:textId="77777777" w:rsidR="00BF0342" w:rsidRDefault="00000000">
            <w:pPr>
              <w:pStyle w:val="Compact"/>
            </w:pPr>
            <w:r>
              <w:lastRenderedPageBreak/>
              <w:t>Coût implicite du capital</w:t>
            </w:r>
          </w:p>
        </w:tc>
        <w:tc>
          <w:tcPr>
            <w:tcW w:w="2318" w:type="dxa"/>
          </w:tcPr>
          <w:p w14:paraId="6245BABB" w14:textId="77777777" w:rsidR="00BF0342" w:rsidRDefault="00000000">
            <w:pPr>
              <w:pStyle w:val="Compact"/>
            </w:pPr>
            <w:r>
              <w:t>10 à 15 %</w:t>
            </w:r>
          </w:p>
        </w:tc>
        <w:tc>
          <w:tcPr>
            <w:tcW w:w="2704" w:type="dxa"/>
          </w:tcPr>
          <w:p w14:paraId="28199631" w14:textId="77777777" w:rsidR="00BF0342" w:rsidRDefault="00000000">
            <w:pPr>
              <w:pStyle w:val="Compact"/>
            </w:pPr>
            <w:r>
              <w:t>5 à 8 %</w:t>
            </w:r>
          </w:p>
        </w:tc>
      </w:tr>
      <w:tr w:rsidR="00BF0342" w14:paraId="27751FBB" w14:textId="77777777">
        <w:tc>
          <w:tcPr>
            <w:tcW w:w="2704" w:type="dxa"/>
          </w:tcPr>
          <w:p w14:paraId="35351633" w14:textId="77777777" w:rsidR="00BF0342" w:rsidRDefault="00000000">
            <w:pPr>
              <w:pStyle w:val="Compact"/>
            </w:pPr>
            <w:r>
              <w:t>Frais de gestion</w:t>
            </w:r>
          </w:p>
        </w:tc>
        <w:tc>
          <w:tcPr>
            <w:tcW w:w="2318" w:type="dxa"/>
          </w:tcPr>
          <w:p w14:paraId="50A16716" w14:textId="77777777" w:rsidR="00BF0342" w:rsidRDefault="00000000">
            <w:pPr>
              <w:pStyle w:val="Compact"/>
            </w:pPr>
            <w:r>
              <w:t>1,5 à 2,5 %</w:t>
            </w:r>
          </w:p>
        </w:tc>
        <w:tc>
          <w:tcPr>
            <w:tcW w:w="2704" w:type="dxa"/>
          </w:tcPr>
          <w:p w14:paraId="5AFC988C" w14:textId="77777777" w:rsidR="00BF0342" w:rsidRDefault="00000000">
            <w:pPr>
              <w:pStyle w:val="Compact"/>
            </w:pPr>
            <w:r>
              <w:t>0,1 à 1 %</w:t>
            </w:r>
          </w:p>
        </w:tc>
      </w:tr>
      <w:tr w:rsidR="00BF0342" w14:paraId="3A75618F" w14:textId="77777777">
        <w:tc>
          <w:tcPr>
            <w:tcW w:w="2704" w:type="dxa"/>
          </w:tcPr>
          <w:p w14:paraId="534F1FD9" w14:textId="77777777" w:rsidR="00BF0342" w:rsidRDefault="00000000">
            <w:pPr>
              <w:pStyle w:val="Compact"/>
            </w:pPr>
            <w:r>
              <w:t>Capacité à payer le prix</w:t>
            </w:r>
          </w:p>
        </w:tc>
        <w:tc>
          <w:tcPr>
            <w:tcW w:w="2318" w:type="dxa"/>
          </w:tcPr>
          <w:p w14:paraId="1D85BCA6" w14:textId="77777777" w:rsidR="00BF0342" w:rsidRDefault="00000000">
            <w:pPr>
              <w:pStyle w:val="Compact"/>
            </w:pPr>
            <w:r>
              <w:t>3 à 4 × EBITDA</w:t>
            </w:r>
          </w:p>
        </w:tc>
        <w:tc>
          <w:tcPr>
            <w:tcW w:w="2704" w:type="dxa"/>
          </w:tcPr>
          <w:p w14:paraId="2EA2E69A" w14:textId="77777777" w:rsidR="00BF0342" w:rsidRDefault="00000000">
            <w:pPr>
              <w:pStyle w:val="Compact"/>
            </w:pPr>
            <w:r>
              <w:t>5 à 6 × EBITDA</w:t>
            </w:r>
          </w:p>
        </w:tc>
      </w:tr>
      <w:tr w:rsidR="00BF0342" w14:paraId="44C5C9A6" w14:textId="77777777">
        <w:tc>
          <w:tcPr>
            <w:tcW w:w="2704" w:type="dxa"/>
          </w:tcPr>
          <w:p w14:paraId="442C8CF5" w14:textId="77777777" w:rsidR="00BF0342" w:rsidRDefault="00000000">
            <w:pPr>
              <w:pStyle w:val="Compact"/>
            </w:pPr>
            <w:r>
              <w:t>Pression à la revente</w:t>
            </w:r>
          </w:p>
        </w:tc>
        <w:tc>
          <w:tcPr>
            <w:tcW w:w="2318" w:type="dxa"/>
          </w:tcPr>
          <w:p w14:paraId="7C285CF4" w14:textId="77777777" w:rsidR="00BF0342" w:rsidRDefault="00000000">
            <w:pPr>
              <w:pStyle w:val="Compact"/>
            </w:pPr>
            <w:r>
              <w:t>Forte (obligation LP)</w:t>
            </w:r>
          </w:p>
        </w:tc>
        <w:tc>
          <w:tcPr>
            <w:tcW w:w="2704" w:type="dxa"/>
          </w:tcPr>
          <w:p w14:paraId="3383078F" w14:textId="77777777" w:rsidR="00BF0342" w:rsidRDefault="00000000">
            <w:pPr>
              <w:pStyle w:val="Compact"/>
            </w:pPr>
            <w:r>
              <w:t>Faible (rente long terme)</w:t>
            </w:r>
          </w:p>
        </w:tc>
      </w:tr>
    </w:tbl>
    <w:p w14:paraId="72D5B0D4" w14:textId="77777777" w:rsidR="00BF0342" w:rsidRDefault="00000000">
      <w:pPr>
        <w:pStyle w:val="BodyText"/>
      </w:pPr>
      <w:r>
        <w:t>Ce n’est pas un combat. C’est une partie déséquilibrée par construction. À chaque cession d’une belle ETI française, le fonds de pension étranger arrive avec un chèque plus gros et une promesse de stabilité que le PE français ne peut pas faire. Et il l’emporte. Pas parce qu’il est meilleur. Parce qu’il vient d’un système qui, lui, a construit l’outil. L’asymétrie ne se résoudra pas par un Ardian qui doublerait de taille. Elle se résout par des fonds de pension structurels - un véhicule que la France n’a pas.</w:t>
      </w:r>
    </w:p>
    <w:p w14:paraId="0AEDB8D1" w14:textId="77777777" w:rsidR="00BF0342" w:rsidRDefault="00000000">
      <w:pPr>
        <w:pStyle w:val="Heading3"/>
      </w:pPr>
      <w:bookmarkStart w:id="68" w:name="le-hold-up-silencieux"/>
      <w:bookmarkStart w:id="69" w:name="_Toc233036200"/>
      <w:bookmarkEnd w:id="66"/>
      <w:r>
        <w:t>Le hold-up silencieux</w:t>
      </w:r>
      <w:bookmarkEnd w:id="69"/>
    </w:p>
    <w:p w14:paraId="5CD7F0E2" w14:textId="77777777" w:rsidR="00BF0342" w:rsidRDefault="00000000">
      <w:pPr>
        <w:pStyle w:val="FirstParagraph"/>
      </w:pPr>
      <w:r>
        <w:t>Dix ans de cessions</w:t>
      </w:r>
    </w:p>
    <w:p w14:paraId="6340E877" w14:textId="77777777" w:rsidR="00BF0342" w:rsidRDefault="00000000">
      <w:pPr>
        <w:pStyle w:val="BodyText"/>
      </w:pPr>
      <w:r>
        <w:t>L’asymétrie ne reste pas théorique. Elle se traduit, opération par opération, en cessions très concrètes.</w:t>
      </w:r>
    </w:p>
    <w:p w14:paraId="4C22F951" w14:textId="77777777" w:rsidR="00BF0342" w:rsidRDefault="00000000">
      <w:pPr>
        <w:pStyle w:val="BodyText"/>
      </w:pPr>
      <w:r>
        <w:rPr>
          <w:b/>
          <w:bCs/>
        </w:rPr>
        <w:t>Doliprane / Opella → Clayton, Dubilier &amp; Rice (octobre 2024, clôture 30 avril 2025).</w:t>
      </w:r>
      <w:r>
        <w:t xml:space="preserve"> Le cas le plus médiatisé, et celui qui ouvre cet ouvrage. Sanofi cède son pôle santé grand public à CD&amp;R pour une </w:t>
      </w:r>
      <w:r>
        <w:rPr>
          <w:i/>
          <w:iCs/>
        </w:rPr>
        <w:t>enterprise value</w:t>
      </w:r>
      <w:r>
        <w:t xml:space="preserve"> de 16 milliards d’euros. Répartition finale : Sanofi 48,2 %, Bpifrance 1,8 %, CD&amp;R 50 % avec le contrôle effectif</w:t>
      </w:r>
      <w:r>
        <w:rPr>
          <w:rStyle w:val="FootnoteReference"/>
        </w:rPr>
        <w:footnoteReference w:id="190"/>
      </w:r>
      <w:r>
        <w:t>. Sanofi récupère un produit net d’environ 10 milliards qu’il redirigera vers ses recherches en immunologie. Le gouvernement Barnier obtient à l’automne 2024 des garanties : maintien du siège et de la R&amp;D en France, et pérennité des sites de production de Lisieux et Compiègne pendant cinq ans - assortie d’une pénalité pouvant atteindre 40 millions d’euros en cas d’arrêt de production, et d’une pénalité de 100 000 euros par emploi supprimé par licenciement économique contraint. Le détail crucial : cinq ans. Un fonds de PE tient une participation cinq à sept ans avant de la revendre. La clôture étant en avril 2025, la prochaine revente d’Opella interviendra entre 2030 et 2032. Les garanties Barnier auront alors expiré. Le Doliprane sera, à ce moment-là, libre de toute attache.</w:t>
      </w:r>
    </w:p>
    <w:p w14:paraId="74C37B54" w14:textId="77777777" w:rsidR="00BF0342" w:rsidRDefault="00000000">
      <w:pPr>
        <w:pStyle w:val="BodyText"/>
      </w:pPr>
      <w:r>
        <w:rPr>
          <w:b/>
          <w:bCs/>
        </w:rPr>
        <w:t>Alstom Énergie → General Electric (2014-2015).</w:t>
      </w:r>
      <w:r>
        <w:t xml:space="preserve"> Le cas le plus emblématique. Le 22 avril 2014, GE annonce une offre sur la branche Énergie d’Alstom - turbines à gaz, turbines à vapeur, hydraulique, et surtout les turbines Arabelle qui équipent les centrales nucléaires d’EDF. Prix initial : 12,35 milliards d’euros. À la clôture, le 2 novembre 2015, le prix final </w:t>
      </w:r>
      <w:r>
        <w:lastRenderedPageBreak/>
        <w:t xml:space="preserve">encaissé après ajustements ressort à </w:t>
      </w:r>
      <w:r>
        <w:rPr>
          <w:b/>
          <w:bCs/>
        </w:rPr>
        <w:t>9,7 milliards</w:t>
      </w:r>
      <w:r>
        <w:rPr>
          <w:rStyle w:val="FootnoteReference"/>
        </w:rPr>
        <w:footnoteReference w:id="191"/>
      </w:r>
      <w:r>
        <w:t xml:space="preserve">. Presque trois milliards de moins que ce qui avait été annoncé politiquement. À cela s’ajoute le contexte. Frédéric Pierucci, cadre dirigeant d’Alstom, est arrêté à JFK le 14 avril 2013, un an avant l’offre publique, sous procédure du </w:t>
      </w:r>
      <w:r>
        <w:rPr>
          <w:i/>
          <w:iCs/>
        </w:rPr>
        <w:t>Department of Justice</w:t>
      </w:r>
      <w:r>
        <w:t xml:space="preserve">. Il restera incarcéré quatorze mois. Dans </w:t>
      </w:r>
      <w:r>
        <w:rPr>
          <w:i/>
          <w:iCs/>
        </w:rPr>
        <w:t>Le piège américain</w:t>
      </w:r>
      <w:r>
        <w:t xml:space="preserve"> (JC Lattès, 2019), il décrit ce qu’il vit comme un instrument d’extraterritorialité juridique utilisé pour faire pression sur Alstom</w:t>
      </w:r>
      <w:r>
        <w:rPr>
          <w:rStyle w:val="FootnoteReference"/>
        </w:rPr>
        <w:footnoteReference w:id="192"/>
      </w:r>
      <w:r>
        <w:t>. La thèse est contestée ; les faits sont documentés. Dix ans plus tard, la France est devenue dépendante, pour les turbines nucléaires de ses propres réacteurs, d’un constructeur américain.</w:t>
      </w:r>
    </w:p>
    <w:p w14:paraId="0A5F3CBB" w14:textId="77777777" w:rsidR="00BF0342" w:rsidRDefault="00000000">
      <w:pPr>
        <w:pStyle w:val="BodyText"/>
      </w:pPr>
      <w:r>
        <w:rPr>
          <w:b/>
          <w:bCs/>
        </w:rPr>
        <w:t>Photonis → HLD (février 2021).</w:t>
      </w:r>
      <w:r>
        <w:t xml:space="preserve"> Photonis fabrique des tubes intensificateurs d’image - les yeux des forces spéciales françaises et européennes la nuit. En décembre 2020, l’américain Teledyne Technologies propose un rachat évalué à 550 millions de dollars (environ 510 millions d’euros) qui aurait donné un quasi-monopole mondial. Bercy oppose son veto. Le rachat patrimonial est organisé en urgence avec le fonds français HLD, qui acquiert Photonis pour 370 millions d’euros</w:t>
      </w:r>
      <w:r>
        <w:rPr>
          <w:rStyle w:val="FootnoteReference"/>
        </w:rPr>
        <w:footnoteReference w:id="193"/>
      </w:r>
      <w:r>
        <w:t>. Environ cent quarante millions de moins : le « coût de la souveraineté » que la France a accepté de payer. HLD est un fonds patrimonial français, pas un fonds de pension. Sans le veto Bercy, Photonis serait aujourd’hui sous pavillon américain. Le cas est exemplaire d’un blocage politique réussi - mais on ne peut pas activer un veto à chaque transmission d’ETI.</w:t>
      </w:r>
    </w:p>
    <w:p w14:paraId="02A9851D" w14:textId="77777777" w:rsidR="00BF0342" w:rsidRDefault="00000000">
      <w:pPr>
        <w:pStyle w:val="BodyText"/>
      </w:pPr>
      <w:r>
        <w:rPr>
          <w:b/>
          <w:bCs/>
        </w:rPr>
        <w:t>Latécoère → Searchlight Capital (juin 2019).</w:t>
      </w:r>
      <w:r>
        <w:t xml:space="preserve"> L’équipementier aéronautique toulousain, qui fournit Boeing, Airbus, Bombardier, passe sous contrôle d’un fonds de </w:t>
      </w:r>
      <w:r>
        <w:rPr>
          <w:i/>
          <w:iCs/>
        </w:rPr>
        <w:t>private equity</w:t>
      </w:r>
      <w:r>
        <w:t xml:space="preserve"> américain. Searchlight acquiert en juin 2019 26,05 % du capital pour 106,8 millions de dollars</w:t>
      </w:r>
      <w:r>
        <w:rPr>
          <w:rStyle w:val="FootnoteReference"/>
        </w:rPr>
        <w:footnoteReference w:id="194"/>
      </w:r>
      <w:r>
        <w:t>. Une OPA suit, valorisant la totalité à 365 millions d’euros. Recapitalisation de 124,4 millions en novembre 2023, à l’issue de laquelle Searchlight passe à 86,9 %. Effectifs France passés de 2 800 à 2 100 entre 2019 et 2023 - une coupe de 25 %.</w:t>
      </w:r>
    </w:p>
    <w:p w14:paraId="3C645F56" w14:textId="77777777" w:rsidR="00BF0342" w:rsidRDefault="00000000">
      <w:pPr>
        <w:pStyle w:val="BodyText"/>
      </w:pPr>
      <w:r>
        <w:rPr>
          <w:b/>
          <w:bCs/>
        </w:rPr>
        <w:t>Exxelia → Heico (juillet 2022, clôture janvier 2023).</w:t>
      </w:r>
      <w:r>
        <w:t xml:space="preserve"> Exxelia fabrique les composants passifs de haute fiabilité qu’on retrouve dans les sous-marins nucléaires Barracuda, les Rafale, les lanceurs Ariane 5 et 6, l’A320neo, le Falcon. Heico Corporation, fonds industriel coté au Nasdaq, l’acquiert pour 453 millions d’euros plus 14 millions de dette assumée</w:t>
      </w:r>
      <w:r>
        <w:rPr>
          <w:rStyle w:val="FootnoteReference"/>
        </w:rPr>
        <w:footnoteReference w:id="195"/>
      </w:r>
      <w:r>
        <w:t xml:space="preserve">. </w:t>
      </w:r>
      <w:r>
        <w:lastRenderedPageBreak/>
        <w:t xml:space="preserve">La France obtient une </w:t>
      </w:r>
      <w:r>
        <w:rPr>
          <w:i/>
          <w:iCs/>
        </w:rPr>
        <w:t>golden share</w:t>
      </w:r>
      <w:r>
        <w:t xml:space="preserve"> négociée tardivement. Sur le papier, elle peut bloquer une décision stratégique ; dans les faits, ce qui n’aura pas été pré-positionné se négocie à l’unité, années après années. Le siège reste en France ; la direction stratégique est à Hollywood, Floride.</w:t>
      </w:r>
    </w:p>
    <w:p w14:paraId="71AA29C1" w14:textId="77777777" w:rsidR="00BF0342" w:rsidRDefault="00000000">
      <w:pPr>
        <w:pStyle w:val="BodyText"/>
      </w:pPr>
      <w:r>
        <w:t xml:space="preserve">À ces cinq cas s’ajoute une série d’opérations qui dessinent le même mouvement. </w:t>
      </w:r>
      <w:r>
        <w:rPr>
          <w:b/>
          <w:bCs/>
        </w:rPr>
        <w:t>Lafarge-Holcim (2015)</w:t>
      </w:r>
      <w:r>
        <w:t xml:space="preserve"> : fusion avec le suisse Holcim, siège du groupe combiné délocalisé à Jona, effectifs français passés de 6 500 à moins de 5 500 en deux ans</w:t>
      </w:r>
      <w:r>
        <w:rPr>
          <w:rStyle w:val="FootnoteReference"/>
        </w:rPr>
        <w:footnoteReference w:id="196"/>
      </w:r>
      <w:r>
        <w:t xml:space="preserve">. </w:t>
      </w:r>
      <w:r>
        <w:rPr>
          <w:b/>
          <w:bCs/>
        </w:rPr>
        <w:t>Technip-FMC (2016)</w:t>
      </w:r>
      <w:r>
        <w:t xml:space="preserve"> : fusion 50/50 avec l’américain FMC, cotation principale transférée au NYSE, siège opérationnel à Houston, effectifs français passés de plus de 5 000 à moins de 3 500 entre 2017 et 2021</w:t>
      </w:r>
      <w:r>
        <w:rPr>
          <w:rStyle w:val="FootnoteReference"/>
        </w:rPr>
        <w:footnoteReference w:id="197"/>
      </w:r>
      <w:r>
        <w:t xml:space="preserve">. </w:t>
      </w:r>
      <w:r>
        <w:rPr>
          <w:b/>
          <w:bCs/>
        </w:rPr>
        <w:t>Servier-Agios (mars 2021)</w:t>
      </w:r>
      <w:r>
        <w:t xml:space="preserve"> : le contre-exemple. Servier, contrôlé par une fondation à but non lucratif, rachète à l’américain Agios son portefeuille d’oncologie pour 1,8 milliard de dollars</w:t>
      </w:r>
      <w:r>
        <w:rPr>
          <w:rStyle w:val="FootnoteReference"/>
        </w:rPr>
        <w:footnoteReference w:id="198"/>
      </w:r>
      <w:r>
        <w:t xml:space="preserve">. Pourquoi Servier réussit là où d’autres groupes français échouent ? Parce qu’il dispose d’un capital patient, structurellement comparable à celui d’un fonds de pension : pas de pression d’actionnaires cotés, horizon quasi infini. Le contre-exemple parfait, qui prouve que le problème n’est pas culturel, mais structurel. </w:t>
      </w:r>
      <w:r>
        <w:rPr>
          <w:b/>
          <w:bCs/>
        </w:rPr>
        <w:t>Ingenico-Worldline (2020)</w:t>
      </w:r>
      <w:r>
        <w:t xml:space="preserve"> : Worldline rachète Ingenico pour 7,8 milliards d’euros</w:t>
      </w:r>
      <w:r>
        <w:rPr>
          <w:rStyle w:val="FootnoteReference"/>
        </w:rPr>
        <w:footnoteReference w:id="199"/>
      </w:r>
      <w:r>
        <w:t xml:space="preserve">, en théorie la fusion des deux champions français du paiement. Dans les faits, l’ensemble se retrouve surendetté, le cours s’effondre en 2023, des fonds activistes américains entrent au capital. La leçon : créer un champion sans capital long terme pour l’accompagner, c’est créer une cible. </w:t>
      </w:r>
      <w:r>
        <w:rPr>
          <w:b/>
          <w:bCs/>
        </w:rPr>
        <w:t>SoLocal (2004-2024)</w:t>
      </w:r>
      <w:r>
        <w:t xml:space="preserve"> : ex-PagesJaunes, introduite en Bourse en 2004, a dilué progressivement son capital dans une succession de recapitalisations et de prises de contrôle par des fonds anglo-saxons. Pas de hold-up spectaculaire. Une dilution progressive, jusqu’à ce qu’on regarde la table de capital et qu’on s’aperçoive que SoLocal n’est plus une entreprise française.</w:t>
      </w:r>
    </w:p>
    <w:p w14:paraId="2810B4D8" w14:textId="77777777" w:rsidR="00BF0342" w:rsidRDefault="00000000">
      <w:pPr>
        <w:pStyle w:val="BodyText"/>
      </w:pPr>
      <w:r>
        <w:t xml:space="preserve">Dix cas. Six acquéreurs américains ou anglo-saxons (GE, FMC, Searchlight, Heico, CD&amp;R, succession SoLocal), un suisse (Holcim), deux français (HLD après veto Bercy, Servier en cas inverse), un franco-français fragile (Worldline). Sur les sept cessions vers l’étranger, la valeur cumulée transférée atteint environ </w:t>
      </w:r>
      <w:r>
        <w:rPr>
          <w:b/>
          <w:bCs/>
        </w:rPr>
        <w:t>85 milliards d’euros</w:t>
      </w:r>
      <w:r>
        <w:t xml:space="preserve">. En ajoutant la moitié française d’Opella, on dépasse les </w:t>
      </w:r>
      <w:r>
        <w:rPr>
          <w:b/>
          <w:bCs/>
        </w:rPr>
        <w:t>quatre-vingt-dix milliards</w:t>
      </w:r>
      <w:r>
        <w:t>. Sur dix ans, c’est l’équivalent d’un budget de la Défense par décennie qui sort du périmètre français.</w:t>
      </w:r>
    </w:p>
    <w:p w14:paraId="23F69352" w14:textId="77777777" w:rsidR="00BF0342" w:rsidRDefault="00000000">
      <w:pPr>
        <w:pStyle w:val="BodyText"/>
      </w:pPr>
      <w:r>
        <w:lastRenderedPageBreak/>
        <w:t>Mais cette galerie ne dit pas tout. Quand une ETI française se vend à un fonds étranger, ce n’est pas un simple changement d’actionnaire. C’est tout un écosystème qui glisse vers une autre juridiction. Le siège, d’abord. Lafarge à Jona, Technip à Houston, Alstom Énergie sous direction Fairfield, Connecticut. Le centre de décision quotidien migre vers le pays de l’acquéreur. Même quand le siège « officiel » reste en France, comme chez Exxelia, les décisions stratégiques se prennent ailleurs. La hiérarchie suit l’argent. La R&amp;D, ensuite - le plus pernicieux. Une multinationale a intérêt à concentrer ses moyens dans un nombre limité de centres mondiaux. Quand une entreprise française est rachetée par un groupe américain qui possède déjà un centre R&amp;D à Boston, on rationalise. Au bout de cinq ans, le laboratoire français ne fait plus de recherche fondamentale, il fait de l’adaptation locale. C’est ce qui s’est passé chez Technip après 2017, chez Lafarge après 2016. C’est ce qui pourrait arriver chez Opella après 2030. Les brevets, surtout : ils peuvent être cédés intra-groupe à une filiale localisée dans une juridiction fiscale favorable - Pays-Bas, Irlande, Luxembourg, Delaware. Les redevances futures, qui étaient encaissées en France, le sont désormais ailleurs. L’impôt sur les sociétés correspondant aussi. C’est ce qu’on appelle, dans le jargon de l’OCDE, l’érosion de la base fiscale</w:t>
      </w:r>
      <w:r>
        <w:rPr>
          <w:rStyle w:val="FootnoteReference"/>
        </w:rPr>
        <w:footnoteReference w:id="200"/>
      </w:r>
      <w:r>
        <w:t>. Les fournisseurs et les talents, enfin : les acheteurs du groupe acquéreur préfèrent les fournisseurs qu’ils connaissent, et les meilleurs ingénieurs s’expatrient vers le siège avec un savoir-faire que l’écosystème français a mis des années à former.</w:t>
      </w:r>
    </w:p>
    <w:p w14:paraId="457E63E4" w14:textId="77777777" w:rsidR="00BF0342" w:rsidRDefault="00000000">
      <w:pPr>
        <w:pStyle w:val="BodyText"/>
      </w:pPr>
      <w:r>
        <w:t xml:space="preserve">Tout cela mis bout à bout, ce ne sont pas seulement des « actifs » qui changent de main. C’est une partie du tissu économique national qui se rétracte, opération après opération. On peut mesurer la valeur cash d’une transaction. On ne mesure jamais ce qui part avec : les sièges, les recherches, les brevets, les fournisseurs, les impôts, les talents. C’est exactement ce que les Britanniques appellent le </w:t>
      </w:r>
      <w:r>
        <w:rPr>
          <w:i/>
          <w:iCs/>
        </w:rPr>
        <w:t>hollowing out</w:t>
      </w:r>
      <w:r>
        <w:t xml:space="preserve"> - le creusement de l’intérieur. La coque reste, l’intérieur s’évide. Garder l’enseigne ne suffit pas à garder l’économie.</w:t>
      </w:r>
    </w:p>
    <w:p w14:paraId="1CCAF706" w14:textId="77777777" w:rsidR="00BF0342" w:rsidRDefault="00000000">
      <w:pPr>
        <w:pStyle w:val="BodyText"/>
      </w:pPr>
      <w:r>
        <w:t>36 milliards de dividendes vers l’étranger</w:t>
      </w:r>
    </w:p>
    <w:p w14:paraId="317368D0" w14:textId="77777777" w:rsidR="00BF0342" w:rsidRDefault="00000000">
      <w:pPr>
        <w:pStyle w:val="BodyText"/>
      </w:pPr>
      <w:r>
        <w:t xml:space="preserve">On peut, pour finir de mesurer le hold-up, sortir de la transmission d’ETI et regarder les grands. Le CAC 40 a versé en 2024 un montant record de </w:t>
      </w:r>
      <w:r>
        <w:rPr>
          <w:b/>
          <w:bCs/>
        </w:rPr>
        <w:t>72,8 milliards d’euros de dividendes</w:t>
      </w:r>
      <w:r>
        <w:t>, en hausse de 8,5 %. Si l’on ajoute les rachats d’actions, le retour total à l’actionnaire atteint 98,2 milliards</w:t>
      </w:r>
      <w:r>
        <w:rPr>
          <w:rStyle w:val="FootnoteReference"/>
        </w:rPr>
        <w:footnoteReference w:id="201"/>
      </w:r>
      <w:r>
        <w:t>. En retour total - dividendes et rachats cumulés -, TotalEnergies arrive en tête avec 14,5 milliards, devant LVMH (6,8) et Stellantis (6,7). Ces chiffres sont des montants effectivement décaissés, ligne après ligne.</w:t>
      </w:r>
    </w:p>
    <w:p w14:paraId="3388BFEA" w14:textId="77777777" w:rsidR="00BF0342" w:rsidRDefault="00000000">
      <w:pPr>
        <w:pStyle w:val="BodyText"/>
      </w:pPr>
      <w:r>
        <w:lastRenderedPageBreak/>
        <w:t xml:space="preserve">Or, à fin 2024, </w:t>
      </w:r>
      <w:r>
        <w:rPr>
          <w:b/>
          <w:bCs/>
        </w:rPr>
        <w:t>50 % du capital des trente-cinq plus grandes sociétés du CAC 40 sont détenus par des investisseurs non-résidents</w:t>
      </w:r>
      <w:r>
        <w:rPr>
          <w:rStyle w:val="FootnoteReference"/>
        </w:rPr>
        <w:footnoteReference w:id="202"/>
      </w:r>
      <w:r>
        <w:t>. La capitalisation totale concernée s’élève à 2 165 milliards d’euros ; 1 083 milliards sont donc détenus depuis l’étranger. Dix-neuf de ces trente-cinq sociétés sont contrôlées à plus de 50 % par des non-résidents.</w:t>
      </w:r>
    </w:p>
    <w:p w14:paraId="2037515F" w14:textId="77777777" w:rsidR="00BF0342" w:rsidRDefault="00000000">
      <w:pPr>
        <w:pStyle w:val="BodyText"/>
      </w:pPr>
      <w:r>
        <w:t xml:space="preserve">L’arithmétique est cruelle. 50 % × 72,8 Md€ = </w:t>
      </w:r>
      <w:r>
        <w:rPr>
          <w:b/>
          <w:bCs/>
        </w:rPr>
        <w:t>36,4 milliards d’euros</w:t>
      </w:r>
      <w:r>
        <w:t xml:space="preserve"> de dividendes qui ont quitté la France en 2024. Plus de la moitié du budget annuel du ministère de l’Éducation nationale</w:t>
      </w:r>
      <w:r>
        <w:rPr>
          <w:rStyle w:val="FootnoteReference"/>
        </w:rPr>
        <w:footnoteReference w:id="203"/>
      </w:r>
      <w:r>
        <w:t>. Par habitant, 535 euros qui partent chaque année à l’étranger.</w:t>
      </w:r>
    </w:p>
    <w:p w14:paraId="0539696E" w14:textId="77777777" w:rsidR="00BF0342" w:rsidRDefault="00000000">
      <w:pPr>
        <w:pStyle w:val="BodyText"/>
      </w:pPr>
      <w:r>
        <w:t>D’où viennent ces non-résidents ? 92 % investissent en portefeuille (fonds, ETF, gestion passive). Par zone : 40 % zone euro, 34 % États-Unis, 26 % reste du monde</w:t>
      </w:r>
      <w:r>
        <w:rPr>
          <w:rStyle w:val="FootnoteReference"/>
        </w:rPr>
        <w:footnoteReference w:id="204"/>
      </w:r>
      <w:r>
        <w:t>. Les noms reviennent : BlackRock pesait environ 2,1 % de l’indice CAC 40 en 2020, Vanguard 2,0 %, State Street autour de 1,5 %</w:t>
      </w:r>
      <w:r>
        <w:rPr>
          <w:rStyle w:val="FootnoteReference"/>
        </w:rPr>
        <w:footnoteReference w:id="205"/>
      </w:r>
      <w:r>
        <w:t>. Ce ne sont pas des « ennemis » de la France. Ce sont des gestionnaires d’actifs qui servent leurs clients, eux-mêmes très majoritairement des fonds de pension américains, britanniques, canadiens, néerlandais. Le Doliprane vendu en France par Sanofi finit, par circuits intermédiaires, à payer la pension d’un instituteur de Caroline du Nord ou d’un fonctionnaire municipal d’Ontario. Chaîne mécanique, parfaitement légale.</w:t>
      </w:r>
    </w:p>
    <w:p w14:paraId="068E521E" w14:textId="77777777" w:rsidR="00BF0342" w:rsidRDefault="00000000">
      <w:pPr>
        <w:pStyle w:val="BodyText"/>
      </w:pPr>
      <w:r>
        <w:t>Le problème n’est pas qu’elle existe. Le problème est qu’elle n’a pas son symétrique français. Le FRR gère 21 milliards. L’ERAFP 48. Le PER tous types confondus 119. Aucun de ces véhicules ne joue le rôle qu’un ABP, un CPPIB, un AustralianSuper joue dans son économie. Structurellement, la France n’a pas de levier pour reprendre une partie de son propre capital.</w:t>
      </w:r>
    </w:p>
    <w:p w14:paraId="1CF1025F" w14:textId="77777777" w:rsidR="00BF0342" w:rsidRDefault="00000000">
      <w:pPr>
        <w:pStyle w:val="BlockText"/>
      </w:pPr>
      <w:r>
        <w:rPr>
          <w:b/>
          <w:bCs/>
        </w:rPr>
        <w:t>Calcul Où Va l’Argent.</w:t>
      </w:r>
      <w:r>
        <w:t xml:space="preserve"> La fuite cumulée sur dix ans.</w:t>
      </w:r>
    </w:p>
    <w:p w14:paraId="64F4B633" w14:textId="77777777" w:rsidR="00BF0342" w:rsidRDefault="00000000">
      <w:pPr>
        <w:pStyle w:val="BlockText"/>
      </w:pPr>
      <w:r>
        <w:t>En 2024 : 36,4 Md€ partis à l’étranger.</w:t>
      </w:r>
      <w:r>
        <w:br/>
        <w:t xml:space="preserve">En appliquant la croissance moyenne des dividendes du CAC 40 (environ 6 % nominal annualisé sur la décennie écoulée) et en faisant l’hypothèse d’une détention non-résidente stable à 50 %, le flux annuel atteindrait, en 2034, autour de </w:t>
      </w:r>
      <w:r>
        <w:rPr>
          <w:b/>
          <w:bCs/>
        </w:rPr>
        <w:t>65 Md€</w:t>
      </w:r>
      <w:r>
        <w:t>.</w:t>
      </w:r>
    </w:p>
    <w:p w14:paraId="1AFEAB81" w14:textId="77777777" w:rsidR="00BF0342" w:rsidRDefault="00000000">
      <w:pPr>
        <w:pStyle w:val="BlockText"/>
      </w:pPr>
      <w:r>
        <w:lastRenderedPageBreak/>
        <w:t xml:space="preserve">Sur la décennie 2024-2034, le total cumulé des dividendes partis à l’étranger devrait dépasser </w:t>
      </w:r>
      <w:r>
        <w:rPr>
          <w:b/>
          <w:bCs/>
        </w:rPr>
        <w:t>500 milliards d’euros</w:t>
      </w:r>
      <w:r>
        <w:rPr>
          <w:rStyle w:val="FootnoteReference"/>
        </w:rPr>
        <w:footnoteReference w:id="206"/>
      </w:r>
      <w:r>
        <w:t>.</w:t>
      </w:r>
    </w:p>
    <w:p w14:paraId="370639B3" w14:textId="77777777" w:rsidR="00BF0342" w:rsidRDefault="00000000">
      <w:pPr>
        <w:pStyle w:val="FirstParagraph"/>
      </w:pPr>
      <w:r>
        <w:t>Cette fuite n’est pas le résultat d’une malveillance étrangère, ni d’un manque de patriotisme français, ni d’une « invasion ». Elle est le résultat mécanique d’un vide. Les fonds de pension étrangers viennent investir dans le CAC 40 parce qu’ils ont besoin d’allouer des sommes colossales sur des marchés profonds, et que la France offre, par sa taille et la qualité de ses entreprises, un terrain attractif. Si les Français avaient leurs propres fonds de pension, ils investiraient eux aussi - en partie, comme les Norvégiens, les Néerlandais et les Canadiens - dans leurs propres entreprises nationales. Les non-résidents continueraient à investir, mais leur part relative serait plus faible, et le flux de dividendes vers l’étranger le serait dans la même proportion.</w:t>
      </w:r>
    </w:p>
    <w:p w14:paraId="04E04699" w14:textId="77777777" w:rsidR="00BF0342" w:rsidRDefault="00000000">
      <w:pPr>
        <w:pStyle w:val="Heading2"/>
      </w:pPr>
      <w:bookmarkStart w:id="70" w:name="si-la-france-avait-des-fonds-de-pension"/>
      <w:bookmarkStart w:id="71" w:name="_Toc233036201"/>
      <w:bookmarkEnd w:id="64"/>
      <w:bookmarkEnd w:id="68"/>
      <w:r>
        <w:t>Si la France avait des fonds de pension</w:t>
      </w:r>
      <w:bookmarkEnd w:id="71"/>
    </w:p>
    <w:p w14:paraId="2B010266" w14:textId="77777777" w:rsidR="00BF0342" w:rsidRDefault="00000000">
      <w:pPr>
        <w:pStyle w:val="FirstParagraph"/>
      </w:pPr>
      <w:r>
        <w:t>Imaginons, pour finir, ce qui se passerait si la France avait des fonds de pension de taille comparable à ceux de ses voisins. Pas une utopie ; un calcul.</w:t>
      </w:r>
    </w:p>
    <w:p w14:paraId="60C5B9FA" w14:textId="77777777" w:rsidR="00BF0342" w:rsidRDefault="00000000">
      <w:pPr>
        <w:pStyle w:val="BodyText"/>
      </w:pPr>
      <w:r>
        <w:t xml:space="preserve">D’où viendraient ces 1 500 milliards ? Ils ne tomberaient pas du ciel. Ils viendraient des cotisations retraite des Français eux-mêmes. Chaque mois, une part du salaire - quelques points du brut, comme en Suède (2,5 % sur la </w:t>
      </w:r>
      <w:r>
        <w:rPr>
          <w:i/>
          <w:iCs/>
        </w:rPr>
        <w:t>Premiepension</w:t>
      </w:r>
      <w:r>
        <w:t xml:space="preserve">) ou en Australie (12 % sur la </w:t>
      </w:r>
      <w:r>
        <w:rPr>
          <w:i/>
          <w:iCs/>
        </w:rPr>
        <w:t>Superannuation Guarantee</w:t>
      </w:r>
      <w:r>
        <w:t xml:space="preserve">) - ne partirait plus immédiatement vers un retraité actuel, mais s’accumulerait dans un fonds, qui l’investirait dans un portefeuille diversifié. Et parce qu’un fonds de pension français ferait, comme tous ses homologues, du </w:t>
      </w:r>
      <w:r>
        <w:rPr>
          <w:i/>
          <w:iCs/>
        </w:rPr>
        <w:t>home bias</w:t>
      </w:r>
      <w:r>
        <w:t xml:space="preserve">, vingt à trente pour cent de ses actifs reviendraient sur le marché français. Le salarié cotise une fois, et son argent fait </w:t>
      </w:r>
      <w:r>
        <w:rPr>
          <w:b/>
          <w:bCs/>
        </w:rPr>
        <w:t>deux choses à la fois</w:t>
      </w:r>
      <w:r>
        <w:t xml:space="preserve"> : il prépare sa retraite, et il devient - pour la première fois - actionnaire des entreprises de son pays.</w:t>
      </w:r>
    </w:p>
    <w:p w14:paraId="1C7C8B22" w14:textId="77777777" w:rsidR="00BF0342" w:rsidRDefault="00000000">
      <w:pPr>
        <w:pStyle w:val="BodyText"/>
      </w:pPr>
      <w:r>
        <w:t>Deux faits d’honnêteté intellectuelle s’imposent. Le premier : un fonds de pension français n’investirait pas cent pour cent en France. Aucun fonds de pension dans le monde ne le fait. Le GPFG norvégien plafonne réglementairement la part de son portefeuille équité en actions norvégiennes. L’ABP néerlandais alloue son portefeuille à l’échelle européenne et mondiale. CPPIB et CDPQ, malgré une cotisation entièrement nationale, plafonnent autour d’un quart leur exposition canadienne ou québécoise. Les grands fonds publics étrangers allouent entre dix et vingt-cinq pour cent de leurs actifs à leur économie domestique</w:t>
      </w:r>
      <w:r>
        <w:rPr>
          <w:rStyle w:val="FootnoteReference"/>
        </w:rPr>
        <w:footnoteReference w:id="207"/>
      </w:r>
      <w:r>
        <w:t xml:space="preserve">. Un fonds de pension français suivrait la même logique : vingt à trente pour </w:t>
      </w:r>
      <w:r>
        <w:lastRenderedPageBreak/>
        <w:t>cent dirigés vers la France et la zone euro, le reste diversifié à l’international. Croire qu’il en irait autrement, ce serait promettre un protectionnisme financier que les règles de diversification prudentielle interdisent.</w:t>
      </w:r>
    </w:p>
    <w:p w14:paraId="70F24C9F" w14:textId="77777777" w:rsidR="00BF0342" w:rsidRDefault="00000000">
      <w:pPr>
        <w:pStyle w:val="BodyText"/>
      </w:pPr>
      <w:r>
        <w:t>Le second : pour que ces vingt à trente pour cent soient effectivement investis en France, encore faut-il que le capital français soit rentable. La capitalisation des retraites n’élimine pas la fuite des capitaux si l’environnement reste peu compétitif. Elle suppose une politique d’ensemble : compétitivité fiscale, stabilité réglementaire, profondeur du marché de capitaux, écosystème PME-ETI compétitif, investissement public en R&amp;D et infrastructures. La capitalisation n’est donc pas une condition suffisante. Elle est une condition nécessaire. Mais elle change le jeu, parce qu’elle crée la demande structurelle de long terme qui justifie ces politiques : aujourd’hui, le capital qui s’investit en France vient de l’étranger et peut repartir ; demain, une partie serait ancrée par contrat social aux pensions des Français eux-mêmes. Même à vingt-cinq pour cent d’allocation domestique, sur 1 500 milliards de stock cible, cela représenterait environ 375 milliards d’euros qui changeraient de mains - un volume supérieur à la totalité du capital-investissement français actuel.</w:t>
      </w:r>
    </w:p>
    <w:p w14:paraId="1A727596" w14:textId="77777777" w:rsidR="00BF0342" w:rsidRDefault="00000000">
      <w:pPr>
        <w:pStyle w:val="BodyText"/>
      </w:pPr>
      <w:r>
        <w:t xml:space="preserve">Pour atteindre 50 % du PIB en actifs de fonds de pension - soit trois à quatre fois moins, en proportion, que la Suisse (~165 %), le Canada (~158 %) ou les Pays-Bas (~150 %) -, la France aurait besoin d’environ </w:t>
      </w:r>
      <w:r>
        <w:rPr>
          <w:b/>
          <w:bCs/>
        </w:rPr>
        <w:t>1 500 milliards d’euros</w:t>
      </w:r>
      <w:r>
        <w:t xml:space="preserve"> sous gestion</w:t>
      </w:r>
      <w:r>
        <w:rPr>
          <w:rStyle w:val="FootnoteReference"/>
        </w:rPr>
        <w:footnoteReference w:id="208"/>
      </w:r>
      <w:r>
        <w:t>. C’est l’objectif théorique d’une transition étalée sur vingt-cinq à trente ans (modèle australien). Comparé aux 200 milliards actuels de tous les véhicules de capitalisation français additionnés, c’est un changement d’ordre de grandeur. Encore inférieur aux 1 675 milliards du seul fonds souverain norvégien.</w:t>
      </w:r>
    </w:p>
    <w:p w14:paraId="3415BEB4" w14:textId="77777777" w:rsidR="00BF0342" w:rsidRDefault="00000000">
      <w:pPr>
        <w:pStyle w:val="BodyText"/>
      </w:pPr>
      <w:r>
        <w:t xml:space="preserve">Allouons ces 1 500 milliards selon le profil d’un fonds de pension standard : 50 % en actions cotées internationales, dont une part « </w:t>
      </w:r>
      <w:r>
        <w:rPr>
          <w:i/>
          <w:iCs/>
        </w:rPr>
        <w:t>home bias</w:t>
      </w:r>
      <w:r>
        <w:t xml:space="preserve"> » de 30-40 % en France et en Europe, 25 % en obligations, 15 % en actifs alternatifs (capital-investissement, infrastructures, immobilier), 10 % en liquidités et autres. Cela donne :</w:t>
      </w:r>
    </w:p>
    <w:p w14:paraId="4141D69B" w14:textId="77777777" w:rsidR="00BF0342" w:rsidRDefault="00000000">
      <w:pPr>
        <w:pStyle w:val="Compact"/>
        <w:numPr>
          <w:ilvl w:val="0"/>
          <w:numId w:val="3"/>
        </w:numPr>
      </w:pPr>
      <w:r>
        <w:rPr>
          <w:b/>
          <w:bCs/>
        </w:rPr>
        <w:t>300 à 400 milliards d’euros</w:t>
      </w:r>
      <w:r>
        <w:t xml:space="preserve"> investis directement dans le CAC 40 et le SBF 120, soit 14 à 18 % du capital total des grandes capitalisations françaises. Cette substitution ferait passer la détention non-résidente de 50 % à environ 32-36 %.</w:t>
      </w:r>
    </w:p>
    <w:p w14:paraId="15D2E2A2" w14:textId="77777777" w:rsidR="00BF0342" w:rsidRDefault="00000000">
      <w:pPr>
        <w:pStyle w:val="Compact"/>
        <w:numPr>
          <w:ilvl w:val="0"/>
          <w:numId w:val="3"/>
        </w:numPr>
      </w:pPr>
      <w:r>
        <w:rPr>
          <w:b/>
          <w:bCs/>
        </w:rPr>
        <w:t>75 à 100 milliards d’euros</w:t>
      </w:r>
      <w:r>
        <w:t xml:space="preserve"> orientés vers le capital-investissement et les ETI françaises, soit trois à quatre années d’activité du capital-investissement français actuel concentrées sur le seul marché domestique.</w:t>
      </w:r>
    </w:p>
    <w:p w14:paraId="564D3106" w14:textId="77777777" w:rsidR="00BF0342" w:rsidRDefault="00000000">
      <w:pPr>
        <w:pStyle w:val="Compact"/>
        <w:numPr>
          <w:ilvl w:val="0"/>
          <w:numId w:val="3"/>
        </w:numPr>
      </w:pPr>
      <w:r>
        <w:rPr>
          <w:b/>
          <w:bCs/>
        </w:rPr>
        <w:t>50 à 75 milliards d’euros</w:t>
      </w:r>
      <w:r>
        <w:t xml:space="preserve"> dans les infrastructures domestiques (énergie, transport, logement social, transition climatique).</w:t>
      </w:r>
    </w:p>
    <w:p w14:paraId="6A5E9AA7" w14:textId="77777777" w:rsidR="00BF0342" w:rsidRDefault="00000000">
      <w:pPr>
        <w:pStyle w:val="FirstParagraph"/>
      </w:pPr>
      <w:r>
        <w:lastRenderedPageBreak/>
        <w:t xml:space="preserve">Sur le flux de dividendes : en captant 30 à 40 % de ce qui part aujourd’hui vers les non-résidents, </w:t>
      </w:r>
      <w:r>
        <w:rPr>
          <w:b/>
          <w:bCs/>
        </w:rPr>
        <w:t>11 à 15 milliards d’euros par an</w:t>
      </w:r>
      <w:r>
        <w:t xml:space="preserve"> seraient retenus en France au lieu de partir à l’étranger. Cumulé sur dix ans, de l’ordre de 200 milliards qui financeraient des retraites françaises au lieu de retraites étrangères</w:t>
      </w:r>
      <w:r>
        <w:rPr>
          <w:rStyle w:val="FootnoteReference"/>
        </w:rPr>
        <w:footnoteReference w:id="209"/>
      </w:r>
      <w:r>
        <w:t>. Sur les transmissions d’ETI : avec 100 milliards alloués au capital-investissement français, une capacité d’acquisition de 15 à 25 milliards par an, suffisante pour absorber 100 à 200 transmissions d’ETI par an à des prix capables de rivaliser avec les fonds étrangers - parce qu’on aurait, enfin, le même horizon de temps et le même coût implicite du capital qu’eux. Sur la décennie 2025-2035, 1 000 à 2 000 ETI françaises qui pourraient rester sous capital national.</w:t>
      </w:r>
    </w:p>
    <w:p w14:paraId="4A5FF2F3" w14:textId="77777777" w:rsidR="00BF0342" w:rsidRDefault="00000000">
      <w:pPr>
        <w:pStyle w:val="BodyText"/>
      </w:pPr>
      <w:r>
        <w:t>Trois cas étrangers illustrent ce que peut faire un fonds de pension quand il décide de jouer ce rôle.</w:t>
      </w:r>
    </w:p>
    <w:p w14:paraId="5DF83EE6" w14:textId="77777777" w:rsidR="00BF0342" w:rsidRDefault="00000000">
      <w:pPr>
        <w:pStyle w:val="BodyText"/>
      </w:pPr>
      <w:r>
        <w:rPr>
          <w:b/>
          <w:bCs/>
        </w:rPr>
        <w:t>CDPQ-Bombardier Transport (2015-2021).</w:t>
      </w:r>
      <w:r>
        <w:t xml:space="preserve"> En novembre 2015, la Caisse de dépôt et placement du Québec acquiert 30 % de la holding logée derrière Bombardier Transport pour 1,5 milliard de dollars américains</w:t>
      </w:r>
      <w:r>
        <w:rPr>
          <w:rStyle w:val="FootnoteReference"/>
        </w:rPr>
        <w:footnoteReference w:id="210"/>
      </w:r>
      <w:r>
        <w:t>. Objectif : sauver la division ferroviaire de Bombardier, alors en grande difficulté, et préserver les emplois québécois. Le partenariat dure cinq ans. Le 29 janvier 2021, l’ensemble est revendu à Alstom dans le cadre d’un mariage industriel européen. La CDPQ sort avec un rendement honorable, Bombardier sort de l’ornière, Alstom prend la première place mondiale du transport ferroviaire. L’opération n’aurait jamais pu se faire sans un fonds de pension public capable de prendre 30 % d’une division industrielle géante, à horizon long, sans pression de revente immédiate.</w:t>
      </w:r>
    </w:p>
    <w:p w14:paraId="1791E99B" w14:textId="77777777" w:rsidR="00BF0342" w:rsidRDefault="00000000">
      <w:pPr>
        <w:pStyle w:val="BodyText"/>
      </w:pPr>
      <w:r>
        <w:rPr>
          <w:b/>
          <w:bCs/>
        </w:rPr>
        <w:t>ABP-impact investments (2024).</w:t>
      </w:r>
      <w:r>
        <w:t xml:space="preserve"> En 2024, ABP annonce un plan d’investissements à impact de 30 milliards d’euros à horizon 2030</w:t>
      </w:r>
      <w:r>
        <w:rPr>
          <w:rStyle w:val="FootnoteReference"/>
        </w:rPr>
        <w:footnoteReference w:id="211"/>
      </w:r>
      <w:r>
        <w:t>. Une partie significative - estimée à 5 milliards dans les logements locatifs sociaux néerlandais, plusieurs milliards dans la transition énergétique domestique - est concentrée sur le territoire national. C’est exactement ce qu’un fonds de pension français pourrait faire pour notre propre transition énergétique : énergies renouvelables, réseaux de chaleur, rénovation thermique, en partenariat public-privé, rendement modéré mais stable sur trente ans. Aujourd’hui, ce sont les caisses néerlandaises, canadiennes et australiennes qui financent ces projets. Demain, des caisses françaises pourraient le faire à leur place.</w:t>
      </w:r>
    </w:p>
    <w:p w14:paraId="53BB8FF0" w14:textId="77777777" w:rsidR="00BF0342" w:rsidRDefault="00000000">
      <w:pPr>
        <w:pStyle w:val="BodyText"/>
      </w:pPr>
      <w:r>
        <w:rPr>
          <w:b/>
          <w:bCs/>
        </w:rPr>
        <w:t>USS-Heathrow (2013-2024).</w:t>
      </w:r>
      <w:r>
        <w:t xml:space="preserve"> En octobre 2013, l’</w:t>
      </w:r>
      <w:r>
        <w:rPr>
          <w:i/>
          <w:iCs/>
        </w:rPr>
        <w:t>Universities Superannuation Scheme</w:t>
      </w:r>
      <w:r>
        <w:t xml:space="preserve">, fonds de pension des universités britanniques, acquiert 8,65 % de la holding qui contrôle </w:t>
      </w:r>
      <w:r>
        <w:lastRenderedPageBreak/>
        <w:t>l’aéroport de Heathrow pour 392 millions de livres sterling</w:t>
      </w:r>
      <w:r>
        <w:rPr>
          <w:rStyle w:val="FootnoteReference"/>
        </w:rPr>
        <w:footnoteReference w:id="212"/>
      </w:r>
      <w:r>
        <w:t>. USS garde sa participation pendant onze ans, puis cède l’intégralité en décembre 2024. Pendant ces onze années, dividendes annuels stables indexés sur le trafic, participation aux décisions stratégiques de modernisation. L’archétype de l’investissement d’infrastructure long terme. Aucun fonds français de taille équivalente ne pourrait, aujourd’hui, prendre une telle position dans Aéroports de Paris ou Vinci Concessions.</w:t>
      </w:r>
    </w:p>
    <w:p w14:paraId="5D8DBF9B" w14:textId="77777777" w:rsidR="00BF0342" w:rsidRDefault="00000000">
      <w:pPr>
        <w:pStyle w:val="BodyText"/>
      </w:pPr>
      <w:r>
        <w:t>À chacun de ces trois exemples correspond, en France, une opération équivalente que nous aurions pu faire et que nous n’avons pas faite. Pour la simple raison que l’instrument n’existait pas. Imaginer la France équipée de cet instrument, c’est imaginer une France qui n’aurait plus à choisir entre subir les fonds étrangers ou bloquer leurs offres au prix d’une décote payée par le contribuable. Une France qui, comme le Canada, la Norvège, les Pays-Bas et l’Australie, disposerait d’un acteur capable d’arriver à la table d’une transmission avec un chèque comparable et une promesse de long terme aussi crédible.</w:t>
      </w:r>
    </w:p>
    <w:p w14:paraId="21FC79D9" w14:textId="77777777" w:rsidR="00BF0342" w:rsidRDefault="00000000">
      <w:pPr>
        <w:pStyle w:val="BodyText"/>
      </w:pPr>
      <w:r>
        <w:t>C’est cela, l’argument de la capitalisation au-delà de la retraite. Pas seulement un sujet de pensions plus hautes. Un sujet de capital national, de souveraineté économique, de qui décide quoi dans nos propres frontières. Les deux faces du sujet - financement des retraites et financement des entreprises - sont rigoureusement la même chose. La France a refusé, depuis 1945, de se doter du second pilier. Le résultat se voit maintenant, sur les sièges sociaux qui glissent et les dividendes qui partent. Continuer à refuser le second pilier, c’est accepter par défaut de subir la suite.</w:t>
      </w:r>
    </w:p>
    <w:p w14:paraId="6DDB39D1" w14:textId="77777777" w:rsidR="00BF0342" w:rsidRDefault="00000000">
      <w:pPr>
        <w:pStyle w:val="BodyText"/>
      </w:pPr>
      <w:r>
        <w:t xml:space="preserve">Pour rendre tout cela tangible, sortons un instant des chiffres et entrons dans un cas-type. Bernard, comme les autres personnages incarnés dans ce livre, est un </w:t>
      </w:r>
      <w:r>
        <w:rPr>
          <w:b/>
          <w:bCs/>
        </w:rPr>
        <w:t>personnage composite</w:t>
      </w:r>
      <w:r>
        <w:t xml:space="preserve"> - son histoire emprunte à plusieurs entretiens menés avec des dirigeants d’ETI en cours de transmission, et les ordres de grandeur financiers sont calés sur les données BPI France Le Lab et CRA</w:t>
      </w:r>
      <w:r>
        <w:rPr>
          <w:rStyle w:val="FootnoteReference"/>
        </w:rPr>
        <w:footnoteReference w:id="213"/>
      </w:r>
      <w:r>
        <w:t>.</w:t>
      </w:r>
    </w:p>
    <w:p w14:paraId="0E460BC7" w14:textId="77777777" w:rsidR="00BF0342" w:rsidRDefault="00000000">
      <w:pPr>
        <w:pStyle w:val="BodyText"/>
      </w:pPr>
      <w:r>
        <w:t>Bernard, 58 ans, dirige depuis vingt-deux ans une ETI familiale dans la mécanique de précision, en Maine-et-Loire. Son grand-père a fondé l’entreprise en 1948, son père l’a développée dans les années 1970, lui l’a internationalisée dans les années 2010. Aujourd’hui : 240 salariés, 52 millions d’euros de chiffre d’affaires, 6 millions d’EBITDA, des clients en Allemagne, en Espagne, aux États-Unis, au Japon. L’entreprise est saine, rentable, en croissance modérée. Elle livre des pièces critiques à des sous-traitants de l’aéronautique civile et du nucléaire.</w:t>
      </w:r>
    </w:p>
    <w:p w14:paraId="303E86B8" w14:textId="77777777" w:rsidR="00BF0342" w:rsidRDefault="00000000">
      <w:pPr>
        <w:pStyle w:val="BodyText"/>
      </w:pPr>
      <w:r>
        <w:t xml:space="preserve">Bernard veut transmettre dans les deux ans. Sa fille a fait Polytechnique puis HEC ; elle travaille dans le conseil à Paris et n’envisage pas, pour l’instant, de revenir reprendre </w:t>
      </w:r>
      <w:r>
        <w:lastRenderedPageBreak/>
        <w:t xml:space="preserve">l’entreprise familiale. Son fils est musicien, et n’a aucune intention de revenir non plus. Le management interne est compétent mais ne dispose pas des fonds propres pour racheter - un </w:t>
      </w:r>
      <w:r>
        <w:rPr>
          <w:i/>
          <w:iCs/>
        </w:rPr>
        <w:t>leveraged management buy-out</w:t>
      </w:r>
      <w:r>
        <w:t xml:space="preserve"> l’asphyxierait. Bernard n’a, à ce stade, ni repreneur familial ni repreneur salarié possible.</w:t>
      </w:r>
    </w:p>
    <w:p w14:paraId="69C307E0" w14:textId="77777777" w:rsidR="00BF0342" w:rsidRDefault="00000000">
      <w:pPr>
        <w:pStyle w:val="BodyText"/>
      </w:pPr>
      <w:r>
        <w:t xml:space="preserve">Trois pistes restent ouvertes. Bernard a une banque d’affaires régionale, qui lui fait depuis six mois un </w:t>
      </w:r>
      <w:r>
        <w:rPr>
          <w:i/>
          <w:iCs/>
        </w:rPr>
        <w:t>short-list</w:t>
      </w:r>
      <w:r>
        <w:t xml:space="preserve"> d’acquéreurs potentiels.</w:t>
      </w:r>
    </w:p>
    <w:p w14:paraId="7A11FDB4" w14:textId="77777777" w:rsidR="00BF0342" w:rsidRDefault="00000000">
      <w:pPr>
        <w:pStyle w:val="BodyText"/>
      </w:pPr>
      <w:r>
        <w:rPr>
          <w:b/>
          <w:bCs/>
        </w:rPr>
        <w:t>Première piste : un fonds d’investissement français de taille moyenne.</w:t>
      </w:r>
      <w:r>
        <w:t xml:space="preserve"> Bernard a rencontré deux acteurs. Tous deux proposent </w:t>
      </w:r>
      <w:r>
        <w:rPr>
          <w:b/>
          <w:bCs/>
        </w:rPr>
        <w:t>30 millions d’euros</w:t>
      </w:r>
      <w:r>
        <w:t>, soit cinq fois l’EBITDA. Conditions : LBO, levier important sur l’entreprise dès la première année, plan sur cinq ans, sortie envisagée à 7 ans. Bernard sait ce que cela veut dire : pression sur les coûts, départs négociés dans l’encadrement, peut-être fermeture d’un site régional. Le prix est jugé correct sans plus.</w:t>
      </w:r>
    </w:p>
    <w:p w14:paraId="1F3EE0B9" w14:textId="77777777" w:rsidR="00BF0342" w:rsidRDefault="00000000">
      <w:pPr>
        <w:pStyle w:val="BodyText"/>
      </w:pPr>
      <w:r>
        <w:rPr>
          <w:b/>
          <w:bCs/>
        </w:rPr>
        <w:t>Deuxième piste : un industriel américain, leader mondial de son segment.</w:t>
      </w:r>
      <w:r>
        <w:t xml:space="preserve"> Il propose </w:t>
      </w:r>
      <w:r>
        <w:rPr>
          <w:b/>
          <w:bCs/>
        </w:rPr>
        <w:t>42 millions d’euros</w:t>
      </w:r>
      <w:r>
        <w:t>, soit sept fois l’EBITDA - 40 % de plus que le fonds français. Conditions : siège opérationnel maintenu en France, équipe technique conservée, mais intégration à la division européenne de Stuttgart, et reporting direct au siège mondial dans l’Ohio. Bernard sait que dans les deux ans, le centre R&amp;D de Maine-et-Loire sera fusionné avec celui de Stuttgart, et que dans cinq ans, plus aucune décision stratégique ne sera prise en France. L’entreprise vivra. Elle ne sera plus française dans un sens fonctionnel.</w:t>
      </w:r>
    </w:p>
    <w:p w14:paraId="4A3FD620" w14:textId="77777777" w:rsidR="00BF0342" w:rsidRDefault="00000000">
      <w:pPr>
        <w:pStyle w:val="BodyText"/>
      </w:pPr>
      <w:r>
        <w:rPr>
          <w:b/>
          <w:bCs/>
        </w:rPr>
        <w:t>Troisième piste : un fonds de pension étranger, néerlandais ou canadien.</w:t>
      </w:r>
      <w:r>
        <w:t xml:space="preserve"> Prix proposé : </w:t>
      </w:r>
      <w:r>
        <w:rPr>
          <w:b/>
          <w:bCs/>
        </w:rPr>
        <w:t>45 millions d’euros</w:t>
      </w:r>
      <w:r>
        <w:t>, soit 7,5 fois l’EBITDA. Conditions : maintien du siège, du management, du tissu de sous-traitants, horizon de détention de 15 à 20 ans, projet de croissance externe via l’acquisition d’autres ETI de la région. Sur le papier, c’est exactement ce que Bernard voudrait. Le seul problème : c’est un fonds néerlandais. Au bout de quinze ans, quand le fonds devra céder, l’acquéreur naturel sera un autre fonds étranger ou un industriel non-français. La sortie nationale n’existe pas dans ce scénario.</w:t>
      </w:r>
    </w:p>
    <w:p w14:paraId="0E0656F4" w14:textId="77777777" w:rsidR="00BF0342" w:rsidRDefault="00000000">
      <w:pPr>
        <w:pStyle w:val="BodyText"/>
      </w:pPr>
      <w:r>
        <w:t>Dans les entretiens qui ont nourri ce cas-type, la même phrase revient, presque mot pour mot : « Si j’avais le choix d’un fonds français équivalent, qui me ferait la même offre que le néerlandais, je signerais demain. Mais il n’existe pas. Il faut que je choisisse entre vendre moins cher à un fonds français de PE, qui presse les coûts, ou vendre plus cher à un acteur étranger, qui à terme nous fait quitter le pays. Mon père m’avait dit, en me passant la main : tu transmettras à un Français. Je ne peux pas, parce que personne n’est en face. »</w:t>
      </w:r>
    </w:p>
    <w:p w14:paraId="24429380" w14:textId="77777777" w:rsidR="00BF0342" w:rsidRDefault="00000000">
      <w:pPr>
        <w:pStyle w:val="BodyText"/>
      </w:pPr>
      <w:r>
        <w:t>Ce n’est pas un cas isolé. C’est la conversation qui se tient, en ce moment même, dans plusieurs centaines de bureaux de dirigeants entre 55 et 65 ans, dans toute la France. Ce que Bernard cherche, c’est un acheteur français pour son entreprise. Ce qu’il ne trouve pas, c’est un fonds de pension français.</w:t>
      </w:r>
    </w:p>
    <w:p w14:paraId="29216C92" w14:textId="77777777" w:rsidR="00BF0342" w:rsidRDefault="00000000">
      <w:pPr>
        <w:pStyle w:val="BodyText"/>
      </w:pPr>
      <w:r>
        <w:t xml:space="preserve">C’est la définition même du hold-up silencieux. Pas d’attaque, pas de bataille. Une succession de transactions parfaitement légales, parfaitement rationnelles à l’échelle de chaque dirigeant, qui produit collectivement un résultat que personne, au fond, ne </w:t>
      </w:r>
      <w:r>
        <w:lastRenderedPageBreak/>
        <w:t>souhaite. Bernard ne souhaite pas que son entreprise quitte la France. Le fonds néerlandais ne souhaite pas le mal de la France. Le banquier d’affaires ne fait que son travail. Et pourtant, à l’arrivée, l’addition de toutes ces décisions individuelles, en l’absence d’un acteur français à la hauteur, conduit à l’effacement progressif d’un tissu économique national.</w:t>
      </w:r>
    </w:p>
    <w:p w14:paraId="024ED311" w14:textId="77777777" w:rsidR="00BF0342" w:rsidRDefault="00000000">
      <w:pPr>
        <w:pStyle w:val="BodyText"/>
      </w:pPr>
      <w:r>
        <w:t>Une décision politique, pas une fatalité</w:t>
      </w:r>
    </w:p>
    <w:p w14:paraId="2503E53B" w14:textId="77777777" w:rsidR="00BF0342" w:rsidRDefault="00000000">
      <w:pPr>
        <w:pStyle w:val="BodyText"/>
      </w:pPr>
      <w:r>
        <w:t>Reprenons. La France dispose, fin 2024, de plus de six mille milliards d’euros de patrimoine financier brut des ménages. Ce patrimoine est, dans sa très grande majorité, immobilisé dans des produits administrés à rendement nul ou faible. Conséquence directe : la Bourse de Paris s’atrophie, les ménages français détiennent par tête moins d’actions que leurs voisins, et le capital long terme nécessaire au financement des entreprises est sous-dimensionné.</w:t>
      </w:r>
    </w:p>
    <w:p w14:paraId="217DC8CD" w14:textId="77777777" w:rsidR="00BF0342" w:rsidRDefault="00000000">
      <w:pPr>
        <w:pStyle w:val="BodyText"/>
      </w:pPr>
      <w:r>
        <w:t>Dans le même temps, la France entre dans une fenêtre démographique de transmissions massives - 370 000 d’ici 2030, 240 000 sans repreneur identifié au rythme actuel, trois millions d’emplois concernés. Cette fenêtre coïncide avec un déséquilibre structurel : Ardian, premier gestionnaire français, est à peine 5 % de l’addition des six plus grands fonds de pension étrangers. Le coût implicite de son capital est presque deux fois supérieur. Le résultat se mesure : Lafarge, Alstom Énergie, Technip, Latécoère, Exxelia, Doliprane, et les autres. Avec l’entreprise partent les sièges, la R&amp;D, les brevets, les fournisseurs, les recettes fiscales et les talents. À cela s’ajoute la fuite des dividendes du CAC 40 : 36,4 milliards partis à l’étranger en 2024, plus de 500 milliards cumulés sur la décennie qui vient.</w:t>
      </w:r>
    </w:p>
    <w:p w14:paraId="718D2C13" w14:textId="77777777" w:rsidR="00BF0342" w:rsidRDefault="00000000">
      <w:pPr>
        <w:pStyle w:val="BodyText"/>
      </w:pPr>
      <w:r>
        <w:t>La France n’a pas un problème d’épargne. Elle a un problème d’architecture. La capitalisation, en France, ne tient pas la route comme sujet idéologique. Elle tient la route comme sujet de souveraineté. Le hold-up sur nos entreprises ne s’expliquera pas par un mauvais sort. Il s’expliquera par un choix - celui de n’avoir pas, depuis 1945, construit l’outil qui aurait permis de l’éviter. Cet outil porte un nom : des fonds de pension français. Pas une option parmi d’autres. Une nécessité.</w:t>
      </w:r>
    </w:p>
    <w:p w14:paraId="4FE0B94E" w14:textId="77777777" w:rsidR="00BF0342" w:rsidRDefault="00000000">
      <w:pPr>
        <w:pStyle w:val="BodyText"/>
      </w:pPr>
      <w:r>
        <w:t>Les trois chapitres qui précèdent forment alors une seule démonstration. Le premier a établi que la répartition pure ne tient plus - ni démographiquement, ni financièrement, ni générationnellement. Le deuxième a établi qu’un pilier capitalisé, même modeste, transformerait individuellement la pension des actifs nés après 1980. Le troisième vient d’établir que ce même pilier, agrégé, transformerait collectivement le sort des entreprises françaises. Trois problèmes, qu’on a appris à traiter séparément - les retraites au ministère du Travail, l’industrie à Bercy, la souveraineté à Matignon - et qui n’appellent qu’une seule réponse. Il n’y a pas un dossier des pensions et un dossier du capital national : il y a un dossier unique, et nous avons refusé pendant quatre-vingts ans de l’ouvrir.</w:t>
      </w:r>
    </w:p>
    <w:p w14:paraId="7B31CE75" w14:textId="77777777" w:rsidR="00BF0342" w:rsidRDefault="00000000">
      <w:pPr>
        <w:pStyle w:val="BodyText"/>
      </w:pPr>
      <w:r>
        <w:t xml:space="preserve">C’est exactement l’objet de la partie suivante : comprendre comment quatre pays comparables ont, chacun à sa manière, fait ce que nous n’avons pas fait. Et constater, en passant, à quel point la France n’est plus, sur ce sujet, dans la moyenne occidentale, mais </w:t>
      </w:r>
      <w:r>
        <w:lastRenderedPageBreak/>
        <w:t>en bout de classement. La suite est dans ce qu’ont fait les autres. Avant nous. Et qu’il nous faut maintenant regarder en face.</w:t>
      </w:r>
    </w:p>
    <w:p w14:paraId="40CA58A3" w14:textId="77777777" w:rsidR="00BF0342" w:rsidRDefault="00000000">
      <w:pPr>
        <w:pStyle w:val="Heading3"/>
      </w:pPr>
      <w:bookmarkStart w:id="72" w:name="X32db077dce8bd75b65dd3a4ef774cb57e64e13f"/>
      <w:bookmarkStart w:id="73" w:name="_Toc233036202"/>
      <w:r>
        <w:t>Alléger les dépenses publiques de retraite</w:t>
      </w:r>
      <w:bookmarkEnd w:id="73"/>
    </w:p>
    <w:p w14:paraId="2DB741E7" w14:textId="77777777" w:rsidR="00BF0342" w:rsidRDefault="00000000">
      <w:pPr>
        <w:pStyle w:val="FirstParagraph"/>
      </w:pPr>
      <w:r>
        <w:t>La France consacre aujourd’hui 13,8 % de son produit intérieur brut au financement des pensions</w:t>
      </w:r>
      <w:r>
        <w:rPr>
          <w:rStyle w:val="FootnoteReference"/>
        </w:rPr>
        <w:footnoteReference w:id="214"/>
      </w:r>
      <w:r>
        <w:t>. C’est l’un des taux les plus élevés de l’OCDE - derrière la Grèce et l’Italie (autour de 16 %), au coude-à-coude avec l’Autriche et le Portugal. La moyenne des pays développés est à 8,1 %. Les Pays-Bas, à 7,2 %. La Suède, à 7,2 % également. Le Danemark, à 8,2 %. Le Canada, à 4,7 %.</w:t>
      </w:r>
    </w:p>
    <w:p w14:paraId="6A6808D7" w14:textId="77777777" w:rsidR="00BF0342" w:rsidRDefault="00000000">
      <w:pPr>
        <w:pStyle w:val="BodyText"/>
      </w:pPr>
      <w:r>
        <w:t>Pourquoi cet écart ? Parce que dans les pays à pilier capitalisé, une partie significative des pensions est versée par les fonds de pension à partir du capital qu’ils ont accumulé. L’État, lui, ne paye plus que sa part : le socle public, la base universelle, le filet de sécurité. Le reste sort du capital privé fructifié pendant la vie active. À mesure que les générations capitalisées arrivent à la retraite, la charge publique se contracte mécaniquement.</w:t>
      </w:r>
    </w:p>
    <w:p w14:paraId="34281CB6" w14:textId="77777777" w:rsidR="00BF0342" w:rsidRDefault="00000000">
      <w:pPr>
        <w:pStyle w:val="BodyText"/>
      </w:pPr>
      <w:r>
        <w:t>L’ordre de grandeur, pour la France, est connu. Si une part — disons 30 % — des cotisations vieillesse devait à terme financer des pensions capitalisées plutôt que reverser instantanément aux retraités courants, l’État cesserait à terme de financer cette même part. Une dépense publique de retraite de 13,8 % du PIB, soit environ 405 milliards d’euros par an aujourd’hui, pourrait à régime stationnaire descendre vers 10 ou 11 %, soit une économie comprise entre 2 et 4 points de PIB, ou 60 à 110 milliards d’euros annuels</w:t>
      </w:r>
      <w:r>
        <w:rPr>
          <w:rStyle w:val="FootnoteReference"/>
        </w:rPr>
        <w:footnoteReference w:id="215"/>
      </w:r>
      <w:r>
        <w:t>. Cette économie ne disparaît pas : elle n’est plus financée par les actifs et par l’impôt. Elle est financée par le capital qui a produit du rendement pendant trente ou quarante ans.</w:t>
      </w:r>
    </w:p>
    <w:p w14:paraId="01E24E95" w14:textId="77777777" w:rsidR="00BF0342" w:rsidRDefault="00000000">
      <w:pPr>
        <w:pStyle w:val="BodyText"/>
      </w:pPr>
      <w:r>
        <w:t>C’est exactement ce qu’a fait la Suède en vingt-cinq ans. Sa dépense publique de retraite, après la réforme de 1998, est passée de 11 % à 7 % du PIB</w:t>
      </w:r>
      <w:r>
        <w:rPr>
          <w:rStyle w:val="FootnoteReference"/>
        </w:rPr>
        <w:footnoteReference w:id="216"/>
      </w:r>
      <w:r>
        <w:t>. Personne, en Suède, ne s’est appauvri. Personne n’a vu sa pension baisser. Le capital a simplement pris le relais d’une part de l’effort que l’État portait seul auparavant.</w:t>
      </w:r>
    </w:p>
    <w:p w14:paraId="61ED6326" w14:textId="77777777" w:rsidR="00BF0342" w:rsidRDefault="00000000">
      <w:pPr>
        <w:pStyle w:val="Heading4"/>
      </w:pPr>
      <w:bookmarkStart w:id="74" w:name="les-recettes-fiscales-augmentent"/>
      <w:r>
        <w:t>Les recettes fiscales augmentent</w:t>
      </w:r>
    </w:p>
    <w:p w14:paraId="6B018B69" w14:textId="77777777" w:rsidR="00BF0342" w:rsidRDefault="00000000">
      <w:pPr>
        <w:pStyle w:val="FirstParagraph"/>
      </w:pPr>
      <w:r>
        <w:t>Un troisième effet, plus discret mais décisif, prend forme à mesure que les fonds de pension grandissent. Le capital qu’ils accumulent ne dort pas. Il est investi dans l’économie réelle — entreprises cotées, capital-investissement, infrastructures, immobilier productif —, et c’est précisément cet investissement qui produit du rendement. Or l’investissement productif génère, pour les pouvoirs publics, des recettes fiscales.</w:t>
      </w:r>
    </w:p>
    <w:p w14:paraId="354E2D7C" w14:textId="77777777" w:rsidR="00BF0342" w:rsidRDefault="00000000">
      <w:pPr>
        <w:pStyle w:val="BodyText"/>
      </w:pPr>
      <w:r>
        <w:t xml:space="preserve">Trois canaux principaux nourrissent l’effet. </w:t>
      </w:r>
      <w:r>
        <w:rPr>
          <w:b/>
          <w:bCs/>
        </w:rPr>
        <w:t>L’impôt sur les sociétés</w:t>
      </w:r>
      <w:r>
        <w:t xml:space="preserve"> d’abord : les entreprises financées par les fonds de pension domestiques voient leurs marges et leur capacité d’investissement progresser, ce qui se traduit, à l’arrivée, par un impôt sur les </w:t>
      </w:r>
      <w:r>
        <w:lastRenderedPageBreak/>
        <w:t xml:space="preserve">bénéfices plus important. </w:t>
      </w:r>
      <w:r>
        <w:rPr>
          <w:b/>
          <w:bCs/>
        </w:rPr>
        <w:t>La TVA</w:t>
      </w:r>
      <w:r>
        <w:t xml:space="preserve"> ensuite : les retraités du pilier capitalisé touchent des pensions plus élevées et consomment davantage que leurs équivalents en répartition pure. </w:t>
      </w:r>
      <w:r>
        <w:rPr>
          <w:b/>
          <w:bCs/>
        </w:rPr>
        <w:t>L’impôt sur le revenu et les prélèvements sociaux sur les pensions</w:t>
      </w:r>
      <w:r>
        <w:t xml:space="preserve"> enfin : ces pensions plus élevées sont elles-mêmes fiscalisées, à des taux moyens d’imposition compris entre 20 et 30 % selon les configurations.</w:t>
      </w:r>
    </w:p>
    <w:p w14:paraId="1333CEEF" w14:textId="77777777" w:rsidR="00BF0342" w:rsidRDefault="00000000">
      <w:pPr>
        <w:pStyle w:val="BodyText"/>
      </w:pPr>
      <w:r>
        <w:t>Une modélisation menée en 2024 et 2025 par l’Institut pour l’Audace Politique chiffre l’effet cumulé. Sur les seules dix premières années de déploiement d’un pilier capitalisé de 30 % à hypothèses prudentes (rendement 5 % réel, multiplicateur d’investissement 0,35, fléchage productif 30 %, propension à consommer 75 %), le supplément de recettes fiscales pour l’État français atteindrait environ 175 milliards d’euros cumulés, soit dix-huit milliards par an en moyenne sur la période</w:t>
      </w:r>
      <w:r>
        <w:rPr>
          <w:rStyle w:val="FootnoteReference"/>
        </w:rPr>
        <w:footnoteReference w:id="217"/>
      </w:r>
      <w:r>
        <w:t>. Vu autrement : pour chaque euro placé en capitalisation, environ vingt centimes reviennent à l’État sous forme de recettes fiscales additionnelles, en l’espace d’une décennie. Cet effet ne s’éteint pas : il se renforce à mesure que les fonds atteignent leur taille de croisière, et il devient un produit permanent du budget public.</w:t>
      </w:r>
    </w:p>
    <w:p w14:paraId="459654FB" w14:textId="77777777" w:rsidR="00BF0342" w:rsidRDefault="00000000">
      <w:pPr>
        <w:pStyle w:val="Heading4"/>
      </w:pPr>
      <w:bookmarkStart w:id="75" w:name="le-pib-croît-léconomie-se-reconstitue"/>
      <w:bookmarkEnd w:id="74"/>
      <w:r>
        <w:t>Le PIB croît, l’économie se reconstitue</w:t>
      </w:r>
    </w:p>
    <w:p w14:paraId="3346F6D4" w14:textId="77777777" w:rsidR="00BF0342" w:rsidRDefault="00000000">
      <w:pPr>
        <w:pStyle w:val="FirstParagraph"/>
      </w:pPr>
      <w:r>
        <w:t>Le dernier effet est le plus large. Quand l’épargne nationale, au lieu de dormir dans des fonds en euros au rendement réel proche de zéro, est dirigée vers le capital productif — actions cotées, capital-risque, infrastructure, immobilier d’entreprise —, elle alimente directement la croissance. C’est ce que la Suède appelle, depuis trente ans, son « cercle vertueux du capital domestique ». C’est ce que les Pays-Bas, le Canada, l’Australie et le Royaume-Uni voient se produire chez eux depuis aussi longtemps.</w:t>
      </w:r>
    </w:p>
    <w:p w14:paraId="4477EE18" w14:textId="77777777" w:rsidR="00BF0342" w:rsidRDefault="00000000">
      <w:pPr>
        <w:pStyle w:val="BodyText"/>
      </w:pPr>
      <w:r>
        <w:t>La même modélisation IAP, sur les mêmes hypothèses prudentes, projette pour la France un impact cumulé sur le PIB de l’ordre de 700 milliards d’euros sur dix ans, ainsi que la création de plus de quatre cent soixante-dix mille emplois sur la période</w:t>
      </w:r>
      <w:r>
        <w:rPr>
          <w:rStyle w:val="FootnoteReference"/>
        </w:rPr>
        <w:footnoteReference w:id="218"/>
      </w:r>
      <w:r>
        <w:t>, principalement dans les entreprises financées par les fonds. Et la balance des paiements s’améliore : moins de dividendes français versés à des actionnaires étrangers, plus d’investissements français à l’étranger qui rapportent en retour.</w:t>
      </w:r>
    </w:p>
    <w:p w14:paraId="47F5E8B5" w14:textId="77777777" w:rsidR="00BF0342" w:rsidRDefault="00000000">
      <w:pPr>
        <w:pStyle w:val="BodyText"/>
      </w:pPr>
      <w:r>
        <w:t>[GRAPHIQUE — Impact cumulé annuel d’un pilier capitalisé de 30 % en France (modélisation IAP, hypothèses prudentes) : Investissement productif cumulé, Impact PIB cumulé, Recettes fiscales cumulées, Emplois créés. Échelle 10 ans]</w:t>
      </w:r>
    </w:p>
    <w:p w14:paraId="3FED475D" w14:textId="77777777" w:rsidR="00BF0342" w:rsidRDefault="00000000">
      <w:pPr>
        <w:pStyle w:val="Heading3"/>
      </w:pPr>
      <w:bookmarkStart w:id="76" w:name="le-cercle-vertueux-du-capital-domestique"/>
      <w:bookmarkStart w:id="77" w:name="_Toc233036203"/>
      <w:bookmarkEnd w:id="72"/>
      <w:bookmarkEnd w:id="75"/>
      <w:r>
        <w:t>Le cercle vertueux du capital domestique</w:t>
      </w:r>
      <w:bookmarkEnd w:id="77"/>
    </w:p>
    <w:p w14:paraId="0CD78BF0" w14:textId="77777777" w:rsidR="00BF0342" w:rsidRDefault="00000000">
      <w:pPr>
        <w:pStyle w:val="FirstParagraph"/>
      </w:pPr>
      <w:r>
        <w:t xml:space="preserve">On vient de regarder chaque effet séparément — dépenses publiques en baisse, recettes fiscales en hausse, PIB en croissance. Ces effets ne sont pas indépendants. Ils sont les manifestations successives d’une même mécanique. Cette mécanique a un nom dans la </w:t>
      </w:r>
      <w:r>
        <w:lastRenderedPageBreak/>
        <w:t>littérature économique : le cercle vertueux du capital domestique</w:t>
      </w:r>
      <w:r>
        <w:rPr>
          <w:rStyle w:val="FootnoteReference"/>
        </w:rPr>
        <w:footnoteReference w:id="219"/>
      </w:r>
      <w:r>
        <w:t>. Elle vaut la peine d’être nommée explicitement, parce que sa puissance ne vient pas de chacun de ses effets pris à part, mais de leur circularité.</w:t>
      </w:r>
    </w:p>
    <w:p w14:paraId="44201ECC" w14:textId="77777777" w:rsidR="00BF0342" w:rsidRDefault="00000000">
      <w:pPr>
        <w:pStyle w:val="BodyText"/>
      </w:pPr>
      <w:r>
        <w:t xml:space="preserve">La boucle se décompose en cinq temps. </w:t>
      </w:r>
      <w:r>
        <w:rPr>
          <w:b/>
          <w:bCs/>
        </w:rPr>
        <w:t>Premier temps</w:t>
      </w:r>
      <w:r>
        <w:t xml:space="preserve"> : les cotisations versées au fonds de pension sont investies dans le capital productif national — actions cotées sur la Bourse de Paris, capital-investissement dans des entreprises de croissance, immobilier d’entreprise, infrastructures stratégiques. </w:t>
      </w:r>
      <w:r>
        <w:rPr>
          <w:b/>
          <w:bCs/>
        </w:rPr>
        <w:t>Deuxième temps</w:t>
      </w:r>
      <w:r>
        <w:t xml:space="preserve"> : ce capital productif soutient la performance des entreprises qui en bénéficient. Mieux capitalisées, elles investissent davantage, embauchent plus, exportent plus, financent leur transition énergétique sans dépendre uniquement de la dette. </w:t>
      </w:r>
      <w:r>
        <w:rPr>
          <w:b/>
          <w:bCs/>
        </w:rPr>
        <w:t>Troisième temps</w:t>
      </w:r>
      <w:r>
        <w:t xml:space="preserve"> : cette croissance des entreprises se traduit en emplois nouveaux et en hausse de la masse salariale nationale. </w:t>
      </w:r>
      <w:r>
        <w:rPr>
          <w:b/>
          <w:bCs/>
        </w:rPr>
        <w:t>Quatrième temps</w:t>
      </w:r>
      <w:r>
        <w:t xml:space="preserve"> : la masse salariale en hausse signifie davantage de cotisations qui rentrent dans le fonds, et la valeur des actifs détenus par le fonds — actions cotées, parts d’entreprises non cotées, immeubles, infrastructures — progresse mécaniquement. </w:t>
      </w:r>
      <w:r>
        <w:rPr>
          <w:b/>
          <w:bCs/>
        </w:rPr>
        <w:t>Cinquième temps</w:t>
      </w:r>
      <w:r>
        <w:t xml:space="preserve"> : les fonds, plus gros et plus rentables, versent des pensions plus élevées à leurs affiliés, tout en réinvestissant plus de capital dans l’économie productive. On retourne au premier temps, mais à un niveau supérieur. La boucle recommence, à chaque tour un peu plus large.</w:t>
      </w:r>
    </w:p>
    <w:p w14:paraId="1F4A632F" w14:textId="77777777" w:rsidR="00BF0342" w:rsidRDefault="00000000">
      <w:pPr>
        <w:pStyle w:val="BodyText"/>
      </w:pPr>
      <w:r>
        <w:t xml:space="preserve">C’est exactement ce que l’on ne sait pas faire en répartition pure. La répartition pure est un </w:t>
      </w:r>
      <w:r>
        <w:rPr>
          <w:i/>
          <w:iCs/>
        </w:rPr>
        <w:t>flux fermé</w:t>
      </w:r>
      <w:r>
        <w:t xml:space="preserve"> : ce qui entre comme cotisation des actifs aujourd’hui sort comme pension pour les retraités le même mois. Rien ne s’accumule. Rien n’irrigue le capital national. Aucun rendement n’est généré, parce qu’aucun capital n’est constitué. Le système ne soutient pas la croissance — il en dépend, et la subit. La capitalisation, à l’inverse, est un </w:t>
      </w:r>
      <w:r>
        <w:rPr>
          <w:i/>
          <w:iCs/>
        </w:rPr>
        <w:t>flux ouvert et cumulatif</w:t>
      </w:r>
      <w:r>
        <w:t xml:space="preserve"> : chaque euro cotisé devient une part de capital qui travaille pendant trente ou quarante ans, et qui finance simultanément, par les rendements qu’il produit, la pension future de celui qui a cotisé et l’économie présente du pays qui l’accueille. C’est, en termes économiques, une </w:t>
      </w:r>
      <w:r>
        <w:rPr>
          <w:i/>
          <w:iCs/>
        </w:rPr>
        <w:t>intermédiation longue</w:t>
      </w:r>
      <w:r>
        <w:t xml:space="preserve"> de l’épargne nationale.</w:t>
      </w:r>
    </w:p>
    <w:p w14:paraId="03CBCB35" w14:textId="77777777" w:rsidR="00BF0342" w:rsidRDefault="00000000">
      <w:pPr>
        <w:pStyle w:val="BodyText"/>
      </w:pPr>
      <w:r>
        <w:t>L’observation des pays qui ont fait ce choix éclaire le mécanisme. En Suède, les fonds AP du premier pilier investissent entre 10 % et 20 % de leurs actifs dans des actions suédoises, et les fonds du deuxième pilier — AMF, Alecta — entre 20 % et 25 % de leurs portefeuilles en actions domestiques</w:t>
      </w:r>
      <w:r>
        <w:rPr>
          <w:rStyle w:val="FootnoteReference"/>
        </w:rPr>
        <w:footnoteReference w:id="220"/>
      </w:r>
      <w:r>
        <w:t xml:space="preserve">. Ces fonds ne sont pas spectateurs de l’économie suédoise : ils en sont des actionnaires structurels, présents dans les conseils d’administration des grandes entreprises cotées, capables de soutenir une introduction en Bourse comme un projet d’infrastructure. Au Pays-Bas, les fonds de pension - ABP et PFZW en tête - pèsent </w:t>
      </w:r>
      <w:r>
        <w:lastRenderedPageBreak/>
        <w:t>ensemble davantage que le produit intérieur brut du pays, et leur poids d’investisseurs longs a profondément restructuré la place financière d’Amsterdam et le tissu industriel de la Randstad</w:t>
      </w:r>
      <w:r>
        <w:rPr>
          <w:rStyle w:val="FootnoteReference"/>
        </w:rPr>
        <w:footnoteReference w:id="221"/>
      </w:r>
      <w:r>
        <w:t>. Au Canada, le Canada Pension Plan Investment Board est devenu un investisseur stratégique sur les infrastructures et l’immobilier commercial à l’échelle nord-américaine — au point que le pays finance ses propres ports, ses propres aéroports, ses propres réseaux d’énergie avec son propre capital de retraite. À chaque fois, le cercle s’est mis en marche parce qu’il existait, à l’origine, une masse de capital long suffisante pour amorcer la pompe.</w:t>
      </w:r>
    </w:p>
    <w:p w14:paraId="3C3F6E85" w14:textId="77777777" w:rsidR="00BF0342" w:rsidRDefault="00000000">
      <w:pPr>
        <w:pStyle w:val="BodyText"/>
      </w:pPr>
      <w:r>
        <w:t xml:space="preserve">C’est précisément cette amorce qui manque à la France. Le diagnostic des chapitres précédents tient en une phrase : la boucle ne démarre pas chez nous parce qu’il n’existe pas, en France, l’agrégat capable de la déclencher. Le patrimoine financier des ménages français dépasse six mille milliards d’euros. Mais il dort dans des supports administrés à faible rendement et à très faible exposition au capital national — fonds en euros de l’assurance-vie, livrets réglementés, dépôts à vue. Faute d’un véhicule qui canalise cette épargne vers le capital productif domestique, chacun des effets que l’on a documentés dans ce chapitre — baisse des dépenses publiques, hausse des recettes fiscales, croissance du PIB, emplois créés, capitaux disponibles pour les ETI — reste un </w:t>
      </w:r>
      <w:r>
        <w:rPr>
          <w:i/>
          <w:iCs/>
        </w:rPr>
        <w:t>contre-factuel</w:t>
      </w:r>
      <w:r>
        <w:t>. Ce n’est pas une perte mesurable au sens comptable. C’est une absence de gain mesurable au sens économique, qui s’accumule année après année. Soixante-dix ans cumulés d’amorce manquée font la France de 2026.</w:t>
      </w:r>
    </w:p>
    <w:p w14:paraId="687FBBFB" w14:textId="77777777" w:rsidR="00BF0342" w:rsidRDefault="00000000">
      <w:pPr>
        <w:pStyle w:val="BodyText"/>
      </w:pPr>
      <w:r>
        <w:t xml:space="preserve">Ce qu’il faut retenir de cette partie tient en une phrase. La capitalisation ne se résume pas à un mécanisme de retraite plus rentable. C’est une </w:t>
      </w:r>
      <w:r>
        <w:rPr>
          <w:i/>
          <w:iCs/>
        </w:rPr>
        <w:t>infrastructure économique</w:t>
      </w:r>
      <w:r>
        <w:t xml:space="preserve"> qui transforme l’épargne nationale en force productive, et qui retransforme cette force productive en pouvoir d’achat des retraités du futur. Sa puissance vient de sa circularité. Et c’est précisément cette circularité qu’on ne peut pas reproduire autrement.</w:t>
      </w:r>
    </w:p>
    <w:p w14:paraId="075B79F5" w14:textId="77777777" w:rsidR="00BF0342" w:rsidRDefault="00000000">
      <w:pPr>
        <w:pStyle w:val="Heading1"/>
      </w:pPr>
      <w:bookmarkStart w:id="78" w:name="X4cc2baa4d92a8e952ee8f8c7ac09781d0aa80ce"/>
      <w:bookmarkStart w:id="79" w:name="_Toc233036204"/>
      <w:bookmarkEnd w:id="56"/>
      <w:bookmarkEnd w:id="70"/>
      <w:bookmarkEnd w:id="76"/>
      <w:r>
        <w:t>Partie 4 — Comment on y arrive : ce que les autres pays nous apprennent</w:t>
      </w:r>
      <w:bookmarkEnd w:id="79"/>
    </w:p>
    <w:p w14:paraId="5B626373" w14:textId="77777777" w:rsidR="00BF0342" w:rsidRDefault="00000000">
      <w:pPr>
        <w:pStyle w:val="FirstParagraph"/>
      </w:pPr>
      <w:r>
        <w:t>Comment évacuer un débat sans même l’avoir commencé ? La France en a le secret. « </w:t>
      </w:r>
      <w:r>
        <w:rPr>
          <w:i/>
          <w:iCs/>
        </w:rPr>
        <w:t>Mais nous, on ne peut pas. Pas en France. Pas avec notre culture, pas avec nos syndicats. On ne peut pas réformer le pays. »</w:t>
      </w:r>
      <w:r>
        <w:t xml:space="preserve"> C’est l’argument culturel, et il est imparable car il est fumeux.</w:t>
      </w:r>
    </w:p>
    <w:p w14:paraId="688E1C80" w14:textId="77777777" w:rsidR="00BF0342" w:rsidRDefault="00000000">
      <w:pPr>
        <w:pStyle w:val="BodyText"/>
      </w:pPr>
      <w:r>
        <w:t>Pourtant, la France n’est pas une île. D’autres pays, confrontés aux mêmes défis, ont réussi. Et l’exception culturelle française ne peut pas servir de paravent à la lâcheté politique et à la paresse intellectuelle.</w:t>
      </w:r>
    </w:p>
    <w:p w14:paraId="2EE83FA8" w14:textId="77777777" w:rsidR="00BF0342" w:rsidRDefault="00000000">
      <w:pPr>
        <w:pStyle w:val="BodyText"/>
      </w:pPr>
      <w:r>
        <w:lastRenderedPageBreak/>
        <w:t>Allons voir comment les autres pays ont fait : les hommes, les contextes, les crises, les oppositions. Une réforme de retraite, est toujours le fruit d’une négociation politique, elle n’est jamais simple, ni en France, ni ailleurs.</w:t>
      </w:r>
    </w:p>
    <w:p w14:paraId="1EDECBC0" w14:textId="77777777" w:rsidR="00BF0342" w:rsidRDefault="00000000">
      <w:pPr>
        <w:pStyle w:val="BodyText"/>
      </w:pPr>
      <w:r>
        <w:t>Ce chapitre raconte quatre histoires. La Suède d’Ingvar Carlsson et de Carl Bildt, sortie d’une crise budgétaire qui a failli emporter le modèle nordique. L’Australie de Bob Hawke et Paul Keating, où la cotisation pension est née d’un compromis salaires-pouvoir d’achat négocié avec les syndicats. Singapour de Lee Kuan Yew, où la retraite a été pensée dès l’indépendance comme un capital de propriétaires plutôt que comme une promesse d’État. Et le Chili de Pinochet et des Chicago Boys, contre-exemple violent qui a fini par s’effondrer et qui nous enseigne de précieux écueils.</w:t>
      </w:r>
    </w:p>
    <w:p w14:paraId="643B55AC" w14:textId="77777777" w:rsidR="00BF0342" w:rsidRDefault="00000000">
      <w:pPr>
        <w:pStyle w:val="BodyText"/>
      </w:pPr>
      <w:r>
        <w:t>Trois pays sociaux-démocrates, libéraux ou autoritaires ; et un pays passé par la dictature militaire et le laboratoire néolibéral. Cette diversité de pays a été choisie à dessein : si l’argument culturel était fondé, ces quatre pays n’auraient pas pu adopter le même outil. On aurait pu ajouter à la Nouvelle-Zélande, la Suisse, les Pays-Bas, et bien d’autres encore.</w:t>
      </w:r>
    </w:p>
    <w:p w14:paraId="535287EB" w14:textId="77777777" w:rsidR="00BF0342" w:rsidRDefault="00000000">
      <w:pPr>
        <w:pStyle w:val="BodyText"/>
      </w:pPr>
      <w:r>
        <w:t xml:space="preserve">De ces approches différentes nous dessinerons aussi des invariants, et une boussole pour la France, qui fera l’objet du dernier chapitre. Et une question : qui chez nous portera l’équivalent de l’accord pluripartite de 1994 à Stockholm, du </w:t>
      </w:r>
      <w:r>
        <w:rPr>
          <w:i/>
          <w:iCs/>
        </w:rPr>
        <w:t>Prices and Incomes Accord</w:t>
      </w:r>
      <w:r>
        <w:t xml:space="preserve"> de 1985 à Canberra, du volontarisme singapourien ?</w:t>
      </w:r>
    </w:p>
    <w:p w14:paraId="20351372" w14:textId="77777777" w:rsidR="00BF0342" w:rsidRDefault="00000000">
      <w:pPr>
        <w:pStyle w:val="Heading2"/>
      </w:pPr>
      <w:bookmarkStart w:id="80" w:name="Xdf80c3a9178935c9136ffc82b0a43bee5c92038"/>
      <w:bookmarkStart w:id="81" w:name="_Toc233036205"/>
      <w:r>
        <w:t>Quatre trajectoires : Suède, Australie, Singapour, Chili</w:t>
      </w:r>
      <w:bookmarkEnd w:id="81"/>
    </w:p>
    <w:p w14:paraId="2F37C46C" w14:textId="77777777" w:rsidR="00BF0342" w:rsidRDefault="00000000">
      <w:pPr>
        <w:pStyle w:val="Heading3"/>
      </w:pPr>
      <w:bookmarkStart w:id="82" w:name="suède-la-preuve-par-neuf"/>
      <w:bookmarkStart w:id="83" w:name="_Toc233036206"/>
      <w:r>
        <w:t>Suède : la preuve par neuf</w:t>
      </w:r>
      <w:bookmarkEnd w:id="83"/>
    </w:p>
    <w:p w14:paraId="09772C11" w14:textId="77777777" w:rsidR="00BF0342" w:rsidRDefault="00000000">
      <w:pPr>
        <w:pStyle w:val="FirstParagraph"/>
      </w:pPr>
      <w:r>
        <w:t>En 1991, la Suède est au bord de la faillite. Le déficit public dépasse 12 % du PIB, la dette s’approche des 80 %. La couronne, arrimée à l’écu depuis 1991, subit de violentes attaques spéculatives : pour la défendre, la Banque centrale porte, le 16 septembre 1992, son taux directeur marginal à 500 % pendant quelques jours</w:t>
      </w:r>
      <w:r>
        <w:rPr>
          <w:rStyle w:val="FootnoteReference"/>
        </w:rPr>
        <w:footnoteReference w:id="222"/>
      </w:r>
      <w:r>
        <w:t xml:space="preserve"> - en vain. Le 19 novembre 1992, la Suède abandonne la parité fixe et laisse filer la couronne, qui se déprécie d’environ 25 %. Ingvar Carlsson, social-démocrate, vient de perdre les élections de septembre 1991 face à Carl Bildt, le conservateur. Le modèle nordique, que toute l’Europe admirait depuis trente ans, est fragilisé. Et le système de retraite par répartition issu de 1960, qui promettait à chaque Suédois deux tiers de son salaire jusqu’à la mort, ne tient plus la route démographique.</w:t>
      </w:r>
    </w:p>
    <w:p w14:paraId="3BE250EF" w14:textId="77777777" w:rsidR="00BF0342" w:rsidRDefault="00000000">
      <w:pPr>
        <w:pStyle w:val="BodyText"/>
      </w:pPr>
      <w:r>
        <w:t xml:space="preserve">La Suède fait alors un pacte avec elle-même. Carl Bildt et Ingvar Carlsson, frères ennemis politiques, conviennent qu’aucun des deux blocs ne réformera seul. Ils nomment un groupe de travail interpartis - la </w:t>
      </w:r>
      <w:r>
        <w:rPr>
          <w:i/>
          <w:iCs/>
        </w:rPr>
        <w:t>Pensionsarbetsgruppen</w:t>
      </w:r>
      <w:r>
        <w:t xml:space="preserve"> - qui réunit cinq des sept partis du </w:t>
      </w:r>
      <w:r>
        <w:lastRenderedPageBreak/>
        <w:t>Riksdag</w:t>
      </w:r>
      <w:r>
        <w:rPr>
          <w:rStyle w:val="FootnoteReference"/>
        </w:rPr>
        <w:footnoteReference w:id="223"/>
      </w:r>
      <w:r>
        <w:t xml:space="preserve">. À sa tête, </w:t>
      </w:r>
      <w:r>
        <w:rPr>
          <w:b/>
          <w:bCs/>
        </w:rPr>
        <w:t>Bo Könberg</w:t>
      </w:r>
      <w:r>
        <w:t xml:space="preserve">, ministre libéral de la Santé et de l’Assurance sociale, et </w:t>
      </w:r>
      <w:r>
        <w:rPr>
          <w:b/>
          <w:bCs/>
        </w:rPr>
        <w:t>Anna Hedborg</w:t>
      </w:r>
      <w:r>
        <w:t>, sociale-démocrate, futur ministre dans le gouvernement Carlsson revenu au pouvoir en 1994. Trois ans de négociations, des centaines de réunions techniques, un travail de fond piloté par un économiste de la caisse d’assurance sociale, Ole Settergren, et par le théoricien suédois du compte notionnel, Edward Palmer</w:t>
      </w:r>
      <w:r>
        <w:rPr>
          <w:rStyle w:val="FootnoteReference"/>
        </w:rPr>
        <w:footnoteReference w:id="224"/>
      </w:r>
      <w:r>
        <w:t>. En 1994, le Parlement vote les grands principes à plus de 85 % des suffrages. La loi définitive arrive en 1998, sous Göran Persson. Le système entre en vigueur le 1ᵉʳ janvier 1999, par cohortes</w:t>
      </w:r>
      <w:r>
        <w:rPr>
          <w:rStyle w:val="FootnoteReference"/>
        </w:rPr>
        <w:footnoteReference w:id="225"/>
      </w:r>
      <w:r>
        <w:t>.</w:t>
      </w:r>
    </w:p>
    <w:p w14:paraId="7447A29C" w14:textId="77777777" w:rsidR="00BF0342" w:rsidRDefault="00000000">
      <w:pPr>
        <w:pStyle w:val="BodyText"/>
      </w:pPr>
      <w:r>
        <w:t xml:space="preserve">Trois ans de négociations, dans un pays sorti d’une crise bancaire qui a englouti 4 % de son PIB, sous deux gouvernements successifs de couleurs opposées, avec un compromis final voté à 85% au Parlement. Voilà le premier enseignement suédois : </w:t>
      </w:r>
      <w:r>
        <w:rPr>
          <w:i/>
          <w:iCs/>
        </w:rPr>
        <w:t>un pays qui</w:t>
      </w:r>
      <w:r>
        <w:t xml:space="preserve"> </w:t>
      </w:r>
      <w:r>
        <w:rPr>
          <w:i/>
          <w:iCs/>
        </w:rPr>
        <w:t>pour</w:t>
      </w:r>
      <w:r>
        <w:t xml:space="preserve"> </w:t>
      </w:r>
      <w:r>
        <w:rPr>
          <w:i/>
          <w:iCs/>
        </w:rPr>
        <w:t>réformer</w:t>
      </w:r>
      <w:r>
        <w:t xml:space="preserve"> </w:t>
      </w:r>
      <w:r>
        <w:rPr>
          <w:i/>
          <w:iCs/>
        </w:rPr>
        <w:t>pour trente ans a</w:t>
      </w:r>
      <w:r>
        <w:t xml:space="preserve"> </w:t>
      </w:r>
      <w:r>
        <w:rPr>
          <w:i/>
          <w:iCs/>
        </w:rPr>
        <w:t>commencé</w:t>
      </w:r>
      <w:r>
        <w:t xml:space="preserve"> </w:t>
      </w:r>
      <w:r>
        <w:rPr>
          <w:i/>
          <w:iCs/>
        </w:rPr>
        <w:t>par négocier pendant cinq</w:t>
      </w:r>
      <w:r>
        <w:t>.</w:t>
      </w:r>
    </w:p>
    <w:p w14:paraId="7B3626F1" w14:textId="77777777" w:rsidR="00BF0342" w:rsidRDefault="00000000">
      <w:pPr>
        <w:pStyle w:val="BodyText"/>
      </w:pPr>
      <w:r>
        <w:t>L’architecture issue de 1998 tient sur trois étages. Le premier, l’</w:t>
      </w:r>
      <w:r>
        <w:rPr>
          <w:b/>
          <w:bCs/>
        </w:rPr>
        <w:t>inkomstpension</w:t>
      </w:r>
      <w:r>
        <w:t xml:space="preserve">, est un régime public en répartition, mais à </w:t>
      </w:r>
      <w:r>
        <w:rPr>
          <w:i/>
          <w:iCs/>
        </w:rPr>
        <w:t>comptes notionnels</w:t>
      </w:r>
      <w:r>
        <w:t>. Chaque cotisant accumule sur un compte virtuel ses 16 % de cotisations annuelles, revalorisés au taux de croissance des salaires. Au moment du départ, ces droits sont convertis en rente par un coefficient qui dépend de l’espérance de vie de sa génération</w:t>
      </w:r>
      <w:r>
        <w:rPr>
          <w:rStyle w:val="FootnoteReference"/>
        </w:rPr>
        <w:footnoteReference w:id="226"/>
      </w:r>
      <w:r>
        <w:t>. C’est une répartition qui s’auto-équilibre.</w:t>
      </w:r>
    </w:p>
    <w:p w14:paraId="6780D785" w14:textId="77777777" w:rsidR="00BF0342" w:rsidRDefault="00000000">
      <w:pPr>
        <w:pStyle w:val="BodyText"/>
      </w:pPr>
      <w:r>
        <w:t xml:space="preserve">Le deuxième étage, la </w:t>
      </w:r>
      <w:r>
        <w:rPr>
          <w:b/>
          <w:bCs/>
        </w:rPr>
        <w:t>premiepension</w:t>
      </w:r>
      <w:r>
        <w:t xml:space="preserve"> ou PPM, est pleinement capitalisé : 2,5 % du salaire de chaque actif versés sur un compte individuel placé en bourse.</w:t>
      </w:r>
    </w:p>
    <w:p w14:paraId="54D8FFC7" w14:textId="77777777" w:rsidR="00BF0342" w:rsidRDefault="00000000">
      <w:pPr>
        <w:pStyle w:val="BodyText"/>
      </w:pPr>
      <w:r>
        <w:t>Le troisième, les régimes professionnels obligatoires de fait - ITP pour les cadres, SAF-LO pour les ouvriers - apportent 4 à 5 points supplémentaires, négociés par convention collective</w:t>
      </w:r>
      <w:r>
        <w:rPr>
          <w:rStyle w:val="FootnoteReference"/>
        </w:rPr>
        <w:footnoteReference w:id="227"/>
      </w:r>
      <w:r>
        <w:t>. Total cotisations retraite : 22,5 à 23,5 % du salaire, contre 27,8 % en France</w:t>
      </w:r>
      <w:r>
        <w:rPr>
          <w:rStyle w:val="FootnoteReference"/>
        </w:rPr>
        <w:footnoteReference w:id="228"/>
      </w:r>
      <w:r>
        <w:t>. Cinq points de moins, pour à peu près le même taux de remplacement net.</w:t>
      </w:r>
    </w:p>
    <w:p w14:paraId="23D955CD" w14:textId="77777777" w:rsidR="00BF0342" w:rsidRDefault="00000000">
      <w:pPr>
        <w:pStyle w:val="BodyText"/>
      </w:pPr>
      <w:r>
        <w:lastRenderedPageBreak/>
        <w:t xml:space="preserve">Le quatrième pilier, à part, joue le rôle du filet. C’est la </w:t>
      </w:r>
      <w:r>
        <w:rPr>
          <w:b/>
          <w:bCs/>
        </w:rPr>
        <w:t>garantipension</w:t>
      </w:r>
      <w:r>
        <w:t>, prestation d’État ciblée sur les retraités à carrière trop courte pour avoir cumulé assez de droits, environ 1,2 million de personnes en 2024</w:t>
      </w:r>
      <w:r>
        <w:rPr>
          <w:rStyle w:val="FootnoteReference"/>
        </w:rPr>
        <w:footnoteReference w:id="229"/>
      </w:r>
      <w:r>
        <w:t>. Personne, en Suède, ne meurt sous le seuil de pauvreté à cause d’une carrière interrompue. C’est la condition politique sans laquelle le pacte de 1994 n’aurait pas tenu.</w:t>
      </w:r>
    </w:p>
    <w:p w14:paraId="63BD7183" w14:textId="77777777" w:rsidR="00BF0342" w:rsidRDefault="00000000">
      <w:pPr>
        <w:pStyle w:val="BodyText"/>
      </w:pPr>
      <w:r>
        <w:t xml:space="preserve">Et derrière l’inkomstpension, il y a les </w:t>
      </w:r>
      <w:r>
        <w:rPr>
          <w:b/>
          <w:bCs/>
        </w:rPr>
        <w:t>AP-fonds</w:t>
      </w:r>
      <w:r>
        <w:t xml:space="preserve"> - six fonds publics de réserve qui amortissent les cycles démographiques du régime notionnel. AP1, AP2, AP3, AP4 gèrent chacun autour de 500 milliards de couronnes en portefeuilles multi-actifs ; AP6 est spécialisé en capital-investissement ; AP7 est le fonds par défaut de la PPM</w:t>
      </w:r>
      <w:r>
        <w:rPr>
          <w:rStyle w:val="FootnoteReference"/>
        </w:rPr>
        <w:footnoteReference w:id="230"/>
      </w:r>
      <w:r>
        <w:t>.</w:t>
      </w:r>
    </w:p>
    <w:p w14:paraId="75B898D6" w14:textId="77777777" w:rsidR="00BF0342" w:rsidRDefault="00000000">
      <w:pPr>
        <w:pStyle w:val="BodyText"/>
      </w:pPr>
      <w:r>
        <w:t xml:space="preserve">À fin 2024, le total dépasse 2 000 milliards de couronnes, soit environ 185 milliards d’euros. Rendement moyen des AP1 à AP4 en 2024 : </w:t>
      </w:r>
      <w:r>
        <w:rPr>
          <w:b/>
          <w:bCs/>
        </w:rPr>
        <w:t>9,6 %</w:t>
      </w:r>
      <w:r>
        <w:t>, contribution au système : 182 milliards de couronnes sur l’année</w:t>
      </w:r>
      <w:r>
        <w:rPr>
          <w:rStyle w:val="FootnoteReference"/>
        </w:rPr>
        <w:footnoteReference w:id="231"/>
      </w:r>
      <w:r>
        <w:t>. Sur vingt ans, les AP-fonds ont délivré entre 5,3 et 7,2 % de rendement réel net selon les périodes. Et cet argent travaille, en bonne partie, dans des entreprises suédoises : ABB, Volvo, Ericsson, Atlas Copco, et plus récemment dans la galaxie technologique de Stockholm.</w:t>
      </w:r>
    </w:p>
    <w:p w14:paraId="45CC394F" w14:textId="77777777" w:rsidR="00BF0342" w:rsidRDefault="00000000">
      <w:pPr>
        <w:pStyle w:val="BodyText"/>
      </w:pPr>
      <w:r>
        <w:t xml:space="preserve">Le fonds par défaut, </w:t>
      </w:r>
      <w:r>
        <w:rPr>
          <w:b/>
          <w:bCs/>
        </w:rPr>
        <w:t>AP7 Såfa</w:t>
      </w:r>
      <w:r>
        <w:t>, mérite qu’on s’y arrête. C’est l’option qui s’applique automatiquement aux cotisants de la PPM qui n’ont pas choisi de portefeuille particulier - environ 40 % des actifs suédois aujourd’hui.</w:t>
      </w:r>
    </w:p>
    <w:p w14:paraId="46BF775F" w14:textId="77777777" w:rsidR="00BF0342" w:rsidRDefault="00000000">
      <w:pPr>
        <w:pStyle w:val="BodyText"/>
      </w:pPr>
      <w:r>
        <w:t xml:space="preserve">Frais annuels : 0,05 %, soit cinq euros par tranche de 10 000 €. Allocation par défaut : 100 % actions avant 55 ans, glissement progressif vers les obligations ensuite. Rendement annualisé de la poche actions depuis 2010 : autour de 14 % nominal, </w:t>
      </w:r>
      <w:r>
        <w:rPr>
          <w:b/>
          <w:bCs/>
        </w:rPr>
        <w:t>27,3 % en 2024</w:t>
      </w:r>
      <w:r>
        <w:t xml:space="preserve"> seul</w:t>
      </w:r>
      <w:r>
        <w:rPr>
          <w:rStyle w:val="FootnoteReference"/>
        </w:rPr>
        <w:footnoteReference w:id="232"/>
      </w:r>
      <w:r>
        <w:t>. Le Suédois moyen qui n’a jamais ouvert une enveloppe bancaire est aujourd’hui propriétaire indirect de Microsoft, Apple, ASML, LVMH et Nestlé, à un coût de gestion dix fois inférieur à celui d’une assurance-vie française. Personne, en Suède, n’a besoin de savoir investir. Le système investit pour eux.</w:t>
      </w:r>
    </w:p>
    <w:p w14:paraId="3A535207" w14:textId="77777777" w:rsidR="00BF0342" w:rsidRDefault="00000000">
      <w:pPr>
        <w:pStyle w:val="BodyText"/>
      </w:pPr>
      <w:r>
        <w:t>Vingt-six ans après 1999, où en est le pays ? La dépense publique de retraite suédoise tourne autour de 7,2 % du PIB, contre 13,9 % en France</w:t>
      </w:r>
      <w:r>
        <w:rPr>
          <w:rStyle w:val="FootnoteReference"/>
        </w:rPr>
        <w:footnoteReference w:id="233"/>
      </w:r>
      <w:r>
        <w:t xml:space="preserve">. La moitié, à peu près. Le taux de remplacement net pour une cohorte née en 2002, carrière complète, ressort à 65,3 % </w:t>
      </w:r>
      <w:r>
        <w:lastRenderedPageBreak/>
        <w:t>selon l’OCDE, contre 73,9 % en France</w:t>
      </w:r>
      <w:r>
        <w:rPr>
          <w:rStyle w:val="FootnoteReference"/>
        </w:rPr>
        <w:footnoteReference w:id="234"/>
      </w:r>
      <w:r>
        <w:t>. Une dizaine de points en dessous, mais avec quinze points de cotisations en moins et un âge effectif de départ plus élevé. Les fonds de pension suédois représentent autour de 110 % du PIB en 2024, contre 7 % en France</w:t>
      </w:r>
      <w:r>
        <w:rPr>
          <w:rStyle w:val="FootnoteReference"/>
        </w:rPr>
        <w:footnoteReference w:id="235"/>
      </w:r>
      <w:r>
        <w:t xml:space="preserve">. Et la place financière de Stockholm est devenue, par habitant, la deuxième économie de licornes au monde après la Silicon Valley : </w:t>
      </w:r>
      <w:r>
        <w:rPr>
          <w:b/>
          <w:bCs/>
        </w:rPr>
        <w:t>41 entreprises</w:t>
      </w:r>
      <w:r>
        <w:t xml:space="preserve"> valorisées à plus d’un milliard de dollars, dont Spotify, Klarna, Mojang, King, iZettle, Tink, et la défunte Northvolt</w:t>
      </w:r>
      <w:r>
        <w:rPr>
          <w:rStyle w:val="FootnoteReference"/>
        </w:rPr>
        <w:footnoteReference w:id="236"/>
      </w:r>
      <w:r>
        <w:t>. C’est ce que produit du capital national patient quand on le laisse irriguer ses propres champions.</w:t>
      </w:r>
    </w:p>
    <w:p w14:paraId="297E9A34" w14:textId="77777777" w:rsidR="00BF0342" w:rsidRDefault="00000000">
      <w:pPr>
        <w:pStyle w:val="BodyText"/>
      </w:pPr>
      <w:r>
        <w:t>Tout n’est pas idyllique. Le système suédois a ses limites, et ses architectes les reconnaissent. La PPM a perdu près de 40 % de sa valeur en 2008-2009, brutalement, sans coussin amortisseur : les cotisants alors proches de la retraite ont vu leur capital fondre, et il a fallu attendre 2010-2012 pour le récupérer. La leçon a été tirée - le glide path d’AP7 (le passage du 100% actions à un portefeuille diversifié) a été corrigé en 2015, en lissant la transition vers les obligations</w:t>
      </w:r>
      <w:r>
        <w:rPr>
          <w:rStyle w:val="FootnoteReference"/>
        </w:rPr>
        <w:footnoteReference w:id="237"/>
      </w:r>
      <w:r>
        <w:t>.</w:t>
      </w:r>
    </w:p>
    <w:p w14:paraId="78EE978D" w14:textId="77777777" w:rsidR="00BF0342" w:rsidRDefault="00000000">
      <w:pPr>
        <w:pStyle w:val="BodyText"/>
      </w:pPr>
      <w:r>
        <w:t xml:space="preserve">Le mécanisme d’équilibrage automatique de l’inkomstpension - la </w:t>
      </w:r>
      <w:r>
        <w:rPr>
          <w:i/>
          <w:iCs/>
        </w:rPr>
        <w:t>bromsen</w:t>
      </w:r>
      <w:r>
        <w:t>, le « frein » - s’est déclenché à trois reprises depuis 2010, réduisant ponctuellement les pensions versées de 1 à 3 %</w:t>
      </w:r>
      <w:r>
        <w:rPr>
          <w:rStyle w:val="FootnoteReference"/>
        </w:rPr>
        <w:footnoteReference w:id="238"/>
      </w:r>
      <w:r>
        <w:t>. C’est impopulaire ; c’est aussi le prix de la soutenabilité du système.</w:t>
      </w:r>
    </w:p>
    <w:p w14:paraId="7438F42E" w14:textId="77777777" w:rsidR="00BF0342" w:rsidRDefault="00000000">
      <w:pPr>
        <w:pStyle w:val="BodyText"/>
      </w:pPr>
      <w:r>
        <w:t xml:space="preserve">Northvolt, parti à l’assaut du marché des batteries en 2016 avec un capital où l’on retrouvait Daniel Ek, fondateur de Spotify, mais aussi les fonds de pension publics suédois AP1 à AP4 - via leur véhicule commun, à hauteur de 531 millions de dollars -, s’est effondré en mars 2025. Le fondateur et CEO, </w:t>
      </w:r>
      <w:r>
        <w:rPr>
          <w:b/>
          <w:bCs/>
        </w:rPr>
        <w:t>Peter Carlsson</w:t>
      </w:r>
      <w:r>
        <w:t>, a vu son entreprise déposer le bilan en novembre 2024 puis être liquidée trois mois plus tard</w:t>
      </w:r>
      <w:r>
        <w:rPr>
          <w:rStyle w:val="FootnoteReference"/>
        </w:rPr>
        <w:footnoteReference w:id="239"/>
      </w:r>
      <w:r>
        <w:t>. C’est un rappel utile : le capital patient n’élimine pas le risque industriel. Il l’amortit, il le diversifie, il l’absorbe, il ne le supprime pas.</w:t>
      </w:r>
    </w:p>
    <w:p w14:paraId="47FC8192" w14:textId="77777777" w:rsidR="00BF0342" w:rsidRDefault="00000000">
      <w:pPr>
        <w:pStyle w:val="BodyText"/>
      </w:pPr>
      <w:r>
        <w:lastRenderedPageBreak/>
        <w:t>Reste l’écart femmes-hommes, qui n’a pas disparu en Suède non plus : les femmes y perçoivent une pension inférieure d’environ un quart à celle des hommes - un écart comparable à celui de la France, de l’ordre de 28 % sur l’ensemble de la pension et près de 40 % sur les seuls droits directs</w:t>
      </w:r>
      <w:r>
        <w:rPr>
          <w:rStyle w:val="FootnoteReference"/>
        </w:rPr>
        <w:footnoteReference w:id="240"/>
      </w:r>
      <w:r>
        <w:t>. La capitalisation, ici, hérite des inégalités de carrière ; elle ne les crée pas mais elle ne les soigne pas. Pour les corriger, il faut des dispositifs collatéraux - bonifications parentales, points famille, plancher universel - exactement comme dans la répartition.</w:t>
      </w:r>
    </w:p>
    <w:p w14:paraId="3D03976E" w14:textId="77777777" w:rsidR="00BF0342" w:rsidRDefault="00000000">
      <w:pPr>
        <w:pStyle w:val="BodyText"/>
      </w:pPr>
      <w:r>
        <w:t>Ce que le cas suédois prouve, en définitive, n’est pas que la capitalisation résout tout. C’est qu’elle est compatible avec un État-providence dense, des syndicats puissants, une fiscalité élevée, une culture de l’égalité - bref, avec tout ce que la gauche française revendique.</w:t>
      </w:r>
    </w:p>
    <w:p w14:paraId="4DD52530" w14:textId="77777777" w:rsidR="00BF0342" w:rsidRDefault="00000000">
      <w:pPr>
        <w:pStyle w:val="BodyText"/>
      </w:pPr>
      <w:r>
        <w:t xml:space="preserve">Le Suédois moyen continue de payer 32 % d’impôt sur le revenu et de bénéficier d’un service public de premier rang. Et il dispose en plus, à 65 ans, d’un capital de retraite quatre à cinq fois supérieur à celui du Français moyen. La Suède n’a pas démantelé sa social-démocratie pour adopter la capitalisation. Elle l’a réinventée </w:t>
      </w:r>
      <w:r>
        <w:rPr>
          <w:i/>
          <w:iCs/>
        </w:rPr>
        <w:t>avec</w:t>
      </w:r>
      <w:r>
        <w:t xml:space="preserve"> la capitalisation. Autre leçon pour la France : </w:t>
      </w:r>
      <w:r>
        <w:rPr>
          <w:i/>
          <w:iCs/>
        </w:rPr>
        <w:t>pour que la réforme perdure elle doit</w:t>
      </w:r>
      <w:r>
        <w:t xml:space="preserve"> </w:t>
      </w:r>
      <w:r>
        <w:rPr>
          <w:i/>
          <w:iCs/>
        </w:rPr>
        <w:t>une assise politique large.</w:t>
      </w:r>
    </w:p>
    <w:p w14:paraId="05006E32" w14:textId="77777777" w:rsidR="00BF0342" w:rsidRDefault="00000000">
      <w:pPr>
        <w:pStyle w:val="Heading3"/>
      </w:pPr>
      <w:bookmarkStart w:id="84" w:name="australie-lauto-enrolment-patronal"/>
      <w:bookmarkStart w:id="85" w:name="_Toc233036207"/>
      <w:bookmarkEnd w:id="82"/>
      <w:r>
        <w:t>Australie : l’auto-enrolment patronal</w:t>
      </w:r>
      <w:bookmarkEnd w:id="85"/>
    </w:p>
    <w:p w14:paraId="7C9019C6" w14:textId="77777777" w:rsidR="00BF0342" w:rsidRDefault="00000000">
      <w:pPr>
        <w:pStyle w:val="FirstParagraph"/>
      </w:pPr>
      <w:r>
        <w:t xml:space="preserve">Sydney, octobre 1985. Dans une salle de la </w:t>
      </w:r>
      <w:r>
        <w:rPr>
          <w:i/>
          <w:iCs/>
        </w:rPr>
        <w:t>Australian Council of Trade Unions</w:t>
      </w:r>
      <w:r>
        <w:t xml:space="preserve"> - l’équivalent de la CFDT, en mille fois plus puissant -, </w:t>
      </w:r>
      <w:r>
        <w:rPr>
          <w:b/>
          <w:bCs/>
        </w:rPr>
        <w:t>Bill Kelty</w:t>
      </w:r>
      <w:r>
        <w:t xml:space="preserve">, secrétaire général depuis 1983, négocie depuis des mois. Face à lui, </w:t>
      </w:r>
      <w:r>
        <w:rPr>
          <w:b/>
          <w:bCs/>
        </w:rPr>
        <w:t>Paul Keating</w:t>
      </w:r>
      <w:r>
        <w:t xml:space="preserve">, trésorier du gouvernement travailliste de </w:t>
      </w:r>
      <w:r>
        <w:rPr>
          <w:b/>
          <w:bCs/>
        </w:rPr>
        <w:t>Bob Hawke</w:t>
      </w:r>
      <w:r>
        <w:rPr>
          <w:rStyle w:val="FootnoteReference"/>
        </w:rPr>
        <w:footnoteReference w:id="241"/>
      </w:r>
      <w:r>
        <w:t xml:space="preserve">. L’Australie est en crise. Inflation à deux chiffres, salaires indexés depuis vingt ans, productivité en panne, monnaie qui s’effondre. Hawke, ancien président de l’ACTU lui-même devenu Premier ministre en 1983, a engagé avec les syndicats un </w:t>
      </w:r>
      <w:r>
        <w:rPr>
          <w:i/>
          <w:iCs/>
        </w:rPr>
        <w:t>Prices and Incomes Accord</w:t>
      </w:r>
      <w:r>
        <w:t xml:space="preserve"> - un accord salaires-prix - pour casser l’inflation. Premier accord en 1983 ; second en 1985.</w:t>
      </w:r>
    </w:p>
    <w:p w14:paraId="3F39C82D" w14:textId="77777777" w:rsidR="00BF0342" w:rsidRDefault="00000000">
      <w:pPr>
        <w:pStyle w:val="BodyText"/>
      </w:pPr>
      <w:r>
        <w:t xml:space="preserve">L’accord de 1985, dit </w:t>
      </w:r>
      <w:r>
        <w:rPr>
          <w:i/>
          <w:iCs/>
        </w:rPr>
        <w:t>Mark II</w:t>
      </w:r>
      <w:r>
        <w:t xml:space="preserve">, contient une idée que personne, alors, ne mesure complètement. L’ACTU accepte que les salaires soient indexés à un taux inférieur de </w:t>
      </w:r>
      <w:r>
        <w:rPr>
          <w:b/>
          <w:bCs/>
        </w:rPr>
        <w:t>2 points à l’inflation</w:t>
      </w:r>
      <w:r>
        <w:t xml:space="preserve"> - un sacrifice considérable pour les ouvriers australiens. En contrepartie, les employeurs s’engagent à verser </w:t>
      </w:r>
      <w:r>
        <w:rPr>
          <w:b/>
          <w:bCs/>
        </w:rPr>
        <w:t>3 % de cotisation supplémentaire</w:t>
      </w:r>
      <w:r>
        <w:t xml:space="preserve"> sur un compte épargne retraite obligatoire pour chaque salarié. Kelty et Keating signent. Hawke ratifie. Personne, à ce moment-là, ne sait que cette cotisation va devenir la </w:t>
      </w:r>
      <w:r>
        <w:rPr>
          <w:i/>
          <w:iCs/>
        </w:rPr>
        <w:lastRenderedPageBreak/>
        <w:t>Superannuation Guarantee</w:t>
      </w:r>
      <w:r>
        <w:t xml:space="preserve"> et que, quarante ans plus tard, elle représentera l’une des plus grands sources de capital long du monde</w:t>
      </w:r>
      <w:r>
        <w:rPr>
          <w:rStyle w:val="FootnoteReference"/>
        </w:rPr>
        <w:footnoteReference w:id="242"/>
      </w:r>
      <w:r>
        <w:t>.</w:t>
      </w:r>
    </w:p>
    <w:p w14:paraId="26C13AF2" w14:textId="77777777" w:rsidR="00BF0342" w:rsidRDefault="00000000">
      <w:pPr>
        <w:pStyle w:val="BodyText"/>
      </w:pPr>
      <w:r>
        <w:t xml:space="preserve">L’idée derrière l’accord est d’un raffinement économique rare : la modération salariale, </w:t>
      </w:r>
      <w:r>
        <w:rPr>
          <w:i/>
          <w:iCs/>
        </w:rPr>
        <w:t>plutôt que de financer du pouvoir d’achat immédiat, finance du capital différé pour la retraite des mêmes ouvriers</w:t>
      </w:r>
      <w:r>
        <w:t>. Les syndicats acceptent parce que ce n’est pas un cadeau aux patrons : c’est un cadeau aux salariés sous forme de capital. Les patrons acceptent parce qu’au lieu de payer des salaires nominaux indexés, ils payent une cotisation prévisible, modeste au départ, qui s’inscrit dans le coût du travail. Et le gouvernement gagne sur les deux tableaux : l’inflation cède, et un pool d’épargne nationale est créé. C’est gagnant pour les trois. Et c’est pour cela que ça tient.</w:t>
      </w:r>
    </w:p>
    <w:p w14:paraId="5DFF0C29" w14:textId="77777777" w:rsidR="00BF0342" w:rsidRDefault="00000000">
      <w:pPr>
        <w:pStyle w:val="BodyText"/>
      </w:pPr>
      <w:r>
        <w:t xml:space="preserve">La phase suivante est plus technique. De 1987 à 1991, la cotisation à 3 % est étendue secteur par secteur via les </w:t>
      </w:r>
      <w:r>
        <w:rPr>
          <w:i/>
          <w:iCs/>
        </w:rPr>
        <w:t>awards</w:t>
      </w:r>
      <w:r>
        <w:t xml:space="preserve"> - les conventions collectives sectorielles australiennes. Mais l’extension reste partielle, certains secteurs restent à l’écart, et le mécanisme dépend de chaque renégociation. Le 20 décembre 1991, Keating remplace Hawke comme Premier ministre, après une querelle interne au parti travailliste. Quatre mois plus tard, le 2 avril 1992, son nouveau trésorier John Dawkins présente devant la Chambre des représentants le </w:t>
      </w:r>
      <w:r>
        <w:rPr>
          <w:i/>
          <w:iCs/>
        </w:rPr>
        <w:t>Superannuation Guarantee (Administration) Bill</w:t>
      </w:r>
      <w:r>
        <w:t xml:space="preserve">. La loi entre en vigueur le </w:t>
      </w:r>
      <w:r>
        <w:rPr>
          <w:b/>
          <w:bCs/>
        </w:rPr>
        <w:t>1ᵉʳ juillet 1992</w:t>
      </w:r>
      <w:r>
        <w:t>, taux initial 3 % de la rémunération brute</w:t>
      </w:r>
      <w:r>
        <w:rPr>
          <w:rStyle w:val="FootnoteReference"/>
        </w:rPr>
        <w:footnoteReference w:id="243"/>
      </w:r>
      <w:r>
        <w:t>. La cotisation n’est plus négociée : elle est légale, et elle s’applique à tous les employeurs du pays.</w:t>
      </w:r>
    </w:p>
    <w:p w14:paraId="1C826E38" w14:textId="77777777" w:rsidR="00BF0342" w:rsidRDefault="00000000">
      <w:pPr>
        <w:pStyle w:val="BodyText"/>
      </w:pPr>
      <w:r>
        <w:t xml:space="preserve">À partir de là, c’est une mécanique. Le taux monte par paliers programmés : 3 % en 1992, 6 % en 1996, 9 % en 2002. Stabilisation jusqu’en 2013. Le gouvernement conservateur de </w:t>
      </w:r>
      <w:r>
        <w:rPr>
          <w:b/>
          <w:bCs/>
        </w:rPr>
        <w:t>Tony Abbott</w:t>
      </w:r>
      <w:r>
        <w:t>, élu en 2013, gèle le taux à 9,5 % pendant sept ans - une pause significative, mais pas une remise en cause</w:t>
      </w:r>
      <w:r>
        <w:rPr>
          <w:rStyle w:val="FootnoteReference"/>
        </w:rPr>
        <w:footnoteReference w:id="244"/>
      </w:r>
      <w:r>
        <w:t xml:space="preserve">. La reprise commence en 2021 : 10 %, puis 10,5 %, 11 %, 11,5 %, et finalement </w:t>
      </w:r>
      <w:r>
        <w:rPr>
          <w:b/>
          <w:bCs/>
        </w:rPr>
        <w:t>12 % au 1ᵉʳ juillet 2025</w:t>
      </w:r>
      <w:r>
        <w:t>, taux désormais stabilisé</w:t>
      </w:r>
      <w:r>
        <w:rPr>
          <w:rStyle w:val="FootnoteReference"/>
        </w:rPr>
        <w:footnoteReference w:id="245"/>
      </w:r>
      <w:r>
        <w:t>. Trente-trois ans pour passer de 3 % à 12 %. Une génération entière.</w:t>
      </w:r>
    </w:p>
    <w:p w14:paraId="52CB0E58" w14:textId="77777777" w:rsidR="00BF0342" w:rsidRDefault="00000000">
      <w:pPr>
        <w:pStyle w:val="BodyText"/>
      </w:pPr>
      <w:r>
        <w:t xml:space="preserve">L’objet politique central, ici, c’est que </w:t>
      </w:r>
      <w:r>
        <w:rPr>
          <w:b/>
          <w:bCs/>
        </w:rPr>
        <w:t>la cotisation est patronale</w:t>
      </w:r>
      <w:r>
        <w:t xml:space="preserve">. Du début à la fin. L’employé australien ne voit pas son salaire net diminuer : c’est le coût du travail qui augmente, et c’est l’employeur qui verse. Aucun débat sur le « pouvoir d’achat », aucune protestation sur les fiches de paie, aucune levée syndicale. La cotisation, dans le récit politique australien, n’est pas une charge supplémentaire pesant sur les salariés. Elle est </w:t>
      </w:r>
      <w:r>
        <w:lastRenderedPageBreak/>
        <w:t xml:space="preserve">un </w:t>
      </w:r>
      <w:r>
        <w:rPr>
          <w:i/>
          <w:iCs/>
        </w:rPr>
        <w:t>salaire différé</w:t>
      </w:r>
      <w:r>
        <w:t>, dont le patron est le canal et dont le travailleur est le bénéficiaire. C’est par cette astuce que l’Australie a fait passer 12 points de cotisation supplémentaires sans crise politique majeure.</w:t>
      </w:r>
    </w:p>
    <w:p w14:paraId="52F2220E" w14:textId="77777777" w:rsidR="00BF0342" w:rsidRDefault="00000000">
      <w:pPr>
        <w:pStyle w:val="BodyText"/>
      </w:pPr>
      <w:r>
        <w:t xml:space="preserve">À la mi-2025, l’encours total de la </w:t>
      </w:r>
      <w:r>
        <w:rPr>
          <w:i/>
          <w:iCs/>
        </w:rPr>
        <w:t>superannuation</w:t>
      </w:r>
      <w:r>
        <w:t xml:space="preserve"> australienne dépasse </w:t>
      </w:r>
      <w:r>
        <w:rPr>
          <w:b/>
          <w:bCs/>
        </w:rPr>
        <w:t>4,3 trillions de dollars australiens</w:t>
      </w:r>
      <w:r>
        <w:t xml:space="preserve"> - autour de 2 600 milliards d’euros, soit environ 160 % du PIB</w:t>
      </w:r>
      <w:r>
        <w:rPr>
          <w:rStyle w:val="FootnoteReference"/>
        </w:rPr>
        <w:footnoteReference w:id="246"/>
      </w:r>
      <w:r>
        <w:t xml:space="preserve">. Quatrième stock d’actifs de retraite au monde, après les États-Unis, le Japon et le Royaume-Uni. Le secteur compte une centaine de fonds régulés par l’APRA, l’autorité prudentielle, avec une concentration croissante autour des plus gros : </w:t>
      </w:r>
      <w:r>
        <w:rPr>
          <w:b/>
          <w:bCs/>
        </w:rPr>
        <w:t>AustralianSuper</w:t>
      </w:r>
      <w:r>
        <w:t xml:space="preserve"> (385 milliards AUD, 3,67 millions de membres), Australian Retirement Trust (334 milliards), Aware Super (180 milliards), UniSuper, Hostplus, et quelques autres</w:t>
      </w:r>
      <w:r>
        <w:rPr>
          <w:rStyle w:val="FootnoteReference"/>
        </w:rPr>
        <w:footnoteReference w:id="247"/>
      </w:r>
      <w:r>
        <w:t xml:space="preserve">. À eux dix, ils gèrent 64 % de tous les actifs </w:t>
      </w:r>
      <w:r>
        <w:rPr>
          <w:i/>
          <w:iCs/>
        </w:rPr>
        <w:t>super</w:t>
      </w:r>
      <w:r>
        <w:t xml:space="preserve"> du pays. Performance d’AustralianSuper sur dix ans glissants, fonds </w:t>
      </w:r>
      <w:r>
        <w:rPr>
          <w:i/>
          <w:iCs/>
        </w:rPr>
        <w:t>Balanced</w:t>
      </w:r>
      <w:r>
        <w:t xml:space="preserve"> : </w:t>
      </w:r>
      <w:r>
        <w:rPr>
          <w:b/>
          <w:bCs/>
        </w:rPr>
        <w:t>7,94 % par an net de frais</w:t>
      </w:r>
      <w:r>
        <w:rPr>
          <w:rStyle w:val="FootnoteReference"/>
        </w:rPr>
        <w:footnoteReference w:id="248"/>
      </w:r>
      <w:r>
        <w:t xml:space="preserve">. Sur le segment </w:t>
      </w:r>
      <w:r>
        <w:rPr>
          <w:i/>
          <w:iCs/>
        </w:rPr>
        <w:t>MySuper</w:t>
      </w:r>
      <w:r>
        <w:t>, qui est l’option par défaut destinée aux salariés qui n’ont pas choisi leur fonds, les frais médians s’établissent à 0,27 % par an - six à huit fois moins qu’une assurance-vie française en unités de compte.</w:t>
      </w:r>
    </w:p>
    <w:p w14:paraId="2E1155FE" w14:textId="77777777" w:rsidR="00BF0342" w:rsidRDefault="00000000">
      <w:pPr>
        <w:pStyle w:val="BodyText"/>
      </w:pPr>
      <w:r>
        <w:t xml:space="preserve">Le dispositif </w:t>
      </w:r>
      <w:r>
        <w:rPr>
          <w:b/>
          <w:bCs/>
        </w:rPr>
        <w:t>MySuper</w:t>
      </w:r>
      <w:r>
        <w:t xml:space="preserve"> mérite, lui aussi, qu’on s’y arrête. Créé en 2014, c’est l’équivalent fonctionnel du fonds par défaut suédois AP7. Tout salarié qui ne choisit pas un fonds particulier est automatiquement inscrit dans le MySuper de son employeur - un produit équilibré, encadré par l’APRA, soumis à un </w:t>
      </w:r>
      <w:r>
        <w:rPr>
          <w:i/>
          <w:iCs/>
        </w:rPr>
        <w:t>Performance Test</w:t>
      </w:r>
      <w:r>
        <w:t xml:space="preserve"> annuel. En 2021, à la première édition de ce test, </w:t>
      </w:r>
      <w:r>
        <w:rPr>
          <w:b/>
          <w:bCs/>
        </w:rPr>
        <w:t>13 produits MySuper ont échoué</w:t>
      </w:r>
      <w:r>
        <w:t xml:space="preserve"> - assez pour faire bouger tout le secteur. Le gouvernement Albanese, élu en 2022, a serré la vis. Depuis, neuf produits sous-performants ont quitté le marché, et au test de 2025 </w:t>
      </w:r>
      <w:r>
        <w:rPr>
          <w:b/>
          <w:bCs/>
        </w:rPr>
        <w:t>un seul échouait encore</w:t>
      </w:r>
      <w:r>
        <w:t>, sur 64 produits évalués</w:t>
      </w:r>
      <w:r>
        <w:rPr>
          <w:rStyle w:val="FootnoteReference"/>
        </w:rPr>
        <w:footnoteReference w:id="249"/>
      </w:r>
      <w:r>
        <w:t>. Le marché s’est nettoyé en quatre ans, par la grâce d’un benchmark public, transparent, opposable.</w:t>
      </w:r>
    </w:p>
    <w:p w14:paraId="6A1CC21E" w14:textId="77777777" w:rsidR="00BF0342" w:rsidRDefault="00000000">
      <w:pPr>
        <w:pStyle w:val="BodyText"/>
      </w:pPr>
      <w:r>
        <w:t xml:space="preserve">Et l’argent ainsi accumulé travaille pour le pays. En 2022, un consortium piloté par IFM Investors et regroupant </w:t>
      </w:r>
      <w:r>
        <w:rPr>
          <w:b/>
          <w:bCs/>
        </w:rPr>
        <w:t>AustralianSuper, Australian Retirement Trust, Aware Super et UniSuper</w:t>
      </w:r>
      <w:r>
        <w:t xml:space="preserve"> rachète </w:t>
      </w:r>
      <w:r>
        <w:rPr>
          <w:b/>
          <w:bCs/>
        </w:rPr>
        <w:t>Sydney Airport</w:t>
      </w:r>
      <w:r>
        <w:t xml:space="preserve"> pour plus de 20 milliards de dollars australiens, le retire de la cote et le ramène sous contrôle domestique</w:t>
      </w:r>
      <w:r>
        <w:rPr>
          <w:rStyle w:val="FootnoteReference"/>
        </w:rPr>
        <w:footnoteReference w:id="250"/>
      </w:r>
      <w:r>
        <w:t xml:space="preserve">. Les autoroutes M7 et Westconnex à </w:t>
      </w:r>
      <w:r>
        <w:lastRenderedPageBreak/>
        <w:t xml:space="preserve">Sydney, les aéroports de Melbourne et Perth, des champs photovoltaïques, des forêts plantées : la superannuation australienne est devenue l’investisseur de référence sur les infrastructures du pays. À l’échelle de la Bourse, les fonds </w:t>
      </w:r>
      <w:r>
        <w:rPr>
          <w:i/>
          <w:iCs/>
        </w:rPr>
        <w:t>super</w:t>
      </w:r>
      <w:r>
        <w:t xml:space="preserve"> détiennent désormais autour de 35 % de la capitalisation de l’ASX, et la projection de Deloitte porte ce chiffre à 60 % d’ici 2038</w:t>
      </w:r>
      <w:r>
        <w:rPr>
          <w:rStyle w:val="FootnoteReference"/>
        </w:rPr>
        <w:footnoteReference w:id="251"/>
      </w:r>
      <w:r>
        <w:t>.</w:t>
      </w:r>
    </w:p>
    <w:p w14:paraId="6C4FF8B9" w14:textId="77777777" w:rsidR="00BF0342" w:rsidRDefault="00000000">
      <w:pPr>
        <w:pStyle w:val="BodyText"/>
      </w:pPr>
      <w:r>
        <w:t xml:space="preserve">Du point de vue français, la leçon australienne est claire. Elle se résume en quelques mots : </w:t>
      </w:r>
      <w:r>
        <w:rPr>
          <w:i/>
          <w:iCs/>
        </w:rPr>
        <w:t>cotisation patronale, montée graduelle, consensus transpartisan</w:t>
      </w:r>
      <w:r>
        <w:t>. La cotisation patronale fait sauter le verrou symbolique du « double paiement » - l’objection française par excellence, à laquelle nous reviendrons au chapitre 5.</w:t>
      </w:r>
    </w:p>
    <w:p w14:paraId="5305CCC3" w14:textId="77777777" w:rsidR="00BF0342" w:rsidRDefault="00000000">
      <w:pPr>
        <w:pStyle w:val="BodyText"/>
      </w:pPr>
      <w:r>
        <w:t xml:space="preserve">La montée graduelle, sur vingt-cinq ans, désamorce le choc économique. Et le consensus transpartisan tient le système debout dans la durée : aucun gouvernement australien, depuis 1992, qu’il soit travailliste ou de la Coalition libérale-nationale, n’a sérieusement tenté d’abolir la </w:t>
      </w:r>
      <w:r>
        <w:rPr>
          <w:i/>
          <w:iCs/>
        </w:rPr>
        <w:t>Superannuation Guarantee</w:t>
      </w:r>
      <w:r>
        <w:t>. Le gel d’Abbott a duré sept ans, c’est tout. Trente-trois ans de stabilité institutionnelle, dans un pays politiquement aussi clivé que la France, parce qu’à un moment, en 1985, un Premier ministre travailliste, un trésorier social-démocrate et un syndicaliste combattif ont décidé qu’il y avait là un bien commun à protéger.</w:t>
      </w:r>
    </w:p>
    <w:p w14:paraId="208D42E9" w14:textId="77777777" w:rsidR="00BF0342" w:rsidRDefault="00000000">
      <w:pPr>
        <w:pStyle w:val="BodyText"/>
      </w:pPr>
      <w:r>
        <w:t>Qui, en France, signerait l’équivalent ? Quel ministre des Finances, quel secrétaire de la CFDT, quel président d’organisation patronale auraient à la fois la force, la légitimité et la patience de tenir un accord pluripartite sur trente ans ?</w:t>
      </w:r>
    </w:p>
    <w:p w14:paraId="664CB7F6" w14:textId="77777777" w:rsidR="00BF0342" w:rsidRDefault="00000000">
      <w:pPr>
        <w:pStyle w:val="Heading3"/>
      </w:pPr>
      <w:bookmarkStart w:id="86" w:name="singapour-le-modèle-asiatique-mature"/>
      <w:bookmarkStart w:id="87" w:name="_Toc233036208"/>
      <w:bookmarkEnd w:id="84"/>
      <w:r>
        <w:t>Singapour : le modèle asiatique mature</w:t>
      </w:r>
      <w:bookmarkEnd w:id="87"/>
    </w:p>
    <w:p w14:paraId="283A57F9" w14:textId="77777777" w:rsidR="00BF0342" w:rsidRDefault="00000000">
      <w:pPr>
        <w:pStyle w:val="FirstParagraph"/>
      </w:pPr>
      <w:r>
        <w:t xml:space="preserve">Singapour, 1959. </w:t>
      </w:r>
      <w:r>
        <w:rPr>
          <w:b/>
          <w:bCs/>
        </w:rPr>
        <w:t>Lee Kuan Yew</w:t>
      </w:r>
      <w:r>
        <w:t>, trente-six ans, vient d’être élu Premier ministre. L’île est une colonie britannique exiguë et dépourvue de matières premières, peuplée de trois millions d’habitants mal logés, et coincée entre une Malaisie qui ne veut pas d’elle et une Indonésie qui la toise. En 1965, l’éviction de la Fédération malaisienne fait de Singapour un État indépendant à son corps défendant. Lee, qui pleure publiquement à la télévision le jour de la séparation, doit alors construire une nation à partir de rien. Il a deux atouts : une population disciplinée, et un système d’épargne hérité de l’administration coloniale qu’il va transformer en pivot de son projet politique</w:t>
      </w:r>
      <w:r>
        <w:rPr>
          <w:rStyle w:val="FootnoteReference"/>
        </w:rPr>
        <w:footnoteReference w:id="252"/>
      </w:r>
      <w:r>
        <w:t>.</w:t>
      </w:r>
    </w:p>
    <w:p w14:paraId="614DABBE" w14:textId="77777777" w:rsidR="00BF0342" w:rsidRDefault="00000000">
      <w:pPr>
        <w:pStyle w:val="BodyText"/>
      </w:pPr>
      <w:r>
        <w:t xml:space="preserve">Le </w:t>
      </w:r>
      <w:r>
        <w:rPr>
          <w:b/>
          <w:bCs/>
        </w:rPr>
        <w:t>Central Provident Fund</w:t>
      </w:r>
      <w:r>
        <w:t xml:space="preserve"> est créé en 1955 par l’administration coloniale, sous l’impulsion conjointe du gouverneur britannique et de l’avocat David Marshall, alors Chief Minister. C’est, à l’origine, un dispositif modeste : 5 % du salaire versé par l’employeur, 5 % </w:t>
      </w:r>
      <w:r>
        <w:lastRenderedPageBreak/>
        <w:t xml:space="preserve">par le salarié, sur un compte épargne individuel destiné à payer une pension à 55 ans. Lee Kuan Yew en hérite. Et il en fait tout autre chose. Avec son ministre des Finances </w:t>
      </w:r>
      <w:r>
        <w:rPr>
          <w:b/>
          <w:bCs/>
        </w:rPr>
        <w:t>Goh Keng Swee</w:t>
      </w:r>
      <w:r>
        <w:t>, économiste formé à la London School of Economics et architecte du miracle économique singapourien, il transforme progressivement le CPF en outil de politique sociale</w:t>
      </w:r>
      <w:r>
        <w:rPr>
          <w:rStyle w:val="FootnoteReference"/>
        </w:rPr>
        <w:footnoteReference w:id="253"/>
      </w:r>
      <w:r>
        <w:t>.</w:t>
      </w:r>
    </w:p>
    <w:p w14:paraId="7BC29261" w14:textId="77777777" w:rsidR="00BF0342" w:rsidRDefault="00000000">
      <w:pPr>
        <w:pStyle w:val="BodyText"/>
      </w:pPr>
      <w:r>
        <w:rPr>
          <w:b/>
          <w:bCs/>
        </w:rPr>
        <w:t>1968</w:t>
      </w:r>
      <w:r>
        <w:t xml:space="preserve">, première grande mutation : Lee Kuan Yew autorise l’usage du CPF pour acheter un logement public - un appartement HDB, </w:t>
      </w:r>
      <w:r>
        <w:rPr>
          <w:i/>
          <w:iCs/>
        </w:rPr>
        <w:t>Housing and Development Board</w:t>
      </w:r>
      <w:r>
        <w:t xml:space="preserve">. C’est l’inflexion fondatrice. À partir de ce moment-là, l’épargne forcée cesse d’être un produit de retraite pour devenir un instrument d’accession à la propriété. Lee, dans ses mémoires, explique le calcul politique : </w:t>
      </w:r>
      <w:r>
        <w:rPr>
          <w:i/>
          <w:iCs/>
        </w:rPr>
        <w:t>un Singapourien propriétaire est un Singapourien attaché au pays</w:t>
      </w:r>
      <w:r>
        <w:rPr>
          <w:rStyle w:val="FootnoteReference"/>
        </w:rPr>
        <w:footnoteReference w:id="254"/>
      </w:r>
      <w:r>
        <w:t xml:space="preserve">. La logique fonctionne. En 2024, </w:t>
      </w:r>
      <w:r>
        <w:rPr>
          <w:b/>
          <w:bCs/>
        </w:rPr>
        <w:t>90 % des résidents singapouriens sont propriétaires de leur logement</w:t>
      </w:r>
      <w:r>
        <w:t>, et 80 % vivent en HDB construits par l’État</w:t>
      </w:r>
      <w:r>
        <w:rPr>
          <w:rStyle w:val="FootnoteReference"/>
        </w:rPr>
        <w:footnoteReference w:id="255"/>
      </w:r>
      <w:r>
        <w:t>. C’est probablement le taux d’accession à la propriété le plus élevé du monde développé. Comparaison : 66 % en France, 51 % en Allemagne.</w:t>
      </w:r>
    </w:p>
    <w:p w14:paraId="727684D4" w14:textId="77777777" w:rsidR="00BF0342" w:rsidRDefault="00000000">
      <w:pPr>
        <w:pStyle w:val="BodyText"/>
      </w:pPr>
      <w:r>
        <w:t xml:space="preserve">L’architecture s’enrichit progressivement. </w:t>
      </w:r>
      <w:r>
        <w:rPr>
          <w:b/>
          <w:bCs/>
        </w:rPr>
        <w:t>1974</w:t>
      </w:r>
      <w:r>
        <w:t xml:space="preserve"> : création du </w:t>
      </w:r>
      <w:r>
        <w:rPr>
          <w:i/>
          <w:iCs/>
        </w:rPr>
        <w:t>Special Account</w:t>
      </w:r>
      <w:r>
        <w:t xml:space="preserve"> (SA), réservé strictement à la retraite, mieux rémunéré. </w:t>
      </w:r>
      <w:r>
        <w:rPr>
          <w:b/>
          <w:bCs/>
        </w:rPr>
        <w:t>1984</w:t>
      </w:r>
      <w:r>
        <w:t xml:space="preserve"> : création du </w:t>
      </w:r>
      <w:r>
        <w:rPr>
          <w:i/>
          <w:iCs/>
        </w:rPr>
        <w:t>MediSave Account</w:t>
      </w:r>
      <w:r>
        <w:t xml:space="preserve"> (MA), qui finance la santé. </w:t>
      </w:r>
      <w:r>
        <w:rPr>
          <w:b/>
          <w:bCs/>
        </w:rPr>
        <w:t>2008</w:t>
      </w:r>
      <w:r>
        <w:t xml:space="preserve"> : création du </w:t>
      </w:r>
      <w:r>
        <w:rPr>
          <w:i/>
          <w:iCs/>
        </w:rPr>
        <w:t>Retirement Account</w:t>
      </w:r>
      <w:r>
        <w:t xml:space="preserve"> (RA), qui à 55 ans bascule une partie des fonds vers une rente viagère. </w:t>
      </w:r>
      <w:r>
        <w:rPr>
          <w:b/>
          <w:bCs/>
        </w:rPr>
        <w:t>2009</w:t>
      </w:r>
      <w:r>
        <w:t xml:space="preserve"> : lancement de </w:t>
      </w:r>
      <w:r>
        <w:rPr>
          <w:b/>
          <w:bCs/>
        </w:rPr>
        <w:t>CPF LIFE</w:t>
      </w:r>
      <w:r>
        <w:t>, rente viagère obligatoire pour les Singapouriens nés en 1958 ou après, garantissant un revenu mensuel à vie au-delà de 65 ans. Quatre comptes, quatre usages, un seul fonds - la retraite, le logement, la santé et la rente sont financés par le même véhicule</w:t>
      </w:r>
      <w:r>
        <w:rPr>
          <w:rStyle w:val="FootnoteReference"/>
        </w:rPr>
        <w:footnoteReference w:id="256"/>
      </w:r>
      <w:r>
        <w:t>.</w:t>
      </w:r>
    </w:p>
    <w:p w14:paraId="47D2A0F1" w14:textId="77777777" w:rsidR="00BF0342" w:rsidRDefault="00000000">
      <w:pPr>
        <w:pStyle w:val="BodyText"/>
      </w:pPr>
      <w:r>
        <w:t xml:space="preserve">Côté cotisations, le taux total dépasse aujourd’hui </w:t>
      </w:r>
      <w:r>
        <w:rPr>
          <w:b/>
          <w:bCs/>
        </w:rPr>
        <w:t>37 % du salaire brut</w:t>
      </w:r>
      <w:r>
        <w:t xml:space="preserve"> pour les moins de 55 ans : 17 % patronal, 20 % salarié</w:t>
      </w:r>
      <w:r>
        <w:rPr>
          <w:rStyle w:val="FootnoteReference"/>
        </w:rPr>
        <w:footnoteReference w:id="257"/>
      </w:r>
      <w:r>
        <w:t xml:space="preserve">. À première lecture, c’est énorme. Mais Singapour a une fiscalité directe légère - une TVA (GST) à 9 %, un impôt sur le revenu plafonné à 24 %, pas de cotisation sociale séparée. Le CPF </w:t>
      </w:r>
      <w:r>
        <w:rPr>
          <w:i/>
          <w:iCs/>
        </w:rPr>
        <w:t>est</w:t>
      </w:r>
      <w:r>
        <w:t xml:space="preserve"> la fiscalité sociale du pays. Le taux de 37 % ne s’ajoute pas à un système, il en remplace plusieurs. Au-dessus de 55 ans, les taux diminuent par paliers, jusqu’à 12,5 % au-delà de 70 ans, pour ne pas peser sur l’emploi </w:t>
      </w:r>
      <w:r>
        <w:lastRenderedPageBreak/>
        <w:t>des seniors. Le plafond contributif est fixé à 8 000 dollars singapouriens par mois - environ 5 500 euros - pour ne pas faire de l’épargne forcée un piège pour les hauts revenus.</w:t>
      </w:r>
    </w:p>
    <w:p w14:paraId="767514FD" w14:textId="77777777" w:rsidR="00BF0342" w:rsidRDefault="00000000">
      <w:pPr>
        <w:pStyle w:val="BodyText"/>
      </w:pPr>
      <w:r>
        <w:t xml:space="preserve">La grande spécificité de Singapour, par rapport à la Suède ou l’Australie, est que </w:t>
      </w:r>
      <w:r>
        <w:rPr>
          <w:b/>
          <w:bCs/>
        </w:rPr>
        <w:t>les rendements sont garantis par l’État</w:t>
      </w:r>
      <w:r>
        <w:t xml:space="preserve">. L’OA paye 2,5 % par an minimum, les autres comptes 4 %, avec un bonus de 1 à 2 points pour les bas soldes et les seniors. C’est l’État qui prend le risque d’investissement, à travers son agence souveraine </w:t>
      </w:r>
      <w:r>
        <w:rPr>
          <w:b/>
          <w:bCs/>
        </w:rPr>
        <w:t>GIC</w:t>
      </w:r>
      <w:r>
        <w:t xml:space="preserve"> (</w:t>
      </w:r>
      <w:r>
        <w:rPr>
          <w:i/>
          <w:iCs/>
        </w:rPr>
        <w:t>Government of Singapore Investment Corporation</w:t>
      </w:r>
      <w:r>
        <w:t>), dont les actifs estimés dépassent 800 milliards de dollars à mi-2025</w:t>
      </w:r>
      <w:r>
        <w:rPr>
          <w:rStyle w:val="FootnoteReference"/>
        </w:rPr>
        <w:footnoteReference w:id="258"/>
      </w:r>
      <w:r>
        <w:t xml:space="preserve">. GIC place pour le compte de l’État, livre une performance moyenne réelle de l’ordre de 4 à 5 % sur trente ans, et la différence entre cette performance et les taux garantis aux Singapouriens alimente les réserves nationales. Critique récurrente du </w:t>
      </w:r>
      <w:r>
        <w:rPr>
          <w:b/>
          <w:bCs/>
        </w:rPr>
        <w:t>Workers’ Party</w:t>
      </w:r>
      <w:r>
        <w:t>, principale formation d’opposition : l’État pourrait verser davantage aux cotisants</w:t>
      </w:r>
      <w:r>
        <w:rPr>
          <w:rStyle w:val="FootnoteReference"/>
        </w:rPr>
        <w:footnoteReference w:id="259"/>
      </w:r>
      <w:r>
        <w:t xml:space="preserve">. Réponse constante du gouvernement </w:t>
      </w:r>
      <w:r>
        <w:rPr>
          <w:i/>
          <w:iCs/>
        </w:rPr>
        <w:t>People’s Action Party</w:t>
      </w:r>
      <w:r>
        <w:t xml:space="preserve"> (PAP) : la garantie a une valeur, et cette valeur explique en partie l’écart.</w:t>
      </w:r>
    </w:p>
    <w:p w14:paraId="04B32D24" w14:textId="77777777" w:rsidR="00BF0342" w:rsidRDefault="00000000">
      <w:pPr>
        <w:pStyle w:val="BodyText"/>
      </w:pPr>
      <w:r>
        <w:t xml:space="preserve">Encours total du CPF fin 2024 : </w:t>
      </w:r>
      <w:r>
        <w:rPr>
          <w:b/>
          <w:bCs/>
        </w:rPr>
        <w:t>609,5 milliards de dollars singapouriens</w:t>
      </w:r>
      <w:r>
        <w:t>, environ 420 milliards d’euros, soit 94 % du PIB</w:t>
      </w:r>
      <w:r>
        <w:rPr>
          <w:rStyle w:val="FootnoteReference"/>
        </w:rPr>
        <w:footnoteReference w:id="260"/>
      </w:r>
      <w:r>
        <w:t xml:space="preserve">. </w:t>
      </w:r>
      <w:r>
        <w:rPr>
          <w:b/>
          <w:bCs/>
        </w:rPr>
        <w:t>4,2 millions de membres</w:t>
      </w:r>
      <w:r>
        <w:t xml:space="preserve">, dans un pays de 5,7 millions d’habitants. Le système est arrivé à maturité, et il est désormais inclus dans la mécanique fine de la politique sociale. </w:t>
      </w:r>
      <w:r>
        <w:rPr>
          <w:b/>
          <w:bCs/>
        </w:rPr>
        <w:t>Janvier 2025</w:t>
      </w:r>
      <w:r>
        <w:t xml:space="preserve"> : le gouvernement a fermé le </w:t>
      </w:r>
      <w:r>
        <w:rPr>
          <w:i/>
          <w:iCs/>
        </w:rPr>
        <w:t>Special Account</w:t>
      </w:r>
      <w:r>
        <w:t xml:space="preserve"> aux 55 ans et plus, redirigeant les fonds vers le </w:t>
      </w:r>
      <w:r>
        <w:rPr>
          <w:i/>
          <w:iCs/>
        </w:rPr>
        <w:t>Retirement Account</w:t>
      </w:r>
      <w:r>
        <w:t>, pour mieux structurer la phase de décaissement</w:t>
      </w:r>
      <w:r>
        <w:rPr>
          <w:rStyle w:val="FootnoteReference"/>
        </w:rPr>
        <w:footnoteReference w:id="261"/>
      </w:r>
      <w:r>
        <w:t xml:space="preserve">. </w:t>
      </w:r>
      <w:r>
        <w:rPr>
          <w:b/>
          <w:bCs/>
        </w:rPr>
        <w:t>Août 2023</w:t>
      </w:r>
      <w:r>
        <w:t xml:space="preserve"> : annonce du </w:t>
      </w:r>
      <w:r>
        <w:rPr>
          <w:b/>
          <w:bCs/>
        </w:rPr>
        <w:t>Majulah Package</w:t>
      </w:r>
      <w:r>
        <w:t xml:space="preserve">, programme de soutien de </w:t>
      </w:r>
      <w:r>
        <w:rPr>
          <w:b/>
          <w:bCs/>
        </w:rPr>
        <w:t>7 milliards de dollars singapouriens</w:t>
      </w:r>
      <w:r>
        <w:t xml:space="preserve"> pour la « génération sandwich » née entre 1965 et 1973, qui supporte simultanément la charge de ses parents âgés et de ses enfants</w:t>
      </w:r>
      <w:r>
        <w:rPr>
          <w:rStyle w:val="FootnoteReference"/>
        </w:rPr>
        <w:footnoteReference w:id="262"/>
      </w:r>
      <w:r>
        <w:t>.</w:t>
      </w:r>
    </w:p>
    <w:p w14:paraId="68D781E3" w14:textId="77777777" w:rsidR="00BF0342" w:rsidRDefault="00000000">
      <w:pPr>
        <w:pStyle w:val="BodyText"/>
      </w:pPr>
      <w:r>
        <w:t xml:space="preserve">À cela s’ajoute le </w:t>
      </w:r>
      <w:r>
        <w:rPr>
          <w:b/>
          <w:bCs/>
        </w:rPr>
        <w:t>Silver Support Scheme</w:t>
      </w:r>
      <w:r>
        <w:t>, filet de pauvreté des seniors créé en 2016 : pour les 20 à 30 % de retraités les plus modestes, l’État verse automatiquement entre 150 et 360 dollars singapouriens par mois, sans demande administrative, sur la base des données fiscales et de logement</w:t>
      </w:r>
      <w:r>
        <w:rPr>
          <w:rStyle w:val="FootnoteReference"/>
        </w:rPr>
        <w:footnoteReference w:id="263"/>
      </w:r>
      <w:r>
        <w:t xml:space="preserve">. C’est la version singapourienne de la garantipension </w:t>
      </w:r>
      <w:r>
        <w:lastRenderedPageBreak/>
        <w:t>suédoise. Indispensable, parce que même un système d’épargne forcé à 37 % laisse derrière lui des carrières fragmentaires, surtout du côté féminin, où l’écart de soldes CPF se situe autour de 7 à 10 % par rapport aux hommes</w:t>
      </w:r>
      <w:r>
        <w:rPr>
          <w:rStyle w:val="FootnoteReference"/>
        </w:rPr>
        <w:footnoteReference w:id="264"/>
      </w:r>
      <w:r>
        <w:t>.</w:t>
      </w:r>
    </w:p>
    <w:p w14:paraId="2E9ECA11" w14:textId="77777777" w:rsidR="00BF0342" w:rsidRDefault="00000000">
      <w:pPr>
        <w:pStyle w:val="BodyText"/>
      </w:pPr>
      <w:r>
        <w:t xml:space="preserve">Le résultat global, en 2025 ? Le </w:t>
      </w:r>
      <w:r>
        <w:rPr>
          <w:b/>
          <w:bCs/>
        </w:rPr>
        <w:t>Mercer CFA Global Pension Index</w:t>
      </w:r>
      <w:r>
        <w:t xml:space="preserve"> classe Singapour </w:t>
      </w:r>
      <w:r>
        <w:rPr>
          <w:b/>
          <w:bCs/>
        </w:rPr>
        <w:t>5ᵉ mondial avec une note A</w:t>
      </w:r>
      <w:r>
        <w:t>, première place asiatique, devant le Royaume-Uni, l’Australie, la Finlande</w:t>
      </w:r>
      <w:r>
        <w:rPr>
          <w:rStyle w:val="FootnoteReference"/>
        </w:rPr>
        <w:footnoteReference w:id="265"/>
      </w:r>
      <w:r>
        <w:t xml:space="preserve">. La France, à titre de comparaison, n’est pas dans le top 20. Le pays a réussi quelque chose que peu d’autres ont accompli : faire tenir, sur soixante-dix ans et sous des gouvernements successifs de la même famille politique, un système d’épargne obligatoire à très haut taux sans crise majeure. La continuité aide. La discipline aide. Mais surtout, le pacte initial - épargne forcée </w:t>
      </w:r>
      <w:r>
        <w:rPr>
          <w:i/>
          <w:iCs/>
        </w:rPr>
        <w:t>contre</w:t>
      </w:r>
      <w:r>
        <w:t xml:space="preserve"> propriété accessible </w:t>
      </w:r>
      <w:r>
        <w:rPr>
          <w:i/>
          <w:iCs/>
        </w:rPr>
        <w:t>contre</w:t>
      </w:r>
      <w:r>
        <w:t xml:space="preserve"> protection sociale intégrée - n’a jamais été rompu. Aucun Premier ministre singapourien n’a jamais tenté d’abolir le CPF. Aucun n’a même tenté de le réduire significativement. C’est tabou, au sens noble du mot : c’est un acquis civilisationnel.</w:t>
      </w:r>
    </w:p>
    <w:p w14:paraId="1CBAB788" w14:textId="77777777" w:rsidR="00BF0342" w:rsidRDefault="00000000">
      <w:pPr>
        <w:pStyle w:val="BodyText"/>
      </w:pPr>
      <w:r>
        <w:t>Que peut-on transposer ? Pas grand-chose, et beaucoup à la fois. Pas grand-chose, parce que le taux de cotisation singapourien est inatteignable dans un pays où la fiscalité directe pèse déjà 45 % du PIB. Le modèle multi-usage logement-retraite-santé suppose une centralisation budgétaire que la France ne pratique pas. Et le pacte de continuité politique de soixante-dix ans suppose un système électoral qui n’est pas le nôtre - le PAP a remporté toutes les élections nationales depuis 1959, fait que peu de démocraties européennes accepteraient.</w:t>
      </w:r>
    </w:p>
    <w:p w14:paraId="421FAF94" w14:textId="77777777" w:rsidR="00BF0342" w:rsidRDefault="00000000">
      <w:pPr>
        <w:pStyle w:val="BodyText"/>
      </w:pPr>
      <w:r>
        <w:t xml:space="preserve">Mais beaucoup, malgré tout, est transposable au niveau des principes. </w:t>
      </w:r>
      <w:r>
        <w:rPr>
          <w:b/>
          <w:bCs/>
        </w:rPr>
        <w:t>Premier principe</w:t>
      </w:r>
      <w:r>
        <w:t xml:space="preserve"> : un </w:t>
      </w:r>
      <w:r>
        <w:rPr>
          <w:i/>
          <w:iCs/>
        </w:rPr>
        <w:t>fond par défaut</w:t>
      </w:r>
      <w:r>
        <w:t xml:space="preserve">, un seul, simple, public, à frais bas, qui gère l’épargne de tous ceux qui ne choisissent pas autre chose. Le CPF, dans sa structure, est cela. AP7 Såfa en Suède, MySuper en Australie, en sont l’équivalent. Le PER français, avec ses centaines d’options pour onze millions de souscripteurs, en est l’inverse. </w:t>
      </w:r>
      <w:r>
        <w:rPr>
          <w:b/>
          <w:bCs/>
        </w:rPr>
        <w:t>Deuxième principe</w:t>
      </w:r>
      <w:r>
        <w:t xml:space="preserve"> : un plancher universel, ciblé sans demande administrative, qui empêche n’importe quel travailleur à carrière courte de basculer sous le seuil de pauvreté. </w:t>
      </w:r>
      <w:r>
        <w:rPr>
          <w:b/>
          <w:bCs/>
        </w:rPr>
        <w:t>Troisième principe</w:t>
      </w:r>
      <w:r>
        <w:t xml:space="preserve"> : un rendement garanti pour la part socle, avec un acteur public - l’État ou un véhicule comme la Caisse des dépôts - qui assume le risque d’investissement. La Suède a son AP7, mais sans garantie ; Singapour ajoute la garantie. Pour un pays comme la France, où la culture de l’épargne </w:t>
      </w:r>
      <w:r>
        <w:rPr>
          <w:i/>
          <w:iCs/>
        </w:rPr>
        <w:t>liquide et garantie</w:t>
      </w:r>
      <w:r>
        <w:t xml:space="preserve"> est intacte depuis le Livret A de 1818, ce dernier principe a une portée particulière. </w:t>
      </w:r>
      <w:r>
        <w:rPr>
          <w:i/>
          <w:iCs/>
        </w:rPr>
        <w:t>On peut très bien capitaliser sans transférer le risque au cotisant individuel</w:t>
      </w:r>
      <w:r>
        <w:t>. Le système suédois ne le fait qu’à moitié ; le système singapourien le fait à 100 %.</w:t>
      </w:r>
    </w:p>
    <w:p w14:paraId="549F8C11" w14:textId="77777777" w:rsidR="00BF0342" w:rsidRDefault="00000000">
      <w:pPr>
        <w:pStyle w:val="BodyText"/>
      </w:pPr>
      <w:r>
        <w:lastRenderedPageBreak/>
        <w:t xml:space="preserve">C’est la deuxième leçon politique du chapitre, et elle vise particulièrement la gauche française : si la peur c’est le risque de marché, le risque de marché peut être absorbé par l’État. Cela a un coût, qui est l’écart de rendement entre ce que livre le marché et ce que reçoit l’épargnant. À Singapour, cet écart finance les réserves nationales. C’est un </w:t>
      </w:r>
      <w:r>
        <w:rPr>
          <w:i/>
          <w:iCs/>
        </w:rPr>
        <w:t>deal</w:t>
      </w:r>
      <w:r>
        <w:t xml:space="preserve"> explicite, négocié, accepté. La gauche française pourrait s’en inspirer.</w:t>
      </w:r>
    </w:p>
    <w:p w14:paraId="07CD5713" w14:textId="77777777" w:rsidR="00BF0342" w:rsidRDefault="00000000">
      <w:pPr>
        <w:pStyle w:val="Heading3"/>
      </w:pPr>
      <w:bookmarkStart w:id="88" w:name="X297deed7a2565db2b7f8054dbc85a7c98e81549"/>
      <w:bookmarkStart w:id="89" w:name="_Toc233036209"/>
      <w:bookmarkEnd w:id="86"/>
      <w:r>
        <w:t>Chili : l’expérience unique du tout-capitalisation</w:t>
      </w:r>
      <w:bookmarkEnd w:id="89"/>
    </w:p>
    <w:p w14:paraId="6B9220C8" w14:textId="77777777" w:rsidR="00BF0342" w:rsidRDefault="00000000">
      <w:pPr>
        <w:pStyle w:val="FirstParagraph"/>
      </w:pPr>
      <w:r>
        <w:t>Le Chili est le seul pays au monde à avoir aboli son système de retraite par répartition pour le remplacer, intégralement et pour tous les nouveaux entrants, par de la capitalisation pure. Aucun autre n’a jamais osé. Ni la Suède, ni les Pays-Bas, ni l’Australie, ni Singapour : tous ont conservé, à côté de leurs piliers capitalisés, un socle public en répartition. Le Chili, lui, a tout basculé d’un seul coup, par décret-loi, sous régime militaire, en 1981. Quarante-cinq ans plus tard, il en revient - c’est l’objet de la loi 21735 de janvier 2025. Cette singularité historique fait du Chili l’expérience scientifique la plus précieuse qui soit pour penser la capitalisation. Pas parce qu’elle réussit. Parce qu’elle échoue de la manière la plus pure, la plus documentée, la plus reproductible. C’est un cas-limite, et les cas-limites enseignent.</w:t>
      </w:r>
    </w:p>
    <w:p w14:paraId="6000914A" w14:textId="77777777" w:rsidR="00BF0342" w:rsidRDefault="00000000">
      <w:pPr>
        <w:pStyle w:val="BodyText"/>
      </w:pPr>
      <w:r>
        <w:t>Une réforme préméditée, signée à la pointe du fusil</w:t>
      </w:r>
    </w:p>
    <w:p w14:paraId="10D2AEA9" w14:textId="77777777" w:rsidR="00BF0342" w:rsidRDefault="00000000">
      <w:pPr>
        <w:pStyle w:val="BodyText"/>
      </w:pPr>
      <w:r>
        <w:t xml:space="preserve">Avant 1981, le Chili a un système par répartition fragmenté, hérité des années 1920, organisé en </w:t>
      </w:r>
      <w:r>
        <w:rPr>
          <w:i/>
          <w:iCs/>
        </w:rPr>
        <w:t>Cajas</w:t>
      </w:r>
      <w:r>
        <w:t xml:space="preserve"> sectorielles. Trente-deux régimes différents, des règles incompréhensibles, des déficits structurels dans les années 1970. Le système est à bout de souffle, comme à peu près tous les systèmes de retraite latino-américains de l’époque. Une réforme s’impose. La forme qu’elle prendra, en revanche, doit beaucoup à la séquence politique.</w:t>
      </w:r>
    </w:p>
    <w:p w14:paraId="7D8336A6" w14:textId="77777777" w:rsidR="00BF0342" w:rsidRDefault="00000000">
      <w:pPr>
        <w:pStyle w:val="BodyText"/>
      </w:pPr>
      <w:r>
        <w:t xml:space="preserve">Le </w:t>
      </w:r>
      <w:r>
        <w:rPr>
          <w:b/>
          <w:bCs/>
        </w:rPr>
        <w:t>11 septembre 1973</w:t>
      </w:r>
      <w:r>
        <w:t xml:space="preserve">, le général </w:t>
      </w:r>
      <w:r>
        <w:rPr>
          <w:b/>
          <w:bCs/>
        </w:rPr>
        <w:t>Augusto Pinochet</w:t>
      </w:r>
      <w:r>
        <w:t xml:space="preserve"> renverse Salvador Allende. Le Parlement est dissous, les partis interdits, les syndicats désarmés. Le régime militaire durera jusqu’en 1990. Dans ce vide démocratique se déploie une équipe d’économistes connue sous le nom de </w:t>
      </w:r>
      <w:r>
        <w:rPr>
          <w:b/>
          <w:bCs/>
        </w:rPr>
        <w:t>Chicago Boys</w:t>
      </w:r>
      <w:r>
        <w:t xml:space="preserve"> - une trentaine de Chiliens formés à l’Université de Chicago dans le cadre du </w:t>
      </w:r>
      <w:r>
        <w:rPr>
          <w:i/>
          <w:iCs/>
        </w:rPr>
        <w:t>Chile-Chicago Project</w:t>
      </w:r>
      <w:r>
        <w:t xml:space="preserve"> engagé en 1956 entre l’Universidad Católica de Santiago et le département d’économie de Chicago, sous l’autorité intellectuelle de Milton Friedman et d’Arnold Harberger</w:t>
      </w:r>
      <w:r>
        <w:rPr>
          <w:rStyle w:val="FootnoteReference"/>
        </w:rPr>
        <w:footnoteReference w:id="266"/>
      </w:r>
      <w:r>
        <w:t xml:space="preserve">. Ils ont préparé, avant même le coup d’État, un plan de transformation économique surnommé </w:t>
      </w:r>
      <w:r>
        <w:rPr>
          <w:b/>
          <w:bCs/>
          <w:i/>
          <w:iCs/>
        </w:rPr>
        <w:t>El Ladrillo</w:t>
      </w:r>
      <w:r>
        <w:t xml:space="preserve"> - </w:t>
      </w:r>
      <w:r>
        <w:rPr>
          <w:i/>
          <w:iCs/>
        </w:rPr>
        <w:t>la brique</w:t>
      </w:r>
      <w:r>
        <w:t>, en raison de son volume - qui circule sous le manteau dès 1972</w:t>
      </w:r>
      <w:r>
        <w:rPr>
          <w:rStyle w:val="FootnoteReference"/>
        </w:rPr>
        <w:footnoteReference w:id="267"/>
      </w:r>
      <w:r>
        <w:t>. La réforme des retraites y figure déjà. Elle n’est pas opportuniste. Elle est préméditée.</w:t>
      </w:r>
    </w:p>
    <w:p w14:paraId="2DD4736B" w14:textId="77777777" w:rsidR="00BF0342" w:rsidRDefault="00000000">
      <w:pPr>
        <w:pStyle w:val="BodyText"/>
      </w:pPr>
      <w:r>
        <w:lastRenderedPageBreak/>
        <w:t xml:space="preserve">En </w:t>
      </w:r>
      <w:r>
        <w:rPr>
          <w:b/>
          <w:bCs/>
        </w:rPr>
        <w:t>mars 1975</w:t>
      </w:r>
      <w:r>
        <w:t xml:space="preserve">, Friedman lui-même se rend à Santiago, rencontre Pinochet trois quarts d’heure, et lui adresse à son retour une lettre préconisant une « thérapie de choc » contre l’inflation ; il parlera plus tard du « miracle du Chili ». La caution intellectuelle internationale est posée. Sergio de Castro devient ministre des Finances la même année, puis ministre des Finances en titre de 1976 à 1982. Hernán Büchi prend la suite aux Finances de 1985 à 1989. Et c’est </w:t>
      </w:r>
      <w:r>
        <w:rPr>
          <w:b/>
          <w:bCs/>
        </w:rPr>
        <w:t>José Piñera</w:t>
      </w:r>
      <w:r>
        <w:t>, jeune ministre du Travail et de la Sécurité sociale entre décembre 1978 et décembre 1980 - frère cadet du futur président Sebastián Piñera -, qui hérite du dossier retraites</w:t>
      </w:r>
      <w:r>
        <w:rPr>
          <w:rStyle w:val="FootnoteReference"/>
        </w:rPr>
        <w:footnoteReference w:id="268"/>
      </w:r>
      <w:r>
        <w:t>.</w:t>
      </w:r>
    </w:p>
    <w:p w14:paraId="4A5CA61D" w14:textId="77777777" w:rsidR="00BF0342" w:rsidRDefault="00000000">
      <w:pPr>
        <w:pStyle w:val="BodyText"/>
      </w:pPr>
      <w:r>
        <w:t xml:space="preserve">Le </w:t>
      </w:r>
      <w:r>
        <w:rPr>
          <w:b/>
          <w:bCs/>
        </w:rPr>
        <w:t>décret-loi n° 3500</w:t>
      </w:r>
      <w:r>
        <w:t xml:space="preserve"> est signé le </w:t>
      </w:r>
      <w:r>
        <w:rPr>
          <w:b/>
          <w:bCs/>
        </w:rPr>
        <w:t>4 novembre 1980</w:t>
      </w:r>
      <w:r>
        <w:t xml:space="preserve">, publié au </w:t>
      </w:r>
      <w:r>
        <w:rPr>
          <w:i/>
          <w:iCs/>
        </w:rPr>
        <w:t>Diario Oficial</w:t>
      </w:r>
      <w:r>
        <w:t xml:space="preserve"> le 13 novembre, et entre en vigueur le </w:t>
      </w:r>
      <w:r>
        <w:rPr>
          <w:b/>
          <w:bCs/>
        </w:rPr>
        <w:t>1ᵉʳ mai 1981</w:t>
      </w:r>
      <w:r>
        <w:rPr>
          <w:rStyle w:val="FootnoteReference"/>
        </w:rPr>
        <w:footnoteReference w:id="269"/>
      </w:r>
      <w:r>
        <w:t xml:space="preserve">. Aucun débat parlementaire - il n’y a pas de Parlement. Aucune négociation syndicale - les syndicats sont muselés. Aucun référendum - l’opposition ne peut pas s’organiser. L’architecture est livrée clé en main : </w:t>
      </w:r>
      <w:r>
        <w:rPr>
          <w:b/>
          <w:bCs/>
        </w:rPr>
        <w:t>10 % de cotisation versés par le salarié seul</w:t>
      </w:r>
      <w:r>
        <w:t xml:space="preserve">, </w:t>
      </w:r>
      <w:r>
        <w:rPr>
          <w:b/>
          <w:bCs/>
        </w:rPr>
        <w:t>zéro cotisation patronale</w:t>
      </w:r>
      <w:r>
        <w:t xml:space="preserve">, gestion confiée à des sociétés privées en concurrence - les </w:t>
      </w:r>
      <w:r>
        <w:rPr>
          <w:b/>
          <w:bCs/>
        </w:rPr>
        <w:t>AFP</w:t>
      </w:r>
      <w:r>
        <w:t xml:space="preserve">, </w:t>
      </w:r>
      <w:r>
        <w:rPr>
          <w:i/>
          <w:iCs/>
        </w:rPr>
        <w:t>Administradoras de Fondos de Pensiones</w:t>
      </w:r>
      <w:r>
        <w:t xml:space="preserve"> -, capital strictement individuel, </w:t>
      </w:r>
      <w:r>
        <w:rPr>
          <w:b/>
          <w:bCs/>
        </w:rPr>
        <w:t>suppression totale du pilier répartition</w:t>
      </w:r>
      <w:r>
        <w:t xml:space="preserve"> pour tous les nouveaux entrants à partir du 1ᵉʳ mai 1981. Les actifs déjà sous l’ancien régime peuvent basculer s’ils le veulent ; les nouveaux ne le peuvent pas. Promesses initiales du document Piñera : un taux de remplacement de 70 % du dernier salaire, sur la base d’un rendement réel net supposé entre 5 et 7 % par an pendant trente-cinq à quarante ans</w:t>
      </w:r>
      <w:r>
        <w:rPr>
          <w:rStyle w:val="FootnoteReference"/>
        </w:rPr>
        <w:footnoteReference w:id="270"/>
      </w:r>
      <w:r>
        <w:t>.</w:t>
      </w:r>
    </w:p>
    <w:p w14:paraId="5F5D82FF" w14:textId="77777777" w:rsidR="00BF0342" w:rsidRDefault="00000000">
      <w:pPr>
        <w:pStyle w:val="BodyText"/>
      </w:pPr>
      <w:r>
        <w:t xml:space="preserve">Un détail mérite d’être noté, parce qu’il dit l’époque tout entière. </w:t>
      </w:r>
      <w:r>
        <w:rPr>
          <w:b/>
          <w:bCs/>
        </w:rPr>
        <w:t>Les militaires conservent leur propre régime par répartition</w:t>
      </w:r>
      <w:r>
        <w:t>, géré par la CAPREDENA pour les forces armées et la DIPRECA pour les forces de l’ordre, intacts depuis 1915 et 1933 respectivement</w:t>
      </w:r>
      <w:r>
        <w:rPr>
          <w:rStyle w:val="FootnoteReference"/>
        </w:rPr>
        <w:footnoteReference w:id="271"/>
      </w:r>
      <w:r>
        <w:t>. Ceux-là mêmes qui imposent la capitalisation pure aux travailleurs civils refusent, pour leur propre corps, ce qu’ils prescrivent aux autres. La doctrine s’arrête à la porte de la caserne. Cela aussi compte. Cela dit qui croit, et qui ne croit pas, à ce qu’on impose.</w:t>
      </w:r>
    </w:p>
    <w:p w14:paraId="21775006" w14:textId="77777777" w:rsidR="00BF0342" w:rsidRDefault="00000000">
      <w:pPr>
        <w:pStyle w:val="BodyText"/>
      </w:pPr>
      <w:r>
        <w:t>Une singularité mondiale</w:t>
      </w:r>
    </w:p>
    <w:p w14:paraId="7945B26B" w14:textId="77777777" w:rsidR="00BF0342" w:rsidRDefault="00000000">
      <w:pPr>
        <w:pStyle w:val="BodyText"/>
      </w:pPr>
      <w:r>
        <w:t xml:space="preserve">Le DL 3500 a été abondamment imité. Entre 1990 et 2010, vingt-huit pays - dont le Pérou en 1993, la Colombie en 1993, l’Argentine en 1994, le Mexique en 1997, la Bolivie en 1997, le Salvador en 1998, le Costa Rica en 2001 - ont introduit, en tout ou partie, un pilier de </w:t>
      </w:r>
      <w:r>
        <w:lastRenderedPageBreak/>
        <w:t>comptes individuels gérés en privé inspiré du modèle chilien</w:t>
      </w:r>
      <w:r>
        <w:rPr>
          <w:rStyle w:val="FootnoteReference"/>
        </w:rPr>
        <w:footnoteReference w:id="272"/>
      </w:r>
      <w:r>
        <w:t xml:space="preserve">. La Banque mondiale, dans son rapport </w:t>
      </w:r>
      <w:r>
        <w:rPr>
          <w:i/>
          <w:iCs/>
        </w:rPr>
        <w:t>Averting the Old Age Crisis</w:t>
      </w:r>
      <w:r>
        <w:t xml:space="preserve"> de 1994, en avait fait la promotion mondiale. C’était un moment idéologique. Il a duré une quinzaine d’années.</w:t>
      </w:r>
    </w:p>
    <w:p w14:paraId="01DAB493" w14:textId="77777777" w:rsidR="00BF0342" w:rsidRDefault="00000000">
      <w:pPr>
        <w:pStyle w:val="BodyText"/>
      </w:pPr>
      <w:r>
        <w:t>Puis le mouvement s’inverse. En 2018, l’</w:t>
      </w:r>
      <w:r>
        <w:rPr>
          <w:b/>
          <w:bCs/>
        </w:rPr>
        <w:t>OIT</w:t>
      </w:r>
      <w:r>
        <w:t xml:space="preserve"> publie un rapport au titre programme : </w:t>
      </w:r>
      <w:r>
        <w:rPr>
          <w:b/>
          <w:bCs/>
          <w:i/>
          <w:iCs/>
        </w:rPr>
        <w:t>Reversing Pension Privatizations</w:t>
      </w:r>
      <w:r>
        <w:rPr>
          <w:rStyle w:val="FootnoteReference"/>
        </w:rPr>
        <w:footnoteReference w:id="273"/>
      </w:r>
      <w:r>
        <w:t xml:space="preserve">. Bilan : </w:t>
      </w:r>
      <w:r>
        <w:rPr>
          <w:b/>
          <w:bCs/>
        </w:rPr>
        <w:t>dix-huit pays sur trente</w:t>
      </w:r>
      <w:r>
        <w:t xml:space="preserve"> qui avaient privatisé tout ou partie de leur système l’ont depuis renationalisé, en totalité ou en partie. L’Argentine en 2008, sous Cristina Kirchner. La Bolivie en 2010, sous Evo Morales. La Hongrie, la Pologne, la République tchèque. Le mouvement inverse a été presque aussi rapide que le premier.</w:t>
      </w:r>
    </w:p>
    <w:p w14:paraId="3E4E2F10" w14:textId="77777777" w:rsidR="00BF0342" w:rsidRDefault="00000000">
      <w:pPr>
        <w:pStyle w:val="BodyText"/>
      </w:pPr>
      <w:r>
        <w:t xml:space="preserve">Mais le Chili, lui, est resté. Il a maintenu l’architecture pure plus longtemps que tous les autres. Pas par fidélité au modèle, mais parce que la constitution de 1980, héritée de Pinochet, exige des majorités qualifiées qu’aucun gouvernement de centre-gauche n’a réunies avant 2025. Cette inertie institutionnelle a transformé le Chili en </w:t>
      </w:r>
      <w:r>
        <w:rPr>
          <w:b/>
          <w:bCs/>
        </w:rPr>
        <w:t>laboratoire involontaire</w:t>
      </w:r>
      <w:r>
        <w:t xml:space="preserve"> : quarante-cinq ans d’observation continue d’un système de capitalisation pure, sans pilier répartition concurrent, sans cotisation employeur, sans plancher universel à la création. Aucun autre pays n’offre cette épaisseur d’observation. C’est ce qui rend les chiffres chiliens incontournables.</w:t>
      </w:r>
    </w:p>
    <w:p w14:paraId="5870537A" w14:textId="77777777" w:rsidR="00BF0342" w:rsidRDefault="00000000">
      <w:pPr>
        <w:pStyle w:val="BodyText"/>
      </w:pPr>
      <w:r>
        <w:t>Quarante-cinq ans plus tard, les chiffres</w:t>
      </w:r>
    </w:p>
    <w:p w14:paraId="683F57EB" w14:textId="77777777" w:rsidR="00BF0342" w:rsidRDefault="00000000">
      <w:pPr>
        <w:pStyle w:val="BodyText"/>
      </w:pPr>
      <w:r>
        <w:t xml:space="preserve">Le taux de remplacement médian d’une cohorte chilienne entrée dans la vie active au début des années 1980 est, en 2021, de </w:t>
      </w:r>
      <w:r>
        <w:rPr>
          <w:b/>
          <w:bCs/>
        </w:rPr>
        <w:t>38,5 % pour les hommes et 35,4 % pour les femmes</w:t>
      </w:r>
      <w:r>
        <w:t xml:space="preserve">, selon l’OCDE - avant prise en compte de la </w:t>
      </w:r>
      <w:r>
        <w:rPr>
          <w:i/>
          <w:iCs/>
        </w:rPr>
        <w:t>Pensión Garantizada Universal</w:t>
      </w:r>
      <w:r>
        <w:rPr>
          <w:rStyle w:val="FootnoteReference"/>
        </w:rPr>
        <w:footnoteReference w:id="274"/>
      </w:r>
      <w:r>
        <w:t>. La moitié de la promesse Piñera. En intégrant la PGU créée en février 2022 par le gouvernement sortant Sebastián Piñera, l’OCDE 2023 réévalue le taux à 45,7 % pour les hommes et 43 % pour les femmes</w:t>
      </w:r>
      <w:r>
        <w:rPr>
          <w:rStyle w:val="FootnoteReference"/>
        </w:rPr>
        <w:footnoteReference w:id="275"/>
      </w:r>
      <w:r>
        <w:t>. C’est mieux, mais ça reste très en dessous des comparables : France 71,9 %, Pays-Bas 96 %, Allemagne 53 %, moyenne OCDE 50,7 %. Le Chili est, avec quelques autres, en queue de classement parmi les pays développés.</w:t>
      </w:r>
    </w:p>
    <w:p w14:paraId="611CC216" w14:textId="77777777" w:rsidR="00BF0342" w:rsidRDefault="00000000">
      <w:pPr>
        <w:pStyle w:val="BodyText"/>
      </w:pPr>
      <w:r>
        <w:t xml:space="preserve">Pension contributive moyenne effectivement versée par les AFP en 2024 : entre </w:t>
      </w:r>
      <w:r>
        <w:rPr>
          <w:b/>
          <w:bCs/>
        </w:rPr>
        <w:t>200 000 et 250 000 pesos chiliens par mois</w:t>
      </w:r>
      <w:r>
        <w:t xml:space="preserve">, soit </w:t>
      </w:r>
      <w:r>
        <w:rPr>
          <w:b/>
          <w:bCs/>
        </w:rPr>
        <w:t>210 à 270 dollars américains</w:t>
      </w:r>
      <w:r>
        <w:rPr>
          <w:rStyle w:val="FootnoteReference"/>
        </w:rPr>
        <w:footnoteReference w:id="276"/>
      </w:r>
      <w:r>
        <w:t xml:space="preserve">. À mettre en regard </w:t>
      </w:r>
      <w:r>
        <w:lastRenderedPageBreak/>
        <w:t>du salaire minimum chilien, fixé à 500 000 pesos en septembre 2024 - la pension AFP moyenne n’atteint pas la moitié du salaire minimum.</w:t>
      </w:r>
    </w:p>
    <w:p w14:paraId="274EBF87" w14:textId="77777777" w:rsidR="00BF0342" w:rsidRDefault="00000000">
      <w:pPr>
        <w:pStyle w:val="BodyText"/>
      </w:pPr>
      <w:r>
        <w:t xml:space="preserve">Le rendement, contrairement à une idée reçue, n’est pas le coupable principal. Les fonds AFP ont délivré un rendement réel élevé dans leurs deux premières décennies - de l’ordre de 8 à 10 % par an, net d’inflation et brut de frais, sur 1981-2003 -, avant de retomber, sur la période des </w:t>
      </w:r>
      <w:r>
        <w:rPr>
          <w:i/>
          <w:iCs/>
        </w:rPr>
        <w:t>multifondos</w:t>
      </w:r>
      <w:r>
        <w:t xml:space="preserve"> (depuis 2002), autour de 3,5 % réel pour le fonds équilibré</w:t>
      </w:r>
      <w:r>
        <w:rPr>
          <w:rStyle w:val="FootnoteReference"/>
        </w:rPr>
        <w:footnoteReference w:id="277"/>
      </w:r>
      <w:r>
        <w:t>. La mécanique d’accumulation a donc, sur la longue période, plutôt bien fonctionné. Ce qui a fait défaut, ce n’est pas le rendement brut, mais ce que les frais, les trous de cotisation et l’absence de cotisation patronale en ont laissé au cotisant - et le fait que les cohortes intégralement sous AFP ont accumulé l’essentiel de leur capital pendant la phase de rendements plus bas. La promesse des 70 % du dernier salaire ne s’est pas effondrée par insuffisance de rendement, mais par défaut d’architecture.</w:t>
      </w:r>
    </w:p>
    <w:p w14:paraId="13166959" w14:textId="77777777" w:rsidR="00BF0342" w:rsidRDefault="00000000">
      <w:pPr>
        <w:pStyle w:val="BodyText"/>
      </w:pPr>
      <w:r>
        <w:t xml:space="preserve">Les </w:t>
      </w:r>
      <w:r>
        <w:rPr>
          <w:b/>
          <w:bCs/>
        </w:rPr>
        <w:t>frais</w:t>
      </w:r>
      <w:r>
        <w:t xml:space="preserve"> sont l’autre dossier noir. Sept AFP se partagent le marché - Habitat, Cuprum, Capital, Provida, Modelo, Planvital, Uno. Selon la dernière licitation publique (SPP, 2023-2025), les commissions d’administration vont de </w:t>
      </w:r>
      <w:r>
        <w:rPr>
          <w:b/>
          <w:bCs/>
        </w:rPr>
        <w:t>0,46 % à 1,45 % du salaire brut</w:t>
      </w:r>
      <w:r>
        <w:t xml:space="preserve"> ; il faut y ajouter la prime SIS (</w:t>
      </w:r>
      <w:r>
        <w:rPr>
          <w:i/>
          <w:iCs/>
        </w:rPr>
        <w:t>Seguro de Invalidez y Sobrevivencia</w:t>
      </w:r>
      <w:r>
        <w:t xml:space="preserve">, assurance invalidité-décès) collectée par les AFP pour le compte d’un assureur tiers, à environ 1,5 %. </w:t>
      </w:r>
      <w:r>
        <w:rPr>
          <w:b/>
          <w:bCs/>
        </w:rPr>
        <w:t>Le total brut payé par le cotisant chilien est donc de l’ordre de 2 à 3 % du salaire brut par an</w:t>
      </w:r>
      <w:r>
        <w:rPr>
          <w:rStyle w:val="FootnoteReference"/>
        </w:rPr>
        <w:footnoteReference w:id="278"/>
      </w:r>
      <w:r>
        <w:t>. Sur quarante ans, cela ronge entre 25 et 35 % du capital final. À titre de comparaison, MySuper en Australie facture en médiane 0,27 % du capital géré par an, AP7 en Suède 0,05 %. L’oligopole AFP est devenu une rente extractive sur l’épargne retraite des Chiliens.</w:t>
      </w:r>
    </w:p>
    <w:p w14:paraId="5DD443DC" w14:textId="77777777" w:rsidR="00BF0342" w:rsidRDefault="00000000">
      <w:pPr>
        <w:pStyle w:val="BodyText"/>
      </w:pPr>
      <w:r>
        <w:t xml:space="preserve">Dernier maillon, la </w:t>
      </w:r>
      <w:r>
        <w:rPr>
          <w:b/>
          <w:bCs/>
        </w:rPr>
        <w:t>densité de cotisation</w:t>
      </w:r>
      <w:r>
        <w:t>. Le marché du travail chilien est informel à hauteur de 27 à 30 % selon les estimations INE, en réalité 37 à 40 % si l’on inclut les travailleurs des plateformes et les indépendants non déclarés</w:t>
      </w:r>
      <w:r>
        <w:rPr>
          <w:rStyle w:val="FootnoteReference"/>
        </w:rPr>
        <w:footnoteReference w:id="279"/>
      </w:r>
      <w:r>
        <w:t>. Les femmes, après leur premier enfant, sortent largement du salariat formel. Les jeunes alternent CDD et inactivité. Le Chilien moyen cotise effectivement 50 à 60 % du temps de sa carrière active, contre 80 à 90 % en Suède ou en France. Or un système strictement contributif, sans plancher universel solide et sans pilier paritaire compensateur, pénalise mécaniquement et lourdement les carrières interrompues.</w:t>
      </w:r>
    </w:p>
    <w:p w14:paraId="333C4888" w14:textId="77777777" w:rsidR="00BF0342" w:rsidRDefault="00000000">
      <w:pPr>
        <w:pStyle w:val="BodyText"/>
      </w:pPr>
      <w:r>
        <w:lastRenderedPageBreak/>
        <w:t xml:space="preserve">Cotisation salarié seule, densité faible, frais élevés. Ce sont les trois mécanismes qu’on cite habituellement pour expliquer l’échec chilien. Ils sont exacts. Mais ce sont </w:t>
      </w:r>
      <w:r>
        <w:rPr>
          <w:b/>
          <w:bCs/>
        </w:rPr>
        <w:t>trois conséquences d’une seule cause</w:t>
      </w:r>
      <w:r>
        <w:t xml:space="preserve"> : l’architecture d’origine. Capitalisation pure, à 100 %, sans paritarisme, sans plancher, sans pilier répartition complémentaire. Les Chicago Boys ont fait sauter, en 1980, tous les amortisseurs qui dans les autres pays absorbent les défaillances des carrières individuelles. C’est cette absence d’amortisseurs qui a transformé un instrument financier honnête - un fonds capitalisé à 3-4 % réel n’est pas une mauvaise chose en soi - en machine à produire de la pauvreté chez les retraités.</w:t>
      </w:r>
    </w:p>
    <w:p w14:paraId="2AB75BAE" w14:textId="77777777" w:rsidR="00BF0342" w:rsidRDefault="00000000">
      <w:pPr>
        <w:pStyle w:val="BodyText"/>
      </w:pPr>
      <w:r>
        <w:t>L’estallido, les retraits, et la perte de confiance</w:t>
      </w:r>
    </w:p>
    <w:p w14:paraId="5744E69F" w14:textId="77777777" w:rsidR="00BF0342" w:rsidRDefault="00000000">
      <w:pPr>
        <w:pStyle w:val="BodyText"/>
      </w:pPr>
      <w:r>
        <w:t>Le système AFP a fonctionné pendant trois décennies sans contestation majeure. Les premiers retraités servis à partir des années 2000-2010 sont des cohortes mixtes - qui ont cotisé partie en répartition, partie en AFP - et leurs pensions, même médiocres, restaient soutenables. À partir de 2010-2015, les cohortes qui n’ont connu que les AFP commencent à liquider leurs droits. La réalité éclate : la promesse de 70 % était fausse.</w:t>
      </w:r>
    </w:p>
    <w:p w14:paraId="09503563" w14:textId="77777777" w:rsidR="00BF0342" w:rsidRDefault="00000000">
      <w:pPr>
        <w:pStyle w:val="BodyText"/>
      </w:pPr>
      <w:r>
        <w:t xml:space="preserve">Le mouvement social </w:t>
      </w:r>
      <w:r>
        <w:rPr>
          <w:b/>
          <w:bCs/>
          <w:i/>
          <w:iCs/>
        </w:rPr>
        <w:t>No+AFP</w:t>
      </w:r>
      <w:r>
        <w:t xml:space="preserve"> naît en 2014, à l’initiative de Luis Mesina, un syndicaliste bancaire qui devient son visage. Sa première grande mobilisation a lieu le </w:t>
      </w:r>
      <w:r>
        <w:rPr>
          <w:b/>
          <w:bCs/>
        </w:rPr>
        <w:t>24 juillet 2016</w:t>
      </w:r>
      <w:r>
        <w:t xml:space="preserve"> : entre 750 000 et 1,5 million de personnes défilent à Santiago, ce qui en fait l’une des plus grandes manifestations de l’histoire du Chili démocratique</w:t>
      </w:r>
      <w:r>
        <w:rPr>
          <w:rStyle w:val="FootnoteReference"/>
        </w:rPr>
        <w:footnoteReference w:id="280"/>
      </w:r>
      <w:r>
        <w:t xml:space="preserve">. Le slogan : « </w:t>
      </w:r>
      <w:r>
        <w:rPr>
          <w:i/>
          <w:iCs/>
        </w:rPr>
        <w:t>No+AFP</w:t>
      </w:r>
      <w:r>
        <w:t xml:space="preserve"> », plus d’AFP. Sous-entendu : remettre la retraite dans le domaine public.</w:t>
      </w:r>
    </w:p>
    <w:p w14:paraId="651CBF59" w14:textId="77777777" w:rsidR="00BF0342" w:rsidRDefault="00000000">
      <w:pPr>
        <w:pStyle w:val="BodyText"/>
      </w:pPr>
      <w:r>
        <w:t xml:space="preserve">Pendant trois ans, rien ne bouge. Le gouvernement Bachelet, revenu au pouvoir en 2014, mandate la </w:t>
      </w:r>
      <w:r>
        <w:rPr>
          <w:b/>
          <w:bCs/>
        </w:rPr>
        <w:t>Comisión Bravo</w:t>
      </w:r>
      <w:r>
        <w:t xml:space="preserve"> - vingt-quatre experts nationaux et internationaux - qui rend en septembre 2015 un rapport sévère sur le système AFP. La droite, majoritaire au Sénat, bloque les recommandations. Le premier gouvernement Sebastián Piñera, élu en 2017, tente des ajustements paramétriques mineurs. Rien ne suffit.</w:t>
      </w:r>
    </w:p>
    <w:p w14:paraId="1AE5B5DE" w14:textId="77777777" w:rsidR="00BF0342" w:rsidRDefault="00000000">
      <w:pPr>
        <w:pStyle w:val="BodyText"/>
      </w:pPr>
      <w:r>
        <w:t xml:space="preserve">Le </w:t>
      </w:r>
      <w:r>
        <w:rPr>
          <w:b/>
          <w:bCs/>
        </w:rPr>
        <w:t>18 octobre 2019</w:t>
      </w:r>
      <w:r>
        <w:t>, une hausse de 30 pesos sur le tarif du métro de Santiago déclenche l’</w:t>
      </w:r>
      <w:r>
        <w:rPr>
          <w:b/>
          <w:bCs/>
          <w:i/>
          <w:iCs/>
        </w:rPr>
        <w:t>estallido social</w:t>
      </w:r>
      <w:r>
        <w:t xml:space="preserve">. Aucun analyste n’avait prévu l’ampleur de la révolte. Un slogan s’impose en quarante-huit heures : « </w:t>
      </w:r>
      <w:r>
        <w:rPr>
          <w:b/>
          <w:bCs/>
          <w:i/>
          <w:iCs/>
        </w:rPr>
        <w:t>No son 30 pesos, son 30 años</w:t>
      </w:r>
      <w:r>
        <w:t xml:space="preserve"> » - </w:t>
      </w:r>
      <w:r>
        <w:rPr>
          <w:i/>
          <w:iCs/>
        </w:rPr>
        <w:t>ce ne sont pas 30 pesos, ce sont 30 ans</w:t>
      </w:r>
      <w:r>
        <w:t>. Trente ans de promesse non tenue, trente ans de privatisations héritées de Pinochet, trente ans de classes moyennes en train de découvrir qu’elles passeraient leur vieillesse dans la précarité. Le système AFP est l’un des trois sujets centraux de la révolte, avec l’éducation et la santé.</w:t>
      </w:r>
    </w:p>
    <w:p w14:paraId="797EB4C6" w14:textId="77777777" w:rsidR="00BF0342" w:rsidRDefault="00000000">
      <w:pPr>
        <w:pStyle w:val="BodyText"/>
      </w:pPr>
      <w:r>
        <w:t xml:space="preserve">Le </w:t>
      </w:r>
      <w:r>
        <w:rPr>
          <w:b/>
          <w:bCs/>
        </w:rPr>
        <w:t>25 octobre 2020</w:t>
      </w:r>
      <w:r>
        <w:t xml:space="preserve">, le Chili organise un référendum constitutionnel sur la convocation d’une convention chargée d’écrire une nouvelle constitution. Résultat officiel SERVEL : </w:t>
      </w:r>
      <w:r>
        <w:rPr>
          <w:b/>
          <w:bCs/>
        </w:rPr>
        <w:t>78,27 % de</w:t>
      </w:r>
      <w:r>
        <w:t xml:space="preserve"> </w:t>
      </w:r>
      <w:r>
        <w:rPr>
          <w:b/>
          <w:bCs/>
          <w:i/>
          <w:iCs/>
        </w:rPr>
        <w:t>Apruebo</w:t>
      </w:r>
      <w:r>
        <w:rPr>
          <w:rStyle w:val="FootnoteReference"/>
        </w:rPr>
        <w:footnoteReference w:id="281"/>
      </w:r>
      <w:r>
        <w:t xml:space="preserve">. La constitution Pinochet, qui avait tenu quarante ans, est désavouée. Le texte de remplacement, écrit en 2021-2022 par une convention élue à </w:t>
      </w:r>
      <w:r>
        <w:lastRenderedPageBreak/>
        <w:t>dominante très à gauche, sera lui-même rejeté à 62 % en septembre 2022 - un second texte plus modéré sera également rejeté fin 2023. Le Chili reste donc avec sa constitution de 1980. Mais entre-temps, le rapport de force politique a basculé.</w:t>
      </w:r>
    </w:p>
    <w:p w14:paraId="0CEA19CD" w14:textId="77777777" w:rsidR="00BF0342" w:rsidRDefault="00000000">
      <w:pPr>
        <w:pStyle w:val="BodyText"/>
      </w:pPr>
      <w:r>
        <w:t xml:space="preserve">Et entre 2020 et 2022, le système AFP subit son coup le plus matériel. Sous la pression conjuguée de la pandémie et de l’opinion, le Congrès chilien vote </w:t>
      </w:r>
      <w:r>
        <w:rPr>
          <w:b/>
          <w:bCs/>
        </w:rPr>
        <w:t>trois autorisations exceptionnelles de retrait des fonds individuels</w:t>
      </w:r>
      <w:r>
        <w:t xml:space="preserve"> - 10 % du solde par vague. Total ponctionné sur les comptes AFP, additionné par la Banque centrale du Chili dans son working paper 991 et confirmé par la BIS : </w:t>
      </w:r>
      <w:r>
        <w:rPr>
          <w:b/>
          <w:bCs/>
        </w:rPr>
        <w:t>55,8 milliards de dollars américains</w:t>
      </w:r>
      <w:r>
        <w:t xml:space="preserve"> - soit 20,3 + 19,2 + 16,3 milliards sur les trois retraits successifs</w:t>
      </w:r>
      <w:r>
        <w:rPr>
          <w:rStyle w:val="FootnoteReference"/>
        </w:rPr>
        <w:footnoteReference w:id="282"/>
      </w:r>
      <w:r>
        <w:t xml:space="preserve">. C’est l’équivalent d’environ </w:t>
      </w:r>
      <w:r>
        <w:rPr>
          <w:b/>
          <w:bCs/>
        </w:rPr>
        <w:t>20 % du PIB chilien</w:t>
      </w:r>
      <w:r>
        <w:t>. Pour près de 30 % des affiliés, le compte AFP est intégralement vidé. La capitalisation, dans la perception collective, est devenue caisse d’urgence - exactement le contraire de ce pour quoi elle avait été créée.</w:t>
      </w:r>
    </w:p>
    <w:p w14:paraId="0BEC8958" w14:textId="77777777" w:rsidR="00BF0342" w:rsidRDefault="00000000">
      <w:pPr>
        <w:pStyle w:val="BodyText"/>
      </w:pPr>
      <w:r>
        <w:t>Si vous voulez mesurer la perte de confiance d’un pays dans son propre système de retraite, regardez les retraits. Les Chiliens, à qui on avait imposé d’épargner, ont saisi la première occasion légale pour récupérer leur argent. Cela ne dit pas qu’ils sont court-termistes. Cela dit qu’ils ne croyaient plus à ce qu’on leur avait promis.</w:t>
      </w:r>
    </w:p>
    <w:p w14:paraId="0C5DAD78" w14:textId="77777777" w:rsidR="00BF0342" w:rsidRDefault="00000000">
      <w:pPr>
        <w:pStyle w:val="BodyText"/>
      </w:pPr>
      <w:r>
        <w:t>Boric et la loi 21735 : le demi-tour officiel</w:t>
      </w:r>
    </w:p>
    <w:p w14:paraId="00D4866D" w14:textId="77777777" w:rsidR="00BF0342" w:rsidRDefault="00000000">
      <w:pPr>
        <w:pStyle w:val="BodyText"/>
      </w:pPr>
      <w:r>
        <w:t xml:space="preserve">La présidentielle de 2021 se joue dans ce climat. Premier tour, </w:t>
      </w:r>
      <w:r>
        <w:rPr>
          <w:b/>
          <w:bCs/>
        </w:rPr>
        <w:t>21 novembre 2021</w:t>
      </w:r>
      <w:r>
        <w:t xml:space="preserve"> : José Antonio Kast, candidat de la droite radicale, arrive en tête avec 27,9 % des voix ; Gabriel Boric, ancien leader étudiant devenu député, ancien visage du </w:t>
      </w:r>
      <w:r>
        <w:rPr>
          <w:i/>
          <w:iCs/>
        </w:rPr>
        <w:t>Frente Amplio</w:t>
      </w:r>
      <w:r>
        <w:t>, arrive deuxième avec 25,8 %</w:t>
      </w:r>
      <w:r>
        <w:rPr>
          <w:rStyle w:val="FootnoteReference"/>
        </w:rPr>
        <w:footnoteReference w:id="283"/>
      </w:r>
      <w:r>
        <w:t xml:space="preserve">. Second tour, </w:t>
      </w:r>
      <w:r>
        <w:rPr>
          <w:b/>
          <w:bCs/>
        </w:rPr>
        <w:t>19 décembre 2021</w:t>
      </w:r>
      <w:r>
        <w:t xml:space="preserve"> : Boric l’emporte avec </w:t>
      </w:r>
      <w:r>
        <w:rPr>
          <w:b/>
          <w:bCs/>
        </w:rPr>
        <w:t>55,87 % contre 44,13 %</w:t>
      </w:r>
      <w:r>
        <w:t xml:space="preserve"> à Kast. Trente-cinq ans, plus jeune président de l’histoire chilienne. Investiture le 11 mars 2022. Programme : refonte du système de retraite.</w:t>
      </w:r>
    </w:p>
    <w:p w14:paraId="7435AF0E" w14:textId="77777777" w:rsidR="00BF0342" w:rsidRDefault="00000000">
      <w:pPr>
        <w:pStyle w:val="BodyText"/>
      </w:pPr>
      <w:r>
        <w:t xml:space="preserve">Trois ans de négociation. Boric arrive avec un Congrès fragmenté où aucune majorité n’est acquise. Sa première version du projet, présentée en 2022, est jugée trop radicale et bloquée. Il revient en 2023 avec une mouture plus consensuelle, retravaillée article par article avec la droite et les centristes. Plusieurs allers-retours entre la Chambre et le Sénat. Finalement, le </w:t>
      </w:r>
      <w:r>
        <w:rPr>
          <w:b/>
          <w:bCs/>
        </w:rPr>
        <w:t>29 janvier 2025</w:t>
      </w:r>
      <w:r>
        <w:t xml:space="preserve">, le projet est adopté en lecture finale par </w:t>
      </w:r>
      <w:r>
        <w:rPr>
          <w:b/>
          <w:bCs/>
        </w:rPr>
        <w:t>110 voix pour, 38 contre</w:t>
      </w:r>
      <w:r>
        <w:t xml:space="preserve"> - un score qui surprend tout le monde, y compris au sein du gouvernement</w:t>
      </w:r>
      <w:r>
        <w:rPr>
          <w:rStyle w:val="FootnoteReference"/>
        </w:rPr>
        <w:footnoteReference w:id="284"/>
      </w:r>
      <w:r>
        <w:t xml:space="preserve">. La </w:t>
      </w:r>
      <w:r>
        <w:rPr>
          <w:b/>
          <w:bCs/>
        </w:rPr>
        <w:t>Loi n° 21735</w:t>
      </w:r>
      <w:r>
        <w:t xml:space="preserve"> est promulguée et publiée au </w:t>
      </w:r>
      <w:r>
        <w:rPr>
          <w:i/>
          <w:iCs/>
        </w:rPr>
        <w:t>Diario Oficial</w:t>
      </w:r>
      <w:r>
        <w:t xml:space="preserve"> en mars 2025.</w:t>
      </w:r>
    </w:p>
    <w:p w14:paraId="4A89936A" w14:textId="77777777" w:rsidR="00BF0342" w:rsidRDefault="00000000">
      <w:pPr>
        <w:pStyle w:val="BodyText"/>
      </w:pPr>
      <w:r>
        <w:t>Ce que change la loi 21735 mérite d’être lu lentement, parce que c’est l’aveu, par le législateur chilien lui-même, des limites de la capitalisation pure.</w:t>
      </w:r>
    </w:p>
    <w:p w14:paraId="1AE91AF5" w14:textId="77777777" w:rsidR="00BF0342" w:rsidRDefault="00000000">
      <w:pPr>
        <w:pStyle w:val="BodyText"/>
      </w:pPr>
      <w:r>
        <w:lastRenderedPageBreak/>
        <w:t xml:space="preserve">Premier changement : </w:t>
      </w:r>
      <w:r>
        <w:rPr>
          <w:b/>
          <w:bCs/>
        </w:rPr>
        <w:t>introduction d’une cotisation patronale, montant progressivement à 8,5 % à l’horizon 2035</w:t>
      </w:r>
      <w:r>
        <w:t xml:space="preserve">, contre </w:t>
      </w:r>
      <w:r>
        <w:rPr>
          <w:b/>
          <w:bCs/>
        </w:rPr>
        <w:t>zéro depuis 1981</w:t>
      </w:r>
      <w:r>
        <w:rPr>
          <w:rStyle w:val="FootnoteReference"/>
        </w:rPr>
        <w:footnoteReference w:id="285"/>
      </w:r>
      <w:r>
        <w:t xml:space="preserve">. La décomposition de ces 8,5 % est instructive : 4,5 points vont alimenter le compte AFP individuel du salarié ; 1,5 point alimente un mécanisme de prêt remboursable individuel via un nouveau fonds public, le </w:t>
      </w:r>
      <w:r>
        <w:rPr>
          <w:b/>
          <w:bCs/>
        </w:rPr>
        <w:t>FAPP</w:t>
      </w:r>
      <w:r>
        <w:t xml:space="preserve"> (</w:t>
      </w:r>
      <w:r>
        <w:rPr>
          <w:i/>
          <w:iCs/>
        </w:rPr>
        <w:t>Fondo Autónomo de Protección Previsional</w:t>
      </w:r>
      <w:r>
        <w:t>) ; 2,5 points alimentent une composante intergénérationnelle et de genre du même FAPP, qui n’est pas remboursée et qui sert à compenser les écarts entre cohortes et entre hommes et femmes.</w:t>
      </w:r>
    </w:p>
    <w:p w14:paraId="7BBBED7C" w14:textId="77777777" w:rsidR="00BF0342" w:rsidRDefault="00000000">
      <w:pPr>
        <w:pStyle w:val="BodyText"/>
      </w:pPr>
      <w:r>
        <w:t xml:space="preserve">C’est ce </w:t>
      </w:r>
      <w:r>
        <w:rPr>
          <w:b/>
          <w:bCs/>
        </w:rPr>
        <w:t>FAPP</w:t>
      </w:r>
      <w:r>
        <w:t xml:space="preserve"> qui constitue la rupture structurelle. Pour la première fois depuis 1981, le système chilien réintroduit un </w:t>
      </w:r>
      <w:r>
        <w:rPr>
          <w:b/>
          <w:bCs/>
        </w:rPr>
        <w:t>pilier solidaire géré publiquement</w:t>
      </w:r>
      <w:r>
        <w:t>, financé en partie par une cotisation patronale obligatoire - c’est-à-dire, fonctionnellement, un pilier de répartition. Le FAPP n’est pas un fonds AFP. Il n’est pas en concurrence. Il est public, mutualisé, à logique solidaire. Exactement ce que José Piñera avait passé sa vie à refuser.</w:t>
      </w:r>
    </w:p>
    <w:p w14:paraId="7392AEFF" w14:textId="77777777" w:rsidR="00BF0342" w:rsidRDefault="00000000">
      <w:pPr>
        <w:pStyle w:val="BodyText"/>
      </w:pPr>
      <w:r>
        <w:t xml:space="preserve">Deuxième changement : </w:t>
      </w:r>
      <w:r>
        <w:rPr>
          <w:b/>
          <w:bCs/>
        </w:rPr>
        <w:t>renforcement de la PGU</w:t>
      </w:r>
      <w:r>
        <w:t xml:space="preserve">, </w:t>
      </w:r>
      <w:r>
        <w:rPr>
          <w:i/>
          <w:iCs/>
        </w:rPr>
        <w:t>Pensión Garantizada Universal</w:t>
      </w:r>
      <w:r>
        <w:t>. Créée par Sebastián Piñera en février 2022, la PGU verse une pension d’État financée par l’impôt à tous les retraités de plus de 65 ans, à l’exclusion du décile le plus riche. La loi 21735 en élève le montant et en élargit l’éligibilité. La PGU est, désormais, le plancher universel que le système Piñera-Chicago Boys avait refusé pendant quarante ans.</w:t>
      </w:r>
    </w:p>
    <w:p w14:paraId="5D505DB4" w14:textId="77777777" w:rsidR="00BF0342" w:rsidRDefault="00000000">
      <w:pPr>
        <w:pStyle w:val="BodyText"/>
      </w:pPr>
      <w:r>
        <w:t xml:space="preserve">Troisième changement : </w:t>
      </w:r>
      <w:r>
        <w:rPr>
          <w:b/>
          <w:bCs/>
        </w:rPr>
        <w:t>encadrement renforcé des frais AFP</w:t>
      </w:r>
      <w:r>
        <w:t xml:space="preserve">, avec mécanisme de licitation publique compétitive, et </w:t>
      </w:r>
      <w:r>
        <w:rPr>
          <w:b/>
          <w:bCs/>
        </w:rPr>
        <w:t>séparation effective de la collecte du SIS</w:t>
      </w:r>
      <w:r>
        <w:t xml:space="preserve"> des comptes administratifs des AFP, pour casser les marges d’oligopole.</w:t>
      </w:r>
    </w:p>
    <w:p w14:paraId="6F279FF9" w14:textId="77777777" w:rsidR="00BF0342" w:rsidRDefault="00000000">
      <w:pPr>
        <w:pStyle w:val="BodyText"/>
      </w:pPr>
      <w:r>
        <w:t xml:space="preserve">Projection OCDE de novembre 2025 : à terme, une fois la réforme pleinement déployée, le taux de remplacement net médian devrait passer de </w:t>
      </w:r>
      <w:r>
        <w:rPr>
          <w:b/>
          <w:bCs/>
        </w:rPr>
        <w:t>38,5 % / 35,4 % (cohorte historique sans PGU)</w:t>
      </w:r>
      <w:r>
        <w:t xml:space="preserve"> à environ </w:t>
      </w:r>
      <w:r>
        <w:rPr>
          <w:b/>
          <w:bCs/>
        </w:rPr>
        <w:t>61,3 % pour les hommes et 61,1 % pour les femmes</w:t>
      </w:r>
      <w:r>
        <w:rPr>
          <w:rStyle w:val="FootnoteReference"/>
        </w:rPr>
        <w:footnoteReference w:id="286"/>
      </w:r>
      <w:r>
        <w:t>. Premier pas vers la moyenne OCDE. Pas encore le standard suédois ou hollandais, mais une convergence.</w:t>
      </w:r>
    </w:p>
    <w:p w14:paraId="5E310EA3" w14:textId="77777777" w:rsidR="00BF0342" w:rsidRDefault="00000000">
      <w:pPr>
        <w:pStyle w:val="BodyText"/>
      </w:pPr>
      <w:r>
        <w:t xml:space="preserve">Le Chili </w:t>
      </w:r>
      <w:r>
        <w:rPr>
          <w:b/>
          <w:bCs/>
        </w:rPr>
        <w:t>n’abolit pas les AFP</w:t>
      </w:r>
      <w:r>
        <w:t xml:space="preserve">. Elles continuent d’exister, elles continuent de gérer la part individuelle de l’épargne retraite. Mais le pays vient officiellement, à 110 voix contre 38, </w:t>
      </w:r>
      <w:r>
        <w:rPr>
          <w:b/>
          <w:bCs/>
        </w:rPr>
        <w:t>de réintégrer dans son système une cotisation patronale, un pilier solidaire public, et un plancher universel</w:t>
      </w:r>
      <w:r>
        <w:t>. Trois des quatre invariants identifiés dans les trois sections précédentes du chapitre. C’est, au fond, l’aveu législatif d’un pays entier : la capitalisation pure ne tient pas socialement.</w:t>
      </w:r>
    </w:p>
    <w:p w14:paraId="1B0B74BC" w14:textId="77777777" w:rsidR="00BF0342" w:rsidRDefault="00000000">
      <w:pPr>
        <w:pStyle w:val="BodyText"/>
      </w:pPr>
      <w:r>
        <w:t>Leçon française</w:t>
      </w:r>
    </w:p>
    <w:p w14:paraId="218A0AE5" w14:textId="77777777" w:rsidR="00BF0342" w:rsidRDefault="00000000">
      <w:pPr>
        <w:pStyle w:val="BodyText"/>
      </w:pPr>
      <w:r>
        <w:lastRenderedPageBreak/>
        <w:t>Il faut dire ce que le cas chilien prouve, et aussi ce qu’il ne prouve pas.</w:t>
      </w:r>
    </w:p>
    <w:p w14:paraId="47D0A851" w14:textId="77777777" w:rsidR="00BF0342" w:rsidRDefault="00000000">
      <w:pPr>
        <w:pStyle w:val="BodyText"/>
      </w:pPr>
      <w:r>
        <w:t xml:space="preserve">Il ne prouve pas que la capitalisation soit en elle-même un échec. Le rendement réel net des fonds AFP entre 1981 et 2024, autour de 3-4 % par an, est honorable. Sur la durée, la mécanique d’accumulation a fonctionné. Le problème n’est pas la capitalisation. Le problème est </w:t>
      </w:r>
      <w:r>
        <w:rPr>
          <w:b/>
          <w:bCs/>
        </w:rPr>
        <w:t>la capitalisation seule, sans paritarisme, sans cotisation employeur, sans plancher universel, sans pilier répartition complémentaire</w:t>
      </w:r>
      <w:r>
        <w:t>.</w:t>
      </w:r>
    </w:p>
    <w:p w14:paraId="2AD5FCF3" w14:textId="77777777" w:rsidR="00BF0342" w:rsidRDefault="00000000">
      <w:pPr>
        <w:pStyle w:val="BodyText"/>
      </w:pPr>
      <w:r>
        <w:t>Il prouve, en revanche, qu’un système de retraite construit sur un seul pilier - quel qu’il soit - finit par échouer. La France, depuis 1945, parie sur un seul pilier en répartition ; le Chili, depuis 1981, a parié sur un seul pilier en capitalisation. Les deux extrêmes échouent à leur manière. La France échoue par insoutenabilité budgétaire - la première partie l’a documenté. Le Chili a échoué par insuffisance des prestations et par perte de confiance - la révolte d’octobre 2019 et les retraits COVID le matérialisent. Aucun système monolithique ne tient quarante ans.</w:t>
      </w:r>
    </w:p>
    <w:p w14:paraId="6E55C1BA" w14:textId="77777777" w:rsidR="00BF0342" w:rsidRDefault="00000000">
      <w:pPr>
        <w:pStyle w:val="BodyText"/>
      </w:pPr>
      <w:r>
        <w:t>Les pays qui tiennent sont multipiliers. Suède, Australie, Pays-Bas, Singapour, Danemark, Suisse : tous combinent un socle public obligatoire et un étage capitalisé, paritaire ou patronal, encadré par un défaut public à frais bas et complété par un plancher solidaire. Le Chili rejoint, en 2025, ce club. La France, en 2026, hésite encore à le faire.</w:t>
      </w:r>
    </w:p>
    <w:p w14:paraId="6AF5F966" w14:textId="77777777" w:rsidR="00BF0342" w:rsidRDefault="00000000">
      <w:pPr>
        <w:pStyle w:val="BodyText"/>
      </w:pPr>
      <w:r>
        <w:t xml:space="preserve">C’est précisément la position défendue depuis l’avant-propos de ce livre : </w:t>
      </w:r>
      <w:r>
        <w:rPr>
          <w:i/>
          <w:iCs/>
        </w:rPr>
        <w:t>la capitalisation française doit être un complément à la répartition, pas un substitut</w:t>
      </w:r>
      <w:r>
        <w:t>. Le contre-exemple chilien la confirme par l’absurde. Quarante-cinq ans d’expérience scientifique unique au monde, trois millions de retraités à pensions insuffisantes, une révolte sociale d’ampleur historique, et finalement un demi-tour législatif voté à 110 contre 38. C’est cher payé pour démontrer une évidence. Mais c’est démontré.</w:t>
      </w:r>
    </w:p>
    <w:p w14:paraId="796DAF6B" w14:textId="77777777" w:rsidR="00BF0342" w:rsidRDefault="00000000">
      <w:pPr>
        <w:pStyle w:val="BodyText"/>
      </w:pPr>
      <w:r>
        <w:t>Reste à en tirer les conséquences. C’est précisément l’objet de la section qui suit.</w:t>
      </w:r>
    </w:p>
    <w:p w14:paraId="7FEF9554" w14:textId="77777777" w:rsidR="00BF0342" w:rsidRDefault="00000000">
      <w:pPr>
        <w:pStyle w:val="Heading3"/>
      </w:pPr>
      <w:bookmarkStart w:id="90" w:name="quatre-leçons-pour-la-france"/>
      <w:bookmarkStart w:id="91" w:name="_Toc233036210"/>
      <w:bookmarkEnd w:id="88"/>
      <w:r>
        <w:t>Quatre leçons pour la France</w:t>
      </w:r>
      <w:bookmarkEnd w:id="91"/>
    </w:p>
    <w:p w14:paraId="2540A24A" w14:textId="77777777" w:rsidR="00BF0342" w:rsidRDefault="00000000">
      <w:pPr>
        <w:pStyle w:val="FirstParagraph"/>
      </w:pPr>
      <w:r>
        <w:t>Quatre pays, quatre histoires, et finalement une boussole assez nette. Si l’on cherche, par-delà les modulations nationales, ce que ces quatre cas ont en commun - y compris le Chili, par défaut -, on tombe sur quatre invariants. Ils ne se discutent pas ; ce sont les conditions sans lesquelles une réforme de capitalisation ne tient pas dans la durée.</w:t>
      </w:r>
    </w:p>
    <w:p w14:paraId="3B9EC494" w14:textId="77777777" w:rsidR="00BF0342" w:rsidRDefault="00000000">
      <w:pPr>
        <w:pStyle w:val="BodyText"/>
      </w:pPr>
      <w:r>
        <w:rPr>
          <w:b/>
          <w:bCs/>
        </w:rPr>
        <w:t>Premier invariant : la cotisation patronale obligatoire.</w:t>
      </w:r>
      <w:r>
        <w:t xml:space="preserve"> L’Australie l’a au cœur - 12 % de cotisation versée par l’employeur. La Suède l’a sous une forme légèrement différente - les régimes professionnels paritaires ITP et SAF-LO, à 4-5 % du salaire, négociés par convention collective et obligatoires </w:t>
      </w:r>
      <w:r>
        <w:rPr>
          <w:i/>
          <w:iCs/>
        </w:rPr>
        <w:t>de facto</w:t>
      </w:r>
      <w:r>
        <w:t xml:space="preserve">. Singapour l’a aussi - 17 % patronal, 20 % salarié sous les 55 ans. Et le Chili, qui ne l’avait pas, vient de se résoudre à l’introduire - 7 % de cotisation patronale nouvelle, soit 8,5 % au total avec l’assurance invalidité-décès - étalée sur dix ans, après quarante-cinq ans de blocage. Quatre pays sur quatre, </w:t>
      </w:r>
      <w:r>
        <w:rPr>
          <w:i/>
          <w:iCs/>
        </w:rPr>
        <w:t>au final</w:t>
      </w:r>
      <w:r>
        <w:t xml:space="preserve">, posent que le pilier capitalisé doit reposer sur l’employeur autant que sur le salarié. C’est l’invariant le plus dur, parce que c’est celui qui se heurte de plein fouet à l’objection française du « double paiement ». Mais c’est aussi celui qui rend la capitalisation </w:t>
      </w:r>
      <w:r>
        <w:lastRenderedPageBreak/>
        <w:t>politiquement supportable : sans contribution patronale, l’épargne forcée est perçue comme une amputation de salaire, et le système se brise socialement avant d’avoir financièrement mûri.</w:t>
      </w:r>
    </w:p>
    <w:p w14:paraId="54E8377C" w14:textId="77777777" w:rsidR="00BF0342" w:rsidRDefault="00000000">
      <w:pPr>
        <w:pStyle w:val="BodyText"/>
      </w:pPr>
      <w:r>
        <w:rPr>
          <w:b/>
          <w:bCs/>
        </w:rPr>
        <w:t>Deuxième invariant : le plancher universel.</w:t>
      </w:r>
      <w:r>
        <w:t xml:space="preserve"> Suède : </w:t>
      </w:r>
      <w:r>
        <w:rPr>
          <w:i/>
          <w:iCs/>
        </w:rPr>
        <w:t>garantipension</w:t>
      </w:r>
      <w:r>
        <w:t xml:space="preserve">, 1,2 million de bénéficiaires. Australie : </w:t>
      </w:r>
      <w:r>
        <w:rPr>
          <w:i/>
          <w:iCs/>
        </w:rPr>
        <w:t>Age Pension</w:t>
      </w:r>
      <w:r>
        <w:t xml:space="preserve">, qui couvre encore une majorité de retraités au-dessus d’un seuil de moyens. Singapour : </w:t>
      </w:r>
      <w:r>
        <w:rPr>
          <w:i/>
          <w:iCs/>
        </w:rPr>
        <w:t>Silver Support Scheme</w:t>
      </w:r>
      <w:r>
        <w:t xml:space="preserve">, qui assure un revenu minimum aux 20-30 % les plus modestes. Chili : </w:t>
      </w:r>
      <w:r>
        <w:rPr>
          <w:i/>
          <w:iCs/>
        </w:rPr>
        <w:t>Pensión Garantizada Universal</w:t>
      </w:r>
      <w:r>
        <w:t>, créée tardivement après l’échec du système AFP pur. Aucun pays développé n’a fait fonctionner durablement un pilier capitalisé sans filet en bas. La capitalisation peut être généreuse pour la classe moyenne ; elle est mortifère pour les carrières fragmentées, pour les femmes interrompues, pour les indépendants intermittents, pour les chômeurs récurrents. Le plancher universel, financé par l’impôt et non par les cotisations, est la condition non négociable.</w:t>
      </w:r>
    </w:p>
    <w:p w14:paraId="6BA56217" w14:textId="77777777" w:rsidR="00BF0342" w:rsidRDefault="00000000">
      <w:pPr>
        <w:pStyle w:val="BodyText"/>
      </w:pPr>
      <w:r>
        <w:rPr>
          <w:b/>
          <w:bCs/>
        </w:rPr>
        <w:t>Troisième invariant : le fonds par défaut bien conçu.</w:t>
      </w:r>
      <w:r>
        <w:t xml:space="preserve"> AP7 Såfa en Suède, MySuper en Australie, le CPF lui-même à Singapour fonctionnent tous selon le même principe. </w:t>
      </w:r>
      <w:r>
        <w:rPr>
          <w:i/>
          <w:iCs/>
        </w:rPr>
        <w:t>Le cotisant qui ne choisit rien doit se retrouver automatiquement dans un produit honnête, peu coûteux, géré par un acteur public ou para-public, avec une gestion en cycle de vie pour amortir le risque à l’approche de la retraite.</w:t>
      </w:r>
      <w:r>
        <w:t xml:space="preserve"> C’est ce qui désarme l’argument culturel français : </w:t>
      </w:r>
      <w:r>
        <w:rPr>
          <w:i/>
          <w:iCs/>
        </w:rPr>
        <w:t>« les Français ne savent pas investir »</w:t>
      </w:r>
      <w:r>
        <w:t xml:space="preserve">. Personne, dans un système bien conçu, ne </w:t>
      </w:r>
      <w:r>
        <w:rPr>
          <w:i/>
          <w:iCs/>
        </w:rPr>
        <w:t>doit</w:t>
      </w:r>
      <w:r>
        <w:t xml:space="preserve"> savoir investir. C’est le défaut qui fait le travail. AP7 a 40 % des cotisants suédois, MySuper plus de 80 % des Australiens. L’inverse du PER français, ses centaines de supports, ses frais opaques, ses contrats commerciaux distribués comme des Tupperware.</w:t>
      </w:r>
    </w:p>
    <w:p w14:paraId="42B10896" w14:textId="77777777" w:rsidR="00BF0342" w:rsidRDefault="00000000">
      <w:pPr>
        <w:pStyle w:val="BodyText"/>
      </w:pPr>
      <w:r>
        <w:rPr>
          <w:b/>
          <w:bCs/>
        </w:rPr>
        <w:t>Quatrième invariant : le pacte politique transpartisan.</w:t>
      </w:r>
      <w:r>
        <w:t xml:space="preserve"> Suède 1994 - 85 % du Parlement. Australie 1985 - accord Hawke-Keating-ACTU, ratifié par tous les gouvernements suivants y compris ceux de la Coalition. Singapour - soixante-dix ans de continuité institutionnelle, le PAP au pouvoir sans discontinuer mais avec une opposition modérée qui n’a jamais remis en cause le CPF. Et </w:t>
      </w:r>
      <w:r>
        <w:rPr>
          <w:i/>
          <w:iCs/>
        </w:rPr>
        <w:t>a contrario</w:t>
      </w:r>
      <w:r>
        <w:t>, le Chili : DL 3500 imposé sans débat parlementaire, sans pacte social, sans légitimité démocratique, fragilisé pendant quarante-cinq ans, finalement réformé après une explosion sociale. La capitalisation tient quand elle est négociée. Elle casse quand elle est imposée. Le pacte préalable n’est pas un luxe institutionnel ; c’est la condition de durée.</w:t>
      </w:r>
    </w:p>
    <w:p w14:paraId="1CA3427A" w14:textId="77777777" w:rsidR="00BF0342" w:rsidRDefault="00000000">
      <w:pPr>
        <w:pStyle w:val="BodyText"/>
      </w:pPr>
      <w:r>
        <w:t>Quatre invariants, donc, et pas un de plus. La France peut imaginer toutes les configurations qu’elle voudra autour de ces quatre repères - copier la Suède, hybrider l’Australie, s’inspirer de Singapour, fuir le Chili. Ce sont des modulations. Mais les quatre invariants sont incompressibles : enlevez la cotisation patronale, vous fabriquez un Chili ; enlevez le plancher universel, vous fabriquez un Chili ; enlevez le default fund, vous fabriquez un système PER élargi qui n’accueillera que les CSP+ ; enlevez le pacte transpartisan, vous fabriquez une réforme qui sera défaite à la prochaine alternance.</w:t>
      </w:r>
    </w:p>
    <w:p w14:paraId="3E3A0FF2" w14:textId="77777777" w:rsidR="00BF0342" w:rsidRDefault="00000000">
      <w:pPr>
        <w:pStyle w:val="BodyText"/>
      </w:pPr>
      <w:r>
        <w:t xml:space="preserve">La question qui reste, après ces quatre histoires, est </w:t>
      </w:r>
      <w:r>
        <w:rPr>
          <w:i/>
          <w:iCs/>
        </w:rPr>
        <w:t>qui</w:t>
      </w:r>
      <w:r>
        <w:t xml:space="preserve">. Qui en France peut tenir le rôle d’Ingvar Carlsson et de Carl Bildt - un Premier ministre social-démocrate et un chef de </w:t>
      </w:r>
      <w:r>
        <w:lastRenderedPageBreak/>
        <w:t>l’opposition conservatrice acceptant de négocier ensemble une réforme générationnelle ? Qui peut tenir le rôle de Bill Kelty - un dirigeant syndical national assez puissant et assez visionnaire pour échanger de la modération salariale contre du capital différé ? Qui peut tenir le rôle de Lee Kuan Yew et Goh Keng Swee - un binôme politico-technique avec assez de durée pour faire mûrir l’instrument sur trente ans ?</w:t>
      </w:r>
    </w:p>
    <w:p w14:paraId="548297A5" w14:textId="77777777" w:rsidR="00BF0342" w:rsidRDefault="00000000">
      <w:pPr>
        <w:pStyle w:val="BodyText"/>
      </w:pPr>
      <w:r>
        <w:t xml:space="preserve">Ces noms, en France, ne sont pas évidents. Ils ne sont pas évidents, et c’est précisément pour cela qu’il faut les chercher. La fenêtre qui s’ouvre, en 2027, n’autorise pas l’attente. Cinq des sept partis suédois ont signé en 1994 parce qu’ils ont collectivement compris que le pays n’avait pas le luxe de cinq ans de plus de paramétrique. La France, en 2027, n’aura pas non plus ce luxe. Le chapitre suivant va le montrer en démontant, une à une, les cinq objections que nos quarante dernières années ont accumulées contre la capitalisation. Quatre des cinq sont déjà fragilisées par les quatre cas que nous venons de visiter. La cinquième - </w:t>
      </w:r>
      <w:r>
        <w:rPr>
          <w:i/>
          <w:iCs/>
        </w:rPr>
        <w:t>« le double paiement est insurmontable »</w:t>
      </w:r>
      <w:r>
        <w:t xml:space="preserve"> - exige un développement particulier. C’est elle qui empêche, en France, le pacte qui ailleurs a tenu. C’est par elle qu’il faudra commencer.</w:t>
      </w:r>
    </w:p>
    <w:p w14:paraId="310081E3" w14:textId="77777777" w:rsidR="00BF0342" w:rsidRDefault="00000000">
      <w:pPr>
        <w:pStyle w:val="Heading2"/>
      </w:pPr>
      <w:bookmarkStart w:id="92" w:name="les-enjeux-à-arbitrer"/>
      <w:bookmarkStart w:id="93" w:name="_Toc233036211"/>
      <w:bookmarkEnd w:id="80"/>
      <w:bookmarkEnd w:id="90"/>
      <w:r>
        <w:t>Les enjeux à arbitrer</w:t>
      </w:r>
      <w:bookmarkEnd w:id="93"/>
    </w:p>
    <w:p w14:paraId="7B83BF59" w14:textId="77777777" w:rsidR="00BF0342" w:rsidRDefault="00000000">
      <w:pPr>
        <w:pStyle w:val="FirstParagraph"/>
      </w:pPr>
      <w:r>
        <w:t>Cesser de raconter pourquoi c’est impossible. Regarder ce que d’autres ont fait. Tracer la route, sur vingt-cinq ans, qui mène d’ici à un système robuste. Cette partie y répond, sans détours : les modèles utiles, ceux à éviter, et la trajectoire opérationnelle pour la France.</w:t>
      </w:r>
    </w:p>
    <w:p w14:paraId="0850AA07" w14:textId="77777777" w:rsidR="00BF0342" w:rsidRDefault="00000000">
      <w:pPr>
        <w:pStyle w:val="BodyText"/>
      </w:pPr>
      <w:r>
        <w:t>Le chapitre précédent a refermé une boussole : quatre invariants tiennent partout où la capitalisation a duré. Cotisation patronale obligatoire, plancher universel, fonds par défaut bien conçu, pacte transpartisan signé avant le vote. Reste à savoir comment la France peut, à son tour, les inscrire dans une loi qui survive aux alternances.</w:t>
      </w:r>
    </w:p>
    <w:p w14:paraId="19978937" w14:textId="77777777" w:rsidR="00BF0342" w:rsidRDefault="00000000">
      <w:pPr>
        <w:pStyle w:val="BodyText"/>
      </w:pPr>
      <w:r>
        <w:t>Vingt-cinq ans, ce n’est ni un slogan ni une promesse. C’est ce que l’Australie a mis pour porter sa cotisation patronale de 3 à 12 %, l’horizon que la Suède a négocié entre les cohortes 1938 et 1954, la fenêtre minimale qu’aucune transition étrangère n’a sue raccourcir sans casser. La France n’aura pas moins.</w:t>
      </w:r>
    </w:p>
    <w:p w14:paraId="6577BF12" w14:textId="77777777" w:rsidR="00BF0342" w:rsidRDefault="00000000">
      <w:pPr>
        <w:pStyle w:val="BodyText"/>
      </w:pPr>
      <w:r>
        <w:t>Le chapitre répond donc à une triple question. Quels sont les enjeux structurels à arbitrer ? Quelle méthode politique pour les arbitrer ? Quel calendrier opérationnel sur vingt-cinq ans ? Trois questions, trois sections. Les enjeux. La méthode. L’agenda.</w:t>
      </w:r>
    </w:p>
    <w:p w14:paraId="3DEA094E" w14:textId="77777777" w:rsidR="00BF0342" w:rsidRDefault="00000000">
      <w:pPr>
        <w:pStyle w:val="BodyText"/>
      </w:pPr>
      <w:r>
        <w:t>5.1 L’enjeu de la temporalité</w:t>
      </w:r>
    </w:p>
    <w:p w14:paraId="5673C12A" w14:textId="77777777" w:rsidR="00BF0342" w:rsidRDefault="00000000">
      <w:pPr>
        <w:pStyle w:val="BodyText"/>
      </w:pPr>
      <w:r>
        <w:t>La première équation n’est pas financière. Elle est temporelle.</w:t>
      </w:r>
    </w:p>
    <w:p w14:paraId="31C63B34" w14:textId="77777777" w:rsidR="00BF0342" w:rsidRDefault="00000000">
      <w:pPr>
        <w:pStyle w:val="BodyText"/>
      </w:pPr>
      <w:r>
        <w:t xml:space="preserve">Le débat français oscille depuis trente ans entre deux mirages. </w:t>
      </w:r>
      <w:r>
        <w:rPr>
          <w:i/>
          <w:iCs/>
        </w:rPr>
        <w:t>« Tout, tout de suite »</w:t>
      </w:r>
      <w:r>
        <w:t xml:space="preserve"> - la version idéaliste, qui imagine qu’une réforme structurelle peut entrer en vigueur à cent pour cent dans un mandat présidentiel. </w:t>
      </w:r>
      <w:r>
        <w:rPr>
          <w:i/>
          <w:iCs/>
        </w:rPr>
        <w:t>« Ce sera trop long, donc inutile »</w:t>
      </w:r>
      <w:r>
        <w:t xml:space="preserve"> - la version résignée, qui justifie l’inaction par la durée. Les cas étrangers tranchent net. Suède : trois ans de négociation, cinq ans de loi, seize ans de cohortes. Royaume-Uni : six ans de Pensions Commission, sept ans de </w:t>
      </w:r>
      <w:r>
        <w:rPr>
          <w:i/>
          <w:iCs/>
        </w:rPr>
        <w:t>staging</w:t>
      </w:r>
      <w:r>
        <w:t xml:space="preserve">. Canada : un an d’accord fédéral-provinces, </w:t>
      </w:r>
      <w:r>
        <w:lastRenderedPageBreak/>
        <w:t>cinq ans de hausse paramétrique. Australie : sept ans entre l’Accord Hawke-Kelty et le vote, trente-trois ans pour atteindre les 12 %</w:t>
      </w:r>
      <w:r>
        <w:rPr>
          <w:rStyle w:val="FootnoteReference"/>
        </w:rPr>
        <w:footnoteReference w:id="287"/>
      </w:r>
      <w:r>
        <w:t>. Aucun pays comparable n’a fait moins de cinq ans sur la séquence accord-loi-déploiement. Aucun n’a fait moins de vingt-cinq ans sur la séquence loi-maturité.</w:t>
      </w:r>
    </w:p>
    <w:p w14:paraId="1CDA16A8" w14:textId="77777777" w:rsidR="00BF0342" w:rsidRDefault="00000000">
      <w:pPr>
        <w:pStyle w:val="BodyText"/>
      </w:pPr>
      <w:r>
        <w:t>La démographie française interdit le luxe d’attendre. Indicateur conjoncturel de fécondité 2025 : 1,56 enfant par femme, plus bas depuis 1915 hors guerres</w:t>
      </w:r>
      <w:r>
        <w:rPr>
          <w:rStyle w:val="FootnoteReference"/>
        </w:rPr>
        <w:footnoteReference w:id="288"/>
      </w:r>
      <w:r>
        <w:t>. Ratio cotisants-retraités projeté par le COR : 1,79 aujourd’hui, 1,41 en 2070</w:t>
      </w:r>
      <w:r>
        <w:rPr>
          <w:rStyle w:val="FootnoteReference"/>
        </w:rPr>
        <w:footnoteReference w:id="289"/>
      </w:r>
      <w:r>
        <w:t>. Si nous voulons que les premières cohortes ayant cotisé vingt-cinq ans pleinement en capitalisation perçoivent leurs rentes vers 2050, la cotisation doit être effective dès 2027. Décaler de cinq ans, c’est décaler de cinq ans les premières rentes. Et plus on tarde, plus la cohorte qui finance les retraités d’aujourd’hui paie simultanément son propre vide.</w:t>
      </w:r>
    </w:p>
    <w:p w14:paraId="75A3D98F" w14:textId="77777777" w:rsidR="00BF0342" w:rsidRDefault="00000000">
      <w:pPr>
        <w:pStyle w:val="BodyText"/>
      </w:pPr>
      <w:r>
        <w:t xml:space="preserve">Une dernière leçon, et pas la moindre. Dans tous les cas étrangers qui ont </w:t>
      </w:r>
      <w:r>
        <w:rPr>
          <w:b/>
          <w:bCs/>
        </w:rPr>
        <w:t>tenu</w:t>
      </w:r>
      <w:r>
        <w:t xml:space="preserve">, les hausses futures de cotisation sont </w:t>
      </w:r>
      <w:r>
        <w:rPr>
          <w:b/>
          <w:bCs/>
        </w:rPr>
        <w:t>inscrites dans la loi</w:t>
      </w:r>
      <w:r>
        <w:t xml:space="preserve">, pas dans une feuille de route. L’Australie en a fait l’amère expérience : Howard a gelé le </w:t>
      </w:r>
      <w:r>
        <w:rPr>
          <w:i/>
          <w:iCs/>
        </w:rPr>
        <w:t>Superannuation Guarantee</w:t>
      </w:r>
      <w:r>
        <w:t xml:space="preserve"> à 9 % en 2002, Abbott l’a regelé en 2014</w:t>
      </w:r>
      <w:r>
        <w:rPr>
          <w:rStyle w:val="FootnoteReference"/>
        </w:rPr>
        <w:footnoteReference w:id="290"/>
      </w:r>
      <w:r>
        <w:t>. Quinze ans perdus, sur trente-trois. Le Royaume-Uni, le Canada, les Pays-Bas ont neutralisé ce risque par programmation légale stricte. Le calendrier français se déduit : phase de consensus 2026-2027, phase de loi 2027-2028, phase de déploiement 2028-2042, phase de maturité 2042-2052. Vingt-cinq ans, donc, mais inscrits dans la loi, pas dans un discours électoral.</w:t>
      </w:r>
    </w:p>
    <w:p w14:paraId="29DE3B70" w14:textId="77777777" w:rsidR="00BF0342" w:rsidRDefault="00000000">
      <w:pPr>
        <w:pStyle w:val="BodyText"/>
      </w:pPr>
      <w:r>
        <w:t>5.2 L’enjeu du double paiement</w:t>
      </w:r>
    </w:p>
    <w:p w14:paraId="4D9AEE29" w14:textId="77777777" w:rsidR="00BF0342" w:rsidRDefault="00000000">
      <w:pPr>
        <w:pStyle w:val="BodyText"/>
      </w:pPr>
      <w:r>
        <w:t xml:space="preserve">C’est ici que le débat français déraille depuis trente ans. Le </w:t>
      </w:r>
      <w:r>
        <w:rPr>
          <w:i/>
          <w:iCs/>
        </w:rPr>
        <w:t>double paiement</w:t>
      </w:r>
      <w:r>
        <w:t>, présenté comme un mur, est en réalité une équation à plusieurs inconnues. Aucun pays comparable ne l’a résolue par l’impôt général.</w:t>
      </w:r>
    </w:p>
    <w:p w14:paraId="4BAF76C2" w14:textId="77777777" w:rsidR="00BF0342" w:rsidRDefault="00000000">
      <w:pPr>
        <w:pStyle w:val="BodyText"/>
      </w:pPr>
      <w:r>
        <w:t xml:space="preserve">L’équation, d’abord. Dans toute transition de la répartition pure vers un système mixte, les actifs financent simultanément deux choses. Les retraités d’aujourd’hui, via les cotisations existantes - qu’il n’est pas question de baisser, c’est la promesse non négociable. Et une fraction de leur propre retraite future, via la cotisation capitalisée nouvelle. La charge totale est, par construction, supérieure à la charge initiale. Cette inflation transitoire est inévitable. Le débat porte uniquement sur </w:t>
      </w:r>
      <w:r>
        <w:rPr>
          <w:b/>
          <w:bCs/>
        </w:rPr>
        <w:t>qui</w:t>
      </w:r>
      <w:r>
        <w:t xml:space="preserve"> l’absorbe.</w:t>
      </w:r>
    </w:p>
    <w:p w14:paraId="256BBE7B" w14:textId="77777777" w:rsidR="00BF0342" w:rsidRDefault="00000000">
      <w:pPr>
        <w:pStyle w:val="BodyText"/>
      </w:pPr>
      <w:r>
        <w:lastRenderedPageBreak/>
        <w:t>Six leviers documentés, chiffrés, mobilisables. Le FRR d’abord, 20,4 Md€ d’encours fin 2024, mobilisables en dotation initiale unique</w:t>
      </w:r>
      <w:r>
        <w:rPr>
          <w:rStyle w:val="FootnoteReference"/>
        </w:rPr>
        <w:footnoteReference w:id="291"/>
      </w:r>
      <w:r>
        <w:t>. Les eurobonds retraite, à hauteur de 50 Md€ d’amorçage, soit ~2 Md€/an d’intérêts pour 1,7 point de dette publique brute</w:t>
      </w:r>
      <w:r>
        <w:rPr>
          <w:rStyle w:val="FootnoteReference"/>
        </w:rPr>
        <w:footnoteReference w:id="292"/>
      </w:r>
      <w:r>
        <w:t>. La CSG, dont chaque point représente 16-17 Md€/an de flux pérenne, en conflit politique avec le financement de la santé</w:t>
      </w:r>
      <w:r>
        <w:rPr>
          <w:rStyle w:val="FootnoteReference"/>
        </w:rPr>
        <w:footnoteReference w:id="293"/>
      </w:r>
      <w:r>
        <w:t>. Le redéploiement progressif d’un point d’AGIRC-ARRCO (8-10 Md€/an), à condition d’un accord paritaire. La sous-indexation des pensions de 1 point sous l’inflation (~1,4 Md€/an d’économie). Et surtout la cotisation patronale nouvelle, qui rapporte ~11 Md€/an par point, soit ~22 Md€/an à 2 points sur la masse salariale française</w:t>
      </w:r>
      <w:r>
        <w:rPr>
          <w:rStyle w:val="FootnoteReference"/>
        </w:rPr>
        <w:footnoteReference w:id="294"/>
      </w:r>
      <w:r>
        <w:t>.</w:t>
      </w:r>
    </w:p>
    <w:p w14:paraId="31772B88" w14:textId="77777777" w:rsidR="00BF0342" w:rsidRDefault="00000000">
      <w:pPr>
        <w:pStyle w:val="BodyText"/>
      </w:pPr>
      <w:r>
        <w:t xml:space="preserve">L’épaisseur du trou à combler éclaire l’arbitrage. Le COR projette un déficit annuel du système de retraites de -5 Md€ en 2025, -6,6 Md€ en 2030, </w:t>
      </w:r>
      <w:r>
        <w:rPr>
          <w:b/>
          <w:bCs/>
        </w:rPr>
        <w:t>-45 Md€ en 2070</w:t>
      </w:r>
      <w:r>
        <w:rPr>
          <w:rStyle w:val="FootnoteReference"/>
        </w:rPr>
        <w:footnoteReference w:id="295"/>
      </w:r>
      <w:r>
        <w:t xml:space="preserve">. Au-dessus, le passif implicite mesuré par la Commission européenne : </w:t>
      </w:r>
      <w:r>
        <w:rPr>
          <w:b/>
          <w:bCs/>
        </w:rPr>
        <w:t>~417 % du PIB</w:t>
      </w:r>
      <w:r>
        <w:t>, les promesses déjà actualisées</w:t>
      </w:r>
      <w:r>
        <w:rPr>
          <w:rStyle w:val="FootnoteReference"/>
        </w:rPr>
        <w:footnoteReference w:id="296"/>
      </w:r>
      <w:r>
        <w:t xml:space="preserve">. Ce chiffre ne signifie pas qu’il faille payer 417 % du PIB demain. Il signifie que la France a déjà </w:t>
      </w:r>
      <w:r>
        <w:rPr>
          <w:i/>
          <w:iCs/>
        </w:rPr>
        <w:t>promis</w:t>
      </w:r>
      <w:r>
        <w:t xml:space="preserve"> l’équivalent. La capitalisation ne résorbe pas ce passif. Elle évite seulement de le creuser pour les générations à venir.</w:t>
      </w:r>
    </w:p>
    <w:p w14:paraId="43CDD8BF" w14:textId="77777777" w:rsidR="00BF0342" w:rsidRDefault="00000000">
      <w:pPr>
        <w:pStyle w:val="BodyText"/>
      </w:pPr>
      <w:r>
        <w:t>La combinaison la plus crédible articule trois mouvements complémentaires. Le FRR comme dotation initiale, signal politique fort et capital national déjà constitué. Des eurobonds retraite limités à 50 Md€ en amorçage, étalement de la charge sur les marchés européens. Une cotisation patronale progressive comme flux long, de 0,5 % en année 1 à 4 % en 2035. Trois leviers au lieu d’un seul épuisé. C’est le secret de la durabilité documenté par les cas suédois, néerlandais, canadien et australien - aucun, j’insiste, n’a poussé un levier à son maximum.</w:t>
      </w:r>
    </w:p>
    <w:p w14:paraId="4B00F725" w14:textId="77777777" w:rsidR="00BF0342" w:rsidRDefault="00000000">
      <w:pPr>
        <w:pStyle w:val="BodyText"/>
      </w:pPr>
      <w:r>
        <w:t>5.3 L’enjeu de la segmentation</w:t>
      </w:r>
    </w:p>
    <w:p w14:paraId="7F162586" w14:textId="77777777" w:rsidR="00BF0342" w:rsidRDefault="00000000">
      <w:pPr>
        <w:pStyle w:val="BodyText"/>
      </w:pPr>
      <w:r>
        <w:t xml:space="preserve">Tous les actifs en même temps ? Ou par étapes ? Personne, à l’étranger, n’a fait </w:t>
      </w:r>
      <w:r>
        <w:rPr>
          <w:i/>
          <w:iCs/>
        </w:rPr>
        <w:t>« tous en même temps »</w:t>
      </w:r>
      <w:r>
        <w:t>. C’est techniquement impossible et politiquement explosif. Tout le monde a segmenté.</w:t>
      </w:r>
    </w:p>
    <w:p w14:paraId="0FAA72C7" w14:textId="77777777" w:rsidR="00BF0342" w:rsidRDefault="00000000">
      <w:pPr>
        <w:pStyle w:val="BodyText"/>
      </w:pPr>
      <w:r>
        <w:lastRenderedPageBreak/>
        <w:t xml:space="preserve">Trois pistes structurent le terrain. La </w:t>
      </w:r>
      <w:r>
        <w:rPr>
          <w:b/>
          <w:bCs/>
        </w:rPr>
        <w:t>cohorte d’âge</w:t>
      </w:r>
      <w:r>
        <w:t>, modèle suédois 1938-1954 et polonais post-1969. C’est le levier le plus puissant techniquement, parce que les jeunes générations captent intégralement le rendement composé sur quarante ans</w:t>
      </w:r>
      <w:r>
        <w:rPr>
          <w:rStyle w:val="FootnoteReference"/>
        </w:rPr>
        <w:footnoteReference w:id="297"/>
      </w:r>
      <w:r>
        <w:t xml:space="preserve">. C’est aussi le plus exposé au contentieux : l’article 14 de la Convention européenne admet les différences par âge si elles sont objectivement justifiées (jurisprudence </w:t>
      </w:r>
      <w:r>
        <w:rPr>
          <w:i/>
          <w:iCs/>
        </w:rPr>
        <w:t>Stec</w:t>
      </w:r>
      <w:r>
        <w:t xml:space="preserve"> 2006), mais une rupture binaire entre les nés ≥ 2000 (capitalisation totale) et les nés ≤ 1979 (répartition totale) heurterait frontalement. Mitigation : transition progressive avec paliers annuels, et minimum garanti pour les cohortes intermédiaires.</w:t>
      </w:r>
    </w:p>
    <w:p w14:paraId="190201C1" w14:textId="77777777" w:rsidR="00BF0342" w:rsidRDefault="00000000">
      <w:pPr>
        <w:pStyle w:val="BodyText"/>
      </w:pPr>
      <w:r>
        <w:t xml:space="preserve">La </w:t>
      </w:r>
      <w:r>
        <w:rPr>
          <w:b/>
          <w:bCs/>
        </w:rPr>
        <w:t>taille d’entreprise</w:t>
      </w:r>
      <w:r>
        <w:t xml:space="preserve">, ensuite, modèle UK </w:t>
      </w:r>
      <w:r>
        <w:rPr>
          <w:i/>
          <w:iCs/>
        </w:rPr>
        <w:t>staging</w:t>
      </w:r>
      <w:r>
        <w:t xml:space="preserve"> 2012-2018. Six ans pour déployer un auto-enrolment universel, en commençant par les très grandes entreprises (octobre 2012, plus de 50 000 salariés) et en finissant par les TPE (avril 2018). Au 6 avril 2019, taux de cotisation à 8 % et couverture estimée à 80 % des éligibles</w:t>
      </w:r>
      <w:r>
        <w:rPr>
          <w:rStyle w:val="FootnoteReference"/>
        </w:rPr>
        <w:footnoteReference w:id="298"/>
      </w:r>
      <w:r>
        <w:t>. Le tier juridique français est faible : la jurisprudence sur les seuils d’entreprise est large. C’est la voie la plus pragmatique pour ouvrir un terrain, et c’est celle que retient l’agenda en Section C.</w:t>
      </w:r>
    </w:p>
    <w:p w14:paraId="7D0A0B32" w14:textId="77777777" w:rsidR="00BF0342" w:rsidRDefault="00000000">
      <w:pPr>
        <w:pStyle w:val="BodyText"/>
      </w:pPr>
      <w:r>
        <w:t>L’</w:t>
      </w:r>
      <w:r>
        <w:rPr>
          <w:b/>
          <w:bCs/>
        </w:rPr>
        <w:t>opt-in volontaire</w:t>
      </w:r>
      <w:r>
        <w:t xml:space="preserve"> seul, enfin, mérite une mise en garde. C’est juridiquement parfait - zéro contrainte, donc zéro contentieux. C’est aussi le plus visiblement échoué. Le Riester allemand plafonne à ~9,7 millions d’actifs en 2024 pour un potentiel de 35 millions</w:t>
      </w:r>
      <w:r>
        <w:rPr>
          <w:rStyle w:val="FootnoteReference"/>
        </w:rPr>
        <w:footnoteReference w:id="299"/>
      </w:r>
      <w:r>
        <w:t>. Le PER français affiche plus de 11 millions de titulaires, mais l’encours moyen n’est que d’environ 10 600 € : il sert d’optimisation fiscale aux CSP+, pas de système retraite collectif</w:t>
      </w:r>
      <w:r>
        <w:rPr>
          <w:rStyle w:val="FootnoteReference"/>
        </w:rPr>
        <w:footnoteReference w:id="300"/>
      </w:r>
      <w:r>
        <w:t>. Sans obligation ou auto-enrolment, le volontariat ne touche que les déjà-épargnants.</w:t>
      </w:r>
    </w:p>
    <w:p w14:paraId="055C8550" w14:textId="77777777" w:rsidR="00BF0342" w:rsidRDefault="00000000">
      <w:pPr>
        <w:pStyle w:val="BodyText"/>
      </w:pPr>
      <w:r>
        <w:t>Quant au cadre constitutionnel, il est plus permissif qu’on ne le dit. La décision DC 2014-698 du 6 août 2014 sur la loi Touraine, et plus récemment la DC 2023-849 du 14 avril 2023 sur la loi Borne, valident l’idée que le législateur peut différencier les générations à condition que la justification soit documentée par la viabilité financière du système. La cohorte progressive est juridiquement constructible - la cohorte radicale ne l’est pas.</w:t>
      </w:r>
    </w:p>
    <w:p w14:paraId="49730330" w14:textId="77777777" w:rsidR="00BF0342" w:rsidRDefault="00000000">
      <w:pPr>
        <w:pStyle w:val="BodyText"/>
      </w:pPr>
      <w:r>
        <w:t>5.4 L’enjeu de l’acceptabilité sociale</w:t>
      </w:r>
    </w:p>
    <w:p w14:paraId="5C4E19F5" w14:textId="77777777" w:rsidR="00BF0342" w:rsidRDefault="00000000">
      <w:pPr>
        <w:pStyle w:val="BodyText"/>
      </w:pPr>
      <w:r>
        <w:t>Le rapport de force de 2026 n’est plus celui de 1997, ni celui de 2010. L’opinion a basculé.</w:t>
      </w:r>
    </w:p>
    <w:p w14:paraId="3B46BDD2" w14:textId="77777777" w:rsidR="00BF0342" w:rsidRDefault="00000000">
      <w:pPr>
        <w:pStyle w:val="BodyText"/>
      </w:pPr>
      <w:r>
        <w:lastRenderedPageBreak/>
        <w:t xml:space="preserve">Le sondage </w:t>
      </w:r>
      <w:r>
        <w:rPr>
          <w:b/>
          <w:bCs/>
        </w:rPr>
        <w:t>Odoxa-Groupama de novembre 2025</w:t>
      </w:r>
      <w:r>
        <w:t xml:space="preserve"> mesure que </w:t>
      </w:r>
      <w:r>
        <w:rPr>
          <w:b/>
          <w:bCs/>
        </w:rPr>
        <w:t>57 % des Français se déclarent favorables à un système mixte</w:t>
      </w:r>
      <w:r>
        <w:t xml:space="preserve"> mélangeant répartition et capitalisation. Plus frappant encore, le rapport entre les deux modèles purs s’est inversé : 22 % pour la capitalisation seule contre 20 % pour la répartition seule. Neuf Français sur dix jugent utile de construire une épargne retraite individuelle complémentaire</w:t>
      </w:r>
      <w:r>
        <w:rPr>
          <w:rStyle w:val="FootnoteReference"/>
        </w:rPr>
        <w:footnoteReference w:id="301"/>
      </w:r>
      <w:r>
        <w:t>. Ce sont des chiffres qu’on n’a jamais vus depuis qu’on les mesure. Le baromètre AMF d’octobre 2024, sur 2 044 répondants, confirme : 58 % des Français inquiets pour leur retraite, 66 % chez les non-retraités</w:t>
      </w:r>
      <w:r>
        <w:rPr>
          <w:rStyle w:val="FootnoteReference"/>
        </w:rPr>
        <w:footnoteReference w:id="302"/>
      </w:r>
      <w:r>
        <w:t>.</w:t>
      </w:r>
    </w:p>
    <w:p w14:paraId="23ECF7C2" w14:textId="77777777" w:rsidR="00BF0342" w:rsidRDefault="00000000">
      <w:pPr>
        <w:pStyle w:val="BodyText"/>
      </w:pPr>
      <w:r>
        <w:t>Le rapport de force syndical est plus contrasté. La CGT, FO et l’UNSA refusent par principe. La CFDT s’ouvre prudemment, sous condition d’équité et de généralisation - c’est la position publique de Marylise Léon. La CFE-CGC, sous la présidence de Christelle Thieffinne (élue en juin 2026, après les dix ans de François Hommeril), est ouverte, sous condition de préservation du socle répartition</w:t>
      </w:r>
      <w:r>
        <w:rPr>
          <w:rStyle w:val="FootnoteReference"/>
        </w:rPr>
        <w:footnoteReference w:id="303"/>
      </w:r>
      <w:r>
        <w:t xml:space="preserve">. Côté patronal, MEDEF, CPME et U2P sont globalement favorables. Un accord CFDT + CFE-CGC + organisations patronales est arithmétiquement constructible, en laissant CGT/FO en opposition ouverte. C’est exactement la configuration qu’a connue le Pays-Bas en 2019 pour son </w:t>
      </w:r>
      <w:r>
        <w:rPr>
          <w:i/>
          <w:iCs/>
        </w:rPr>
        <w:t>Pensioenakkoord</w:t>
      </w:r>
      <w:r>
        <w:t>.</w:t>
      </w:r>
    </w:p>
    <w:p w14:paraId="54E9987B" w14:textId="77777777" w:rsidR="00BF0342" w:rsidRDefault="00000000">
      <w:pPr>
        <w:pStyle w:val="BodyText"/>
      </w:pPr>
      <w:r>
        <w:t xml:space="preserve">L’histoire récente des blocages français mérite d’être posée sans euphémisme. </w:t>
      </w:r>
      <w:r>
        <w:rPr>
          <w:b/>
          <w:bCs/>
        </w:rPr>
        <w:t>1997</w:t>
      </w:r>
      <w:r>
        <w:t xml:space="preserve"> </w:t>
      </w:r>
      <w:r>
        <w:rPr>
          <w:b/>
          <w:bCs/>
        </w:rPr>
        <w:t>- Loi Thomas.</w:t>
      </w:r>
      <w:r>
        <w:t xml:space="preserve"> Votée par majorité Juppé sans accord d’opposition. Décrets jamais signés par Jospin après la dissolution de juin 1997. Abrogée en 2002</w:t>
      </w:r>
      <w:r>
        <w:rPr>
          <w:rStyle w:val="FootnoteReference"/>
        </w:rPr>
        <w:footnoteReference w:id="304"/>
      </w:r>
      <w:r>
        <w:t xml:space="preserve">. </w:t>
      </w:r>
      <w:r>
        <w:rPr>
          <w:b/>
          <w:bCs/>
        </w:rPr>
        <w:t>2019</w:t>
      </w:r>
      <w:r>
        <w:t xml:space="preserve"> </w:t>
      </w:r>
      <w:r>
        <w:rPr>
          <w:b/>
          <w:bCs/>
        </w:rPr>
        <w:t>- Réforme Delevoye.</w:t>
      </w:r>
      <w:r>
        <w:t xml:space="preserve"> Système universel à points, négocié dans un esprit technocratique sans accord syndical formel. Grèves RATP-SNCF de décembre 2019 à janvier 2020. La pandémie enterre la suite</w:t>
      </w:r>
      <w:r>
        <w:rPr>
          <w:rStyle w:val="FootnoteReference"/>
        </w:rPr>
        <w:footnoteReference w:id="305"/>
      </w:r>
      <w:r>
        <w:t xml:space="preserve">. </w:t>
      </w:r>
      <w:r>
        <w:rPr>
          <w:b/>
          <w:bCs/>
        </w:rPr>
        <w:t>2023</w:t>
      </w:r>
      <w:r>
        <w:t xml:space="preserve"> </w:t>
      </w:r>
      <w:r>
        <w:rPr>
          <w:b/>
          <w:bCs/>
        </w:rPr>
        <w:t>- Réforme Borne.</w:t>
      </w:r>
      <w:r>
        <w:t xml:space="preserve"> Recul à 64 ans validé par 49.3, sans accord syndical ni parlementaire formel. Coût politique massif. Suspension partielle dans la LFSS 2026</w:t>
      </w:r>
      <w:r>
        <w:rPr>
          <w:rStyle w:val="FootnoteReference"/>
        </w:rPr>
        <w:footnoteReference w:id="306"/>
      </w:r>
      <w:r>
        <w:t>.</w:t>
      </w:r>
    </w:p>
    <w:p w14:paraId="208B79B5" w14:textId="77777777" w:rsidR="00BF0342" w:rsidRDefault="00000000">
      <w:pPr>
        <w:pStyle w:val="BodyText"/>
      </w:pPr>
      <w:r>
        <w:t>Trois échecs, une même cause : aucun de ces textes n’avait été précédé d’un accord pluripartite formalisé. Inversement, partout où le pacte préalable a été signé - Suède 1994, Australie 1985, Royaume-Uni 2002-2008, Pays-Bas 2019-2023 - la réforme a tenu vingt ou trente ans. L’opinion est mûre. Le rapport syndical est négociable. Reste à savoir si le politique saura, cette fois, négocier avant de voter.</w:t>
      </w:r>
    </w:p>
    <w:p w14:paraId="21C8D21F" w14:textId="77777777" w:rsidR="00BF0342" w:rsidRDefault="00000000">
      <w:pPr>
        <w:pStyle w:val="BodyText"/>
      </w:pPr>
      <w:r>
        <w:lastRenderedPageBreak/>
        <w:t>5.5 L’enjeu juridique et constitutionnel</w:t>
      </w:r>
    </w:p>
    <w:p w14:paraId="3031C009" w14:textId="77777777" w:rsidR="00BF0342" w:rsidRDefault="00000000">
      <w:pPr>
        <w:pStyle w:val="BodyText"/>
      </w:pPr>
      <w:r>
        <w:t xml:space="preserve">Voici le verrou le plus surestimé du débat français. </w:t>
      </w:r>
      <w:r>
        <w:rPr>
          <w:b/>
          <w:bCs/>
        </w:rPr>
        <w:t>Aucune révision constitutionnelle n’est nécessaire</w:t>
      </w:r>
      <w:r>
        <w:t xml:space="preserve"> pour introduire un pilier capitalisé représentant jusqu’à 30 % des cotisations retraite. La Constitution n’impose pas la répartition. Elle impose la sécurité matérielle des vieux travailleurs. Ce n’est pas la même chose.</w:t>
      </w:r>
    </w:p>
    <w:p w14:paraId="7FA0EBC3" w14:textId="77777777" w:rsidR="00BF0342" w:rsidRDefault="00000000">
      <w:pPr>
        <w:pStyle w:val="BodyText"/>
      </w:pPr>
      <w:r>
        <w:t>L’</w:t>
      </w:r>
      <w:r>
        <w:rPr>
          <w:b/>
          <w:bCs/>
        </w:rPr>
        <w:t>alinéa 11 du Préambule de 1946</w:t>
      </w:r>
      <w:r>
        <w:t xml:space="preserve"> garantit à tous </w:t>
      </w:r>
      <w:r>
        <w:rPr>
          <w:i/>
          <w:iCs/>
        </w:rPr>
        <w:t>« la protection de la santé, la sécurité matérielle, le repos et les loisirs »</w:t>
      </w:r>
      <w:r>
        <w:t xml:space="preserve">. C’est une obligation de </w:t>
      </w:r>
      <w:r>
        <w:rPr>
          <w:b/>
          <w:bCs/>
        </w:rPr>
        <w:t>résultat de solidarité</w:t>
      </w:r>
      <w:r>
        <w:t xml:space="preserve">, pas une obligation de </w:t>
      </w:r>
      <w:r>
        <w:rPr>
          <w:b/>
          <w:bCs/>
        </w:rPr>
        <w:t>forme</w:t>
      </w:r>
      <w:r>
        <w:t>. Le Conseil constitutionnel n’a jamais déduit de cet alinéa que la répartition était le seul instrument constitutionnellement admissible. L’</w:t>
      </w:r>
      <w:r>
        <w:rPr>
          <w:b/>
          <w:bCs/>
        </w:rPr>
        <w:t>article 34 de la Constitution</w:t>
      </w:r>
      <w:r>
        <w:t xml:space="preserve"> réserve à la loi la fixation des principes fondamentaux de la sécurité sociale - </w:t>
      </w:r>
      <w:r>
        <w:rPr>
          <w:b/>
          <w:bCs/>
        </w:rPr>
        <w:t>loi ordinaire suffit</w:t>
      </w:r>
      <w:r>
        <w:t xml:space="preserve"> pour créer un fonds capitalisé public. La Cinquième République ne demande pas de révision pour cela.</w:t>
      </w:r>
    </w:p>
    <w:p w14:paraId="5B819784" w14:textId="77777777" w:rsidR="00BF0342" w:rsidRDefault="00000000">
      <w:pPr>
        <w:pStyle w:val="BodyText"/>
      </w:pPr>
      <w:r>
        <w:t xml:space="preserve">Au-dessus, quatre décisions du Conseil constitutionnel structurent l’espace possible. La </w:t>
      </w:r>
      <w:r>
        <w:rPr>
          <w:b/>
          <w:bCs/>
        </w:rPr>
        <w:t>DC 2003-483</w:t>
      </w:r>
      <w:r>
        <w:t xml:space="preserve"> du 14 août 2003 (loi Fillon) pose que le législateur est libre des paramètres dès lors que les droits acquis sont préservés</w:t>
      </w:r>
      <w:r>
        <w:rPr>
          <w:rStyle w:val="FootnoteReference"/>
        </w:rPr>
        <w:footnoteReference w:id="307"/>
      </w:r>
      <w:r>
        <w:t xml:space="preserve">. La </w:t>
      </w:r>
      <w:r>
        <w:rPr>
          <w:b/>
          <w:bCs/>
        </w:rPr>
        <w:t>DC 2010-617</w:t>
      </w:r>
      <w:r>
        <w:t xml:space="preserve"> du 9 novembre 2010 (loi Woerth) valide le recul de l’âge légal et les modifications paramétriques profondes. La </w:t>
      </w:r>
      <w:r>
        <w:rPr>
          <w:b/>
          <w:bCs/>
        </w:rPr>
        <w:t>DC 2014-698</w:t>
      </w:r>
      <w:r>
        <w:t xml:space="preserve"> du 6 août 2014 (loi Touraine) censure une rupture d’égalité ponctuelle mais valide la convergence générationnelle progressive</w:t>
      </w:r>
      <w:r>
        <w:rPr>
          <w:rStyle w:val="FootnoteReference"/>
        </w:rPr>
        <w:footnoteReference w:id="308"/>
      </w:r>
      <w:r>
        <w:t xml:space="preserve">. La </w:t>
      </w:r>
      <w:r>
        <w:rPr>
          <w:b/>
          <w:bCs/>
        </w:rPr>
        <w:t>DC 2023-849</w:t>
      </w:r>
      <w:r>
        <w:t xml:space="preserve"> du 14 avril 2023 (loi Borne) confirme que les asymétries générationnelles sont admises si elles sont justifiées par la viabilité financière du système. La marge est étroite - elle n’est pas nulle.</w:t>
      </w:r>
    </w:p>
    <w:p w14:paraId="159E9093" w14:textId="77777777" w:rsidR="00BF0342" w:rsidRDefault="00000000">
      <w:pPr>
        <w:pStyle w:val="BodyText"/>
      </w:pPr>
      <w:r>
        <w:t xml:space="preserve">Au-dessus encore, la </w:t>
      </w:r>
      <w:r>
        <w:rPr>
          <w:b/>
          <w:bCs/>
        </w:rPr>
        <w:t>CEDH</w:t>
      </w:r>
      <w:r>
        <w:t xml:space="preserve">. </w:t>
      </w:r>
      <w:r>
        <w:rPr>
          <w:i/>
          <w:iCs/>
        </w:rPr>
        <w:t>Apostolakis c. Grèce</w:t>
      </w:r>
      <w:r>
        <w:t xml:space="preserve"> (2009) : on ne supprime pas rétroactivement les droits à pension acquis</w:t>
      </w:r>
      <w:r>
        <w:rPr>
          <w:rStyle w:val="FootnoteReference"/>
        </w:rPr>
        <w:footnoteReference w:id="309"/>
      </w:r>
      <w:r>
        <w:t xml:space="preserve">. </w:t>
      </w:r>
      <w:r>
        <w:rPr>
          <w:i/>
          <w:iCs/>
        </w:rPr>
        <w:t>Béláné Nagy c. Hongrie</w:t>
      </w:r>
      <w:r>
        <w:t xml:space="preserve"> (Grande Chambre 2016) : une pension versée depuis plusieurs années crée une expectative légitime protégée</w:t>
      </w:r>
      <w:r>
        <w:rPr>
          <w:rStyle w:val="FootnoteReference"/>
        </w:rPr>
        <w:footnoteReference w:id="310"/>
      </w:r>
      <w:r>
        <w:t xml:space="preserve">. </w:t>
      </w:r>
      <w:r>
        <w:rPr>
          <w:i/>
          <w:iCs/>
        </w:rPr>
        <w:t>Stec c. Royaume-Uni</w:t>
      </w:r>
      <w:r>
        <w:t xml:space="preserve"> (Grande Chambre 2006) : les différences de traitement par âge sont admises si elles sont objectivement justifiées</w:t>
      </w:r>
      <w:r>
        <w:rPr>
          <w:rStyle w:val="FootnoteReference"/>
        </w:rPr>
        <w:footnoteReference w:id="311"/>
      </w:r>
      <w:r>
        <w:t>. La synthèse opérationnelle est nette : on ne touche pas aux pensions liquidées ; on peut moduler les paramètres futurs ; on peut segmenter par cohorte si la transition est progressive et la justification documentée.</w:t>
      </w:r>
    </w:p>
    <w:p w14:paraId="7F1D2746" w14:textId="77777777" w:rsidR="00BF0342" w:rsidRDefault="00000000">
      <w:pPr>
        <w:pStyle w:val="BodyText"/>
      </w:pPr>
      <w:r>
        <w:lastRenderedPageBreak/>
        <w:t xml:space="preserve">Trois bombes sont à désamorcer. La </w:t>
      </w:r>
      <w:r>
        <w:rPr>
          <w:b/>
          <w:bCs/>
        </w:rPr>
        <w:t>substitution AGIRC-ARRCO</w:t>
      </w:r>
      <w:r>
        <w:t xml:space="preserve"> sans accord paritaire - réduire les 12,8 % actuels et basculer dix points vers un fonds capitalisé public - déclencherait une QPC quasi-certaine au regard de l’article L.923-1 du Code de la sécurité sociale</w:t>
      </w:r>
      <w:r>
        <w:rPr>
          <w:rStyle w:val="FootnoteReference"/>
        </w:rPr>
        <w:footnoteReference w:id="312"/>
      </w:r>
      <w:r>
        <w:t xml:space="preserve">. La voie sûre est la </w:t>
      </w:r>
      <w:r>
        <w:rPr>
          <w:b/>
          <w:bCs/>
        </w:rPr>
        <w:t>superposition</w:t>
      </w:r>
      <w:r>
        <w:t xml:space="preserve">, pas la substitution. La </w:t>
      </w:r>
      <w:r>
        <w:rPr>
          <w:b/>
          <w:bCs/>
        </w:rPr>
        <w:t>suppression de la répartition</w:t>
      </w:r>
      <w:r>
        <w:t xml:space="preserve"> exigerait une révision constitutionnelle, politiquement impensable. Et la </w:t>
      </w:r>
      <w:r>
        <w:rPr>
          <w:b/>
          <w:bCs/>
        </w:rPr>
        <w:t>cohorte d’âge avec rupture radicale</w:t>
      </w:r>
      <w:r>
        <w:t xml:space="preserve"> heurte frontalement l’article 14 de la Convention. Trois pièges connus, trois voies sûres identifiées. Le précédent Thomas mérite d’être relu sans légende : la loi a été votée constitutionnellement ; elle a été abrogée pour des raisons politiques. Le verrou n’était pas le droit. Le verrou était l’absence de pacte.</w:t>
      </w:r>
    </w:p>
    <w:p w14:paraId="1C789A66" w14:textId="77777777" w:rsidR="00BF0342" w:rsidRDefault="00000000">
      <w:pPr>
        <w:pStyle w:val="Heading2"/>
      </w:pPr>
      <w:bookmarkStart w:id="94" w:name="la-méthode-politique"/>
      <w:bookmarkStart w:id="95" w:name="_Toc233036212"/>
      <w:bookmarkEnd w:id="92"/>
      <w:r>
        <w:t>La méthode politique</w:t>
      </w:r>
      <w:bookmarkEnd w:id="95"/>
    </w:p>
    <w:p w14:paraId="59C7F92B" w14:textId="77777777" w:rsidR="00BF0342" w:rsidRDefault="00000000">
      <w:pPr>
        <w:pStyle w:val="FirstParagraph"/>
      </w:pPr>
      <w:r>
        <w:t>Les enjeux posés, reste à savoir comment les arbitrer politiquement. Les quatre cas étrangers du chapitre précédent ne se distinguent pas par leur architecture financière - paritarisme, fonds public, plancher universel se retrouvent partout. Ils se distinguent par la séquence politique qui a précédé le vote. Cette séquence, en démocratie pluraliste, n’admet que deux variantes durables.</w:t>
      </w:r>
    </w:p>
    <w:p w14:paraId="67AED6B6" w14:textId="77777777" w:rsidR="00BF0342" w:rsidRDefault="00000000">
      <w:pPr>
        <w:pStyle w:val="BodyText"/>
      </w:pPr>
      <w:r>
        <w:t>Avant d’examiner ces deux variantes, une question préalable mérite d’être posée et tranchée. Tous les pays comparables ont fait le pas. La France ne l’a pas fait. Pourquoi ? Si l’on ne nomme pas les verrous, on s’expose à les heurter une cinquième fois. Si on les nomme, on peut les desserrer.</w:t>
      </w:r>
    </w:p>
    <w:p w14:paraId="396FFA21" w14:textId="77777777" w:rsidR="00BF0342" w:rsidRDefault="00000000">
      <w:pPr>
        <w:pStyle w:val="BodyText"/>
      </w:pPr>
      <w:r>
        <w:t>5.7 Les deux voies viables</w:t>
      </w:r>
    </w:p>
    <w:p w14:paraId="17DBA10D" w14:textId="77777777" w:rsidR="00BF0342" w:rsidRDefault="00000000">
      <w:pPr>
        <w:pStyle w:val="Heading4"/>
      </w:pPr>
      <w:bookmarkStart w:id="96" w:name="voie-a---la-concertation-longue"/>
      <w:r>
        <w:t>Voie A - La concertation longue</w:t>
      </w:r>
    </w:p>
    <w:p w14:paraId="5FBE3A20" w14:textId="77777777" w:rsidR="00BF0342" w:rsidRDefault="00000000">
      <w:pPr>
        <w:pStyle w:val="FirstParagraph"/>
      </w:pPr>
      <w:r>
        <w:t>Modèle Suède 1994, Royaume-Uni 2002-2008, Pays-Bas 2019-2023. Trois à sept ans avant le vote, vingt à trente ans de durabilité.</w:t>
      </w:r>
    </w:p>
    <w:p w14:paraId="1FC8C5A1" w14:textId="77777777" w:rsidR="00BF0342" w:rsidRDefault="00000000">
      <w:pPr>
        <w:pStyle w:val="BodyText"/>
      </w:pPr>
      <w:r>
        <w:t xml:space="preserve">La concertation longue articule trois temps. Une commission indépendante mandatée par le gouvernement - le </w:t>
      </w:r>
      <w:r>
        <w:rPr>
          <w:i/>
          <w:iCs/>
        </w:rPr>
        <w:t>Pension Working Group</w:t>
      </w:r>
      <w:r>
        <w:t xml:space="preserve"> de Bo Könberg en Suède, la Commission Turner au Royaume-Uni, le SER aux Pays-Bas. Un diagnostic public partagé produit en dix-huit à vingt-quatre mois, accepté par les partis et les partenaires sociaux. Un accord pluripartite formalisé signé avant le dépôt du texte au Parlement. C’est ce que la Suède a obtenu le 8 juin 1994 avec cinq partis sur sept du Riksdag - 85 % du Parlement - signataires du </w:t>
      </w:r>
      <w:r>
        <w:rPr>
          <w:i/>
          <w:iCs/>
        </w:rPr>
        <w:t>Pensionsöverenskommelsen</w:t>
      </w:r>
      <w:r>
        <w:rPr>
          <w:rStyle w:val="FootnoteReference"/>
        </w:rPr>
        <w:footnoteReference w:id="313"/>
      </w:r>
      <w:r>
        <w:t xml:space="preserve">. C’est ce que le Royaume-Uni a reproduit en 2008 avec </w:t>
      </w:r>
      <w:r>
        <w:lastRenderedPageBreak/>
        <w:t xml:space="preserve">un </w:t>
      </w:r>
      <w:r>
        <w:rPr>
          <w:i/>
          <w:iCs/>
        </w:rPr>
        <w:t>Pensions Act</w:t>
      </w:r>
      <w:r>
        <w:t xml:space="preserve"> voté à une majorité quasi-unanime, après trois rapports Turner ratifiés transpartisans entre 2004 et 2006</w:t>
      </w:r>
      <w:r>
        <w:rPr>
          <w:rStyle w:val="FootnoteReference"/>
        </w:rPr>
        <w:footnoteReference w:id="314"/>
      </w:r>
      <w:r>
        <w:t>.</w:t>
      </w:r>
    </w:p>
    <w:p w14:paraId="74526975" w14:textId="77777777" w:rsidR="00BF0342" w:rsidRDefault="00000000">
      <w:pPr>
        <w:pStyle w:val="BodyText"/>
      </w:pPr>
      <w:r>
        <w:t>L’avantage est la durabilité maximale. La Suède n’a pas remis en cause sa réforme depuis 1994 - trente ans de stabilité institutionnelle, sous des gouvernements de toutes couleurs</w:t>
      </w:r>
      <w:r>
        <w:rPr>
          <w:rStyle w:val="FootnoteReference"/>
        </w:rPr>
        <w:footnoteReference w:id="315"/>
      </w:r>
      <w:r>
        <w:t xml:space="preserve">. Le Royaume-Uni n’a pas touché à l’auto-enrolment depuis 2008. Les Pays-Bas avancent sur le calendrier prévu de la </w:t>
      </w:r>
      <w:r>
        <w:rPr>
          <w:i/>
          <w:iCs/>
        </w:rPr>
        <w:t>Wet toekomst pensioenen</w:t>
      </w:r>
      <w:r>
        <w:t>, vote du 30 mai 2023 par l’</w:t>
      </w:r>
      <w:r>
        <w:rPr>
          <w:i/>
          <w:iCs/>
        </w:rPr>
        <w:t>Eerste Kamer</w:t>
      </w:r>
      <w:r>
        <w:t xml:space="preserve"> à 46 voix contre 27, bascule des fonds professionnels prévue au 1ᵉʳ janvier 2028</w:t>
      </w:r>
      <w:r>
        <w:rPr>
          <w:rStyle w:val="FootnoteReference"/>
        </w:rPr>
        <w:footnoteReference w:id="316"/>
      </w:r>
      <w:r>
        <w:t>. La limite est la lenteur : trois ans en Suède, six au Royaume-Uni, quatre aux Pays-Bas avant le vote, plus la transition par cohortes - seize ans entre la première cohorte concernée à 25 % et la dernière à 100 % en Suède. La condition de succès est sèche : diagnostic public avant l’accord politique, accord politique avant la loi. Sinon, on répète Thomas 1997, Delevoye 2019, Borne 2023.</w:t>
      </w:r>
    </w:p>
    <w:p w14:paraId="18A4A1A5" w14:textId="77777777" w:rsidR="00BF0342" w:rsidRDefault="00000000">
      <w:pPr>
        <w:pStyle w:val="Heading4"/>
      </w:pPr>
      <w:bookmarkStart w:id="97" w:name="voie-b---la-rapidité-négociée"/>
      <w:bookmarkEnd w:id="96"/>
      <w:r>
        <w:t>Voie B - La rapidité négociée</w:t>
      </w:r>
    </w:p>
    <w:p w14:paraId="7ED9FF3E" w14:textId="77777777" w:rsidR="00BF0342" w:rsidRDefault="00000000">
      <w:pPr>
        <w:pStyle w:val="FirstParagraph"/>
      </w:pPr>
      <w:r>
        <w:t>Modèle Australie 1985-1992, Canada 1996-1999. Calendrier serré, démarrage immédiat, pacte ferme avec un acteur majeur.</w:t>
      </w:r>
    </w:p>
    <w:p w14:paraId="0C21F898" w14:textId="77777777" w:rsidR="00BF0342" w:rsidRDefault="00000000">
      <w:pPr>
        <w:pStyle w:val="BodyText"/>
      </w:pPr>
      <w:r>
        <w:t>La rapidité négociée procède autrement. Au lieu d’attendre l’unanimité parlementaire, elle s’adosse à un acteur central - un grand syndicat, une coalition fédérale-provinciale - qui porte la réforme avec le gouvernement. L’Australie l’a fait avec l’</w:t>
      </w:r>
      <w:r>
        <w:rPr>
          <w:i/>
          <w:iCs/>
        </w:rPr>
        <w:t>Accord Prices and Incomes Mark II</w:t>
      </w:r>
      <w:r>
        <w:t xml:space="preserve"> signé en 1985 entre Bob Hawke, Paul Keating et Bill Kelty, secrétaire général de l’ACTU</w:t>
      </w:r>
      <w:r>
        <w:rPr>
          <w:rStyle w:val="FootnoteReference"/>
        </w:rPr>
        <w:footnoteReference w:id="317"/>
      </w:r>
      <w:r>
        <w:t>. Le Canada l’a fait avec son accord fédéral-provinces de 1996, ratifié en un an, ouvrant une hausse paritaire de 5,6 % à 9,9 % entre 1998 et 2003</w:t>
      </w:r>
      <w:r>
        <w:rPr>
          <w:rStyle w:val="FootnoteReference"/>
        </w:rPr>
        <w:footnoteReference w:id="318"/>
      </w:r>
      <w:r>
        <w:t>.</w:t>
      </w:r>
    </w:p>
    <w:p w14:paraId="0E4A977E" w14:textId="77777777" w:rsidR="00BF0342" w:rsidRDefault="00000000">
      <w:pPr>
        <w:pStyle w:val="BodyText"/>
      </w:pPr>
      <w:r>
        <w:t xml:space="preserve">L’avantage est un calendrier précis et un démarrage immédiat des cotisations, donc un effet rendement composé maximal. La première cohorte capitalisée commence à cotiser avant la fin du mandat exécutif qui porte la réforme - c’est, en démocratie majoritaire, un atout politique décisif. La limite est qu’elle exige un pacte ferme avec un acteur majeur. En France, ce pacte se construit côté syndical avec la CFDT, la CFE-CGC, voire l’UNSA, côté patronal avec MEDEF, CPME et U2P. Sans pacte, la réforme reste fragile à l’alternance. La </w:t>
      </w:r>
      <w:r>
        <w:lastRenderedPageBreak/>
        <w:t>condition de succès est tout aussi sèche : accord syndical-patronal signé avant la loi, trajectoire de cotisation gravée dans la loi initiale par paliers annuels, pas dans une feuille de route gouvernementale révocable. La leçon australienne est là pour le rappeler : Howard a gelé en 2002, Abbott en 2014, ce sont au total quinze ans perdus sur les trente-trois ans du déploiement</w:t>
      </w:r>
      <w:r>
        <w:rPr>
          <w:rStyle w:val="FootnoteReference"/>
        </w:rPr>
        <w:footnoteReference w:id="319"/>
      </w:r>
      <w:r>
        <w:t>.</w:t>
      </w:r>
    </w:p>
    <w:p w14:paraId="5EA2800F" w14:textId="77777777" w:rsidR="00BF0342" w:rsidRDefault="00000000">
      <w:pPr>
        <w:pStyle w:val="Heading4"/>
      </w:pPr>
      <w:bookmarkStart w:id="98" w:name="à-éviter---la-voie-chilienne"/>
      <w:bookmarkEnd w:id="97"/>
      <w:r>
        <w:t>À éviter - La voie chilienne</w:t>
      </w:r>
    </w:p>
    <w:p w14:paraId="1B179DA3" w14:textId="77777777" w:rsidR="00BF0342" w:rsidRDefault="00000000">
      <w:pPr>
        <w:pStyle w:val="FirstParagraph"/>
      </w:pPr>
      <w:r>
        <w:t xml:space="preserve">1981, par décret-loi, sans concertation, sous régime autoritaire. Le seul des cinq modèles étudiés au chapitre précédent qui a échoué socialement. Le Chili a substitué intégralement la capitalisation à la répartition, avec les conséquences qu’on sait : taux de remplacement à 38 %, </w:t>
      </w:r>
      <w:r>
        <w:rPr>
          <w:i/>
          <w:iCs/>
        </w:rPr>
        <w:t>estallido social</w:t>
      </w:r>
      <w:r>
        <w:t xml:space="preserve"> d’octobre 2019, et finalement loi 21735 de janvier 2025 qui réintroduit cotisation patronale et pilier solidaire après quarante-quatre ans, votée à 110 voix contre 38 par le Congrès chilien</w:t>
      </w:r>
      <w:r>
        <w:rPr>
          <w:rStyle w:val="FootnoteReference"/>
        </w:rPr>
        <w:footnoteReference w:id="320"/>
      </w:r>
      <w:r>
        <w:t>. La France n’est ni en régime autoritaire ni pressée par un coup d’État. Cette voie n’est pas seulement inacceptable politiquement. Elle ne marche pas.</w:t>
      </w:r>
    </w:p>
    <w:p w14:paraId="7407360D" w14:textId="77777777" w:rsidR="00BF0342" w:rsidRDefault="00000000">
      <w:pPr>
        <w:pStyle w:val="BodyText"/>
      </w:pPr>
      <w:r>
        <w:t>5.7 La gouvernance institutionnelle</w:t>
      </w:r>
    </w:p>
    <w:p w14:paraId="53B187A2" w14:textId="77777777" w:rsidR="00BF0342" w:rsidRDefault="00000000">
      <w:pPr>
        <w:pStyle w:val="BodyText"/>
      </w:pPr>
      <w:r>
        <w:t>Quelle que soit la voie choisie, cinq fondations institutionnelles sont non négociables. Elles structurent l’architecture du véhicule, son capital, sa gouvernance, son fléchage et sa transparence.</w:t>
      </w:r>
    </w:p>
    <w:p w14:paraId="5CAD35E1" w14:textId="77777777" w:rsidR="00BF0342" w:rsidRDefault="00000000">
      <w:pPr>
        <w:pStyle w:val="BodyText"/>
      </w:pPr>
      <w:r>
        <w:rPr>
          <w:b/>
          <w:bCs/>
        </w:rPr>
        <w:t>Le Fonds Français de Capitalisation (FFC).</w:t>
      </w:r>
      <w:r>
        <w:t xml:space="preserve"> Une seule entité, créée par loi ordinaire en 2027. Gouvernance hybride inspirée de la CDPQ québécoise (473 Md CAD$ d’encours fin 2024) pour la professionnalisation actuarielle, et de l’AGIRC-ARRCO (27 millions de cotisants) pour la légitimité paritaire</w:t>
      </w:r>
      <w:r>
        <w:rPr>
          <w:rStyle w:val="FootnoteReference"/>
        </w:rPr>
        <w:footnoteReference w:id="321"/>
      </w:r>
      <w:r>
        <w:t>. Direction des investissements indépendante, recrutée sur appel d’offres international à l’image de la CDPQ ou de NBIM Norvège. Le PER privé reste en pilier 3 volontaire - il ne disparaît pas - mais cesse d’être le seul instrument capitalisé du pays.</w:t>
      </w:r>
    </w:p>
    <w:p w14:paraId="7BF8E562" w14:textId="77777777" w:rsidR="00BF0342" w:rsidRDefault="00000000">
      <w:pPr>
        <w:pStyle w:val="BodyText"/>
      </w:pPr>
      <w:r>
        <w:rPr>
          <w:b/>
          <w:bCs/>
        </w:rPr>
        <w:t>Le paritarisme 1/3 État - 1/3 syndicats - 1/3 patronat.</w:t>
      </w:r>
      <w:r>
        <w:t xml:space="preserve"> Modèles AGIRC-ARRCO et ABP néerlandais</w:t>
      </w:r>
      <w:r>
        <w:rPr>
          <w:rStyle w:val="FootnoteReference"/>
        </w:rPr>
        <w:footnoteReference w:id="322"/>
      </w:r>
      <w:r>
        <w:t xml:space="preserve">. Conseil d’administration tripartite, mandats de six ans non renouvelables, président tournant. C’est cette structure qui désamorce simultanément l’objection « </w:t>
      </w:r>
      <w:r>
        <w:lastRenderedPageBreak/>
        <w:t>capture politique » et l’objection « technocratie hors-sol ». Légitimité politique en haut, expertise actuarielle en bas, paritarisme social au centre. Pour les régimes complémentaires français, le précédent paritaire existe depuis 1947 et a survécu à tous les changements politiques - c’est, paradoxalement, la pièce la plus stable de l’architecture sociale française.</w:t>
      </w:r>
    </w:p>
    <w:p w14:paraId="1684C8FB" w14:textId="77777777" w:rsidR="00BF0342" w:rsidRDefault="00000000">
      <w:pPr>
        <w:pStyle w:val="BodyText"/>
      </w:pPr>
      <w:r>
        <w:rPr>
          <w:b/>
          <w:bCs/>
        </w:rPr>
        <w:t>Une autorité prudentielle indépendante.</w:t>
      </w:r>
      <w:r>
        <w:t xml:space="preserve"> Modèle APRA en Australie, DNB aux Pays-Bas, </w:t>
      </w:r>
      <w:r>
        <w:rPr>
          <w:i/>
          <w:iCs/>
        </w:rPr>
        <w:t>Pensions Regulator</w:t>
      </w:r>
      <w:r>
        <w:t xml:space="preserve"> au Royaume-Uni</w:t>
      </w:r>
      <w:r>
        <w:rPr>
          <w:rStyle w:val="FootnoteReference"/>
        </w:rPr>
        <w:footnoteReference w:id="323"/>
      </w:r>
      <w:r>
        <w:t>. Trois options pour la France : délégation à l’ACPR (rapide, compétences existantes), création d’une autorité administrative indépendante dédiée (plus crédible sur la durée, ~30-50 M€/an de fonctionnement), ou coordination ACPR-AMF (compromis institutionnel). Toutes sont compatibles avec la directive IORP II</w:t>
      </w:r>
      <w:r>
        <w:rPr>
          <w:rStyle w:val="FootnoteReference"/>
        </w:rPr>
        <w:footnoteReference w:id="324"/>
      </w:r>
      <w:r>
        <w:t xml:space="preserve">. L’expérience australienne du </w:t>
      </w:r>
      <w:r>
        <w:rPr>
          <w:i/>
          <w:iCs/>
        </w:rPr>
        <w:t>MySuper Performance Test</w:t>
      </w:r>
      <w:r>
        <w:t xml:space="preserve"> mérite d’être étudiée : en 2021, 13 produits MySuper avaient échoué au test annuel inaugural ; depuis, neuf produits sous-performants ont quitté le marché, et en 2025 un seul échec subsiste sur 64 produits évalués</w:t>
      </w:r>
      <w:r>
        <w:rPr>
          <w:rStyle w:val="FootnoteReference"/>
        </w:rPr>
        <w:footnoteReference w:id="325"/>
      </w:r>
      <w:r>
        <w:t>. Une régulation prudentielle stricte ne tue pas l’industrie. Elle l’assainit.</w:t>
      </w:r>
    </w:p>
    <w:p w14:paraId="7F1EF9B4" w14:textId="77777777" w:rsidR="00BF0342" w:rsidRDefault="00000000">
      <w:pPr>
        <w:pStyle w:val="BodyText"/>
      </w:pPr>
      <w:r>
        <w:rPr>
          <w:b/>
          <w:bCs/>
        </w:rPr>
        <w:t>Le fléchage souverain</w:t>
      </w:r>
      <w:r>
        <w:t xml:space="preserve"> </w:t>
      </w:r>
      <w:r>
        <w:rPr>
          <w:b/>
          <w:bCs/>
        </w:rPr>
        <w:t>- 25 % minimum sur PME et ETI françaises.</w:t>
      </w:r>
      <w:r>
        <w:t xml:space="preserve"> Sans contrainte, les fonds de pension de marché reproduisent un </w:t>
      </w:r>
      <w:r>
        <w:rPr>
          <w:i/>
          <w:iCs/>
        </w:rPr>
        <w:t>home bias</w:t>
      </w:r>
      <w:r>
        <w:t xml:space="preserve"> documenté de 10 à 25 % - insuffisant pour la souveraineté économique</w:t>
      </w:r>
      <w:r>
        <w:rPr>
          <w:rStyle w:val="FootnoteReference"/>
        </w:rPr>
        <w:footnoteReference w:id="326"/>
      </w:r>
      <w:r>
        <w:t>. Le mandat du FFC inscrit un plancher de 25 % d’allocation en capital et dette de PME-ETI françaises non cotées, complété d’un volet ETI cotées d’au moins 10 %. Précédents : CDPQ-Bombardier, ABP-Air France-KLM, USS-Heathrow</w:t>
      </w:r>
      <w:r>
        <w:rPr>
          <w:rStyle w:val="FootnoteReference"/>
        </w:rPr>
        <w:footnoteReference w:id="327"/>
      </w:r>
      <w:r>
        <w:t>. Le capital étranger reste bienvenu ; il ne doit plus être le seul à pouvoir reprendre nos entreprises familiales - c’est la mâchoire à 240 000 entreprises sans repreneur sur dix ans documentée au chapitre 3.</w:t>
      </w:r>
    </w:p>
    <w:p w14:paraId="625E7B41" w14:textId="77777777" w:rsidR="00BF0342" w:rsidRDefault="00000000">
      <w:pPr>
        <w:pStyle w:val="BodyText"/>
      </w:pPr>
      <w:r>
        <w:rPr>
          <w:b/>
          <w:bCs/>
        </w:rPr>
        <w:t>La transparence radicale.</w:t>
      </w:r>
      <w:r>
        <w:t xml:space="preserve"> Modèle CPPIB Canada : tout est public, des frais aux votes en assemblée d’actionnaires</w:t>
      </w:r>
      <w:r>
        <w:rPr>
          <w:rStyle w:val="FootnoteReference"/>
        </w:rPr>
        <w:footnoteReference w:id="328"/>
      </w:r>
      <w:r>
        <w:t xml:space="preserve">. Le FFC publie chaque année un rapport actuariel détaillé, un rapport d’investissement par classe d’actifs, un rapport ESG voté par l’assemblée des </w:t>
      </w:r>
      <w:r>
        <w:lastRenderedPageBreak/>
        <w:t xml:space="preserve">cotisants. La Cour des comptes audite en continu. Les bases sont ouvertes en </w:t>
      </w:r>
      <w:r>
        <w:rPr>
          <w:i/>
          <w:iCs/>
        </w:rPr>
        <w:t>open data</w:t>
      </w:r>
      <w:r>
        <w:t>. Le cotisant français doit pouvoir, à tout moment, savoir où va son euro. C’est la condition du pacte de confiance que l’opacité des fonds en euros et la complexité du PER ont, depuis vingt ans, abîmé</w:t>
      </w:r>
      <w:r>
        <w:rPr>
          <w:rStyle w:val="FootnoteReference"/>
        </w:rPr>
        <w:footnoteReference w:id="329"/>
      </w:r>
      <w:r>
        <w:t>.</w:t>
      </w:r>
    </w:p>
    <w:p w14:paraId="5DAB5908" w14:textId="77777777" w:rsidR="00BF0342" w:rsidRDefault="00000000">
      <w:pPr>
        <w:pStyle w:val="BodyText"/>
      </w:pPr>
      <w:r>
        <w:t>5.8 Les conditions de réussite politique</w:t>
      </w:r>
    </w:p>
    <w:p w14:paraId="118381BE" w14:textId="77777777" w:rsidR="00BF0342" w:rsidRDefault="00000000">
      <w:pPr>
        <w:pStyle w:val="BodyText"/>
      </w:pPr>
      <w:r>
        <w:t>Quelle que soit la voie A ou B, trois conditions transversales conditionnent la réussite.</w:t>
      </w:r>
    </w:p>
    <w:p w14:paraId="7D1516D5" w14:textId="77777777" w:rsidR="00BF0342" w:rsidRDefault="00000000">
      <w:pPr>
        <w:pStyle w:val="BodyText"/>
      </w:pPr>
      <w:r>
        <w:t xml:space="preserve">D’abord, </w:t>
      </w:r>
      <w:r>
        <w:rPr>
          <w:b/>
          <w:bCs/>
        </w:rPr>
        <w:t>une commission indépendante préalable</w:t>
      </w:r>
      <w:r>
        <w:t xml:space="preserve"> - essentielle pour la voie A, compressée à six mois pour la voie B. Sur le modèle Turner britannique, son mandat est de produire un diagnostic public partagé qui rende le débat politique possible</w:t>
      </w:r>
      <w:r>
        <w:rPr>
          <w:rStyle w:val="FootnoteReference"/>
        </w:rPr>
        <w:footnoteReference w:id="330"/>
      </w:r>
      <w:r>
        <w:t>. Sans cette étape, la discussion bute sur des chiffres contestés et sur des projections concurrentes, et l’opinion ne peut pas arbitrer.</w:t>
      </w:r>
    </w:p>
    <w:p w14:paraId="2D19EE27" w14:textId="77777777" w:rsidR="00BF0342" w:rsidRDefault="00000000">
      <w:pPr>
        <w:pStyle w:val="BodyText"/>
      </w:pPr>
      <w:r>
        <w:t xml:space="preserve">Ensuite, </w:t>
      </w:r>
      <w:r>
        <w:rPr>
          <w:b/>
          <w:bCs/>
        </w:rPr>
        <w:t>un pacte syndical</w:t>
      </w:r>
      <w:r>
        <w:t xml:space="preserve"> - CFDT et CFE-CGC au minimum, idéalement avec l’UNSA pour la voie B. Un accord négocié, signé, opposable. C’est exactement ce qu’a fait l’Australie en 1985 avec Bill Kelty et l’ACTU : modération salariale négociée contre capital différé, contractualisée dans l’</w:t>
      </w:r>
      <w:r>
        <w:rPr>
          <w:i/>
          <w:iCs/>
        </w:rPr>
        <w:t>Accord Prices and Incomes Mark II</w:t>
      </w:r>
      <w:r>
        <w:t>, puis traduite en SG Act sept ans plus tard</w:t>
      </w:r>
      <w:r>
        <w:rPr>
          <w:rStyle w:val="FootnoteReference"/>
        </w:rPr>
        <w:footnoteReference w:id="331"/>
      </w:r>
      <w:r>
        <w:t>. C’est ce que la France n’a su faire à aucune des trois tentatives de 1997, 2019 et 2023.</w:t>
      </w:r>
    </w:p>
    <w:p w14:paraId="56D222E9" w14:textId="77777777" w:rsidR="00BF0342" w:rsidRDefault="00000000">
      <w:pPr>
        <w:pStyle w:val="BodyText"/>
      </w:pPr>
      <w:r>
        <w:t xml:space="preserve">Enfin, </w:t>
      </w:r>
      <w:r>
        <w:rPr>
          <w:b/>
          <w:bCs/>
        </w:rPr>
        <w:t>une communication massive sur dix-huit mois minimum</w:t>
      </w:r>
      <w:r>
        <w:t>, martelant trois messages simples. Les retraites des retraités actuels ne baissent pas. La répartition est préservée. Le pilier nouveau est un complément qui se construit pour les actifs</w:t>
      </w:r>
      <w:r>
        <w:rPr>
          <w:rStyle w:val="FootnoteReference"/>
        </w:rPr>
        <w:footnoteReference w:id="332"/>
      </w:r>
      <w:r>
        <w:t>. La présidentielle de 2027 est, à cet égard, le moment d’arbitrage politique le plus naturel - pas pour imposer la réforme, mais pour la rendre légitime par le suffrage. Les sondages cités plus haut indiquent que le terrain est mûr : 57 % de Français favorables à un système mixte selon Odoxa-Groupama de novembre 2025, c’est-à-dire un consentement supérieur à toutes les majorités présidentielles depuis 2017. Ce capital de légitimité est, à proprement parler, un actif politique périssable. Il ne durera pas indéfiniment.</w:t>
      </w:r>
    </w:p>
    <w:p w14:paraId="56922F31" w14:textId="77777777" w:rsidR="00BF0342" w:rsidRDefault="00000000">
      <w:pPr>
        <w:pStyle w:val="Heading3"/>
      </w:pPr>
      <w:bookmarkStart w:id="99" w:name="lagenda-2027-2052-en-quatre-phases"/>
      <w:bookmarkStart w:id="100" w:name="_Toc233036213"/>
      <w:bookmarkEnd w:id="98"/>
      <w:r>
        <w:lastRenderedPageBreak/>
        <w:t>L’agenda 2027-2052 en quatre phases</w:t>
      </w:r>
      <w:bookmarkEnd w:id="100"/>
    </w:p>
    <w:p w14:paraId="41294FE1" w14:textId="77777777" w:rsidR="00BF0342" w:rsidRDefault="00000000">
      <w:pPr>
        <w:pStyle w:val="FirstParagraph"/>
      </w:pPr>
      <w:r>
        <w:t>Les enjeux structurels arbitrés et la méthode politique choisie, l’agenda devient lisible. Vingt-cinq ans articulés en quatre phases - préparation, lancement, déploiement, maturation - qui absorbent douze propositions concrètes. Le calendrier ci-dessous suppose l’horizon haut de la voie A. La voie B compresse la phase 1 à six mois et démarre la cotisation patronale dès 2028 ; les piliers de fond restent identiques.</w:t>
      </w:r>
    </w:p>
    <w:p w14:paraId="68EA45D9" w14:textId="77777777" w:rsidR="00BF0342" w:rsidRDefault="00000000">
      <w:pPr>
        <w:pStyle w:val="BodyText"/>
      </w:pPr>
      <w:r>
        <w:t>Phase 1 - Préparation (2027-2028)</w:t>
      </w:r>
    </w:p>
    <w:p w14:paraId="7E86913C" w14:textId="77777777" w:rsidR="00BF0342" w:rsidRDefault="00000000">
      <w:pPr>
        <w:pStyle w:val="Heading4"/>
      </w:pPr>
      <w:bookmarkStart w:id="101" w:name="X94e292f3322492d18827ac546d68170ecafaa9f"/>
      <w:r>
        <w:t>Proposition 1 - Une Commission indépendante transpartisane, mandatée dès 2027</w:t>
      </w:r>
    </w:p>
    <w:p w14:paraId="0B7EB139" w14:textId="77777777" w:rsidR="00BF0342" w:rsidRDefault="00000000">
      <w:pPr>
        <w:pStyle w:val="BlockText"/>
      </w:pPr>
      <w:r>
        <w:rPr>
          <w:i/>
          <w:iCs/>
        </w:rPr>
        <w:t>« Diagnostic d’abord, vote ensuite. C’est la seule séquence qui ait jamais tenu trente ans. »</w:t>
      </w:r>
    </w:p>
    <w:p w14:paraId="166185F1" w14:textId="77777777" w:rsidR="00BF0342" w:rsidRDefault="00000000">
      <w:pPr>
        <w:pStyle w:val="FirstParagraph"/>
      </w:pPr>
      <w:r>
        <w:t xml:space="preserve">La Commission est mandatée par décret au lendemain de la présidentielle, composée de trois membres nommés conjointement par le président de la République, le Premier ministre et les présidents des deux chambres. Son mandat : produire un diagnostic public partagé en dix-huit mois, sur le modèle des trois rapports Turner publiés entre 2004 et 2006. Ces rapports britanniques ont été ratifiés par Travaillistes et Conservateurs avant le </w:t>
      </w:r>
      <w:r>
        <w:rPr>
          <w:i/>
          <w:iCs/>
        </w:rPr>
        <w:t>Pensions Act 2008</w:t>
      </w:r>
      <w:r>
        <w:t xml:space="preserve"> - c’est cette ratification, et elle seule, qui explique la durabilité du dispositif. Pour la voie B, la durée est compressée à six mois et la Commission est doublée d’un mandat de négociation syndicale parallèle, sur le modèle Hawke-Kelty.</w:t>
      </w:r>
    </w:p>
    <w:p w14:paraId="365C24CD" w14:textId="77777777" w:rsidR="00BF0342" w:rsidRDefault="00000000">
      <w:pPr>
        <w:pStyle w:val="Heading4"/>
      </w:pPr>
      <w:bookmarkStart w:id="102" w:name="X663cee22184df2f0955e7cc663b28f65afc7737"/>
      <w:bookmarkEnd w:id="101"/>
      <w:r>
        <w:t>Proposition 2 - Une loi-cadre votée à majorité qualifiée des trois cinquièmes</w:t>
      </w:r>
    </w:p>
    <w:p w14:paraId="07FC936F" w14:textId="77777777" w:rsidR="00BF0342" w:rsidRDefault="00000000">
      <w:pPr>
        <w:pStyle w:val="BlockText"/>
      </w:pPr>
      <w:r>
        <w:rPr>
          <w:i/>
          <w:iCs/>
        </w:rPr>
        <w:t>« Loi Thomas 1997, abrogée en 2002. Cinq ans pour rien. À ne pas répéter. »</w:t>
      </w:r>
    </w:p>
    <w:p w14:paraId="7FB0BD52" w14:textId="77777777" w:rsidR="00BF0342" w:rsidRDefault="00000000">
      <w:pPr>
        <w:pStyle w:val="FirstParagraph"/>
      </w:pPr>
      <w:r>
        <w:t>Une loi ordinaire ne suffit pas en voie A : elle se défait à l’alternance suivante. La loi-cadre, votée par le Parlement réuni en Congrès à la majorité des trois cinquièmes, inscrit les quatre invariants du chapitre 4 - cotisation patronale, plancher universel, fonds par défaut public, gouvernance paritaire - et impose la même majorité pour toute modification ultérieure. Précédent procédural en France : la loi organique relative aux lois de financement de la Sécurité sociale de 2005. En voie B, la loi-cadre passe en loi ordinaire mais la trajectoire de cotisation est gravée par paliers annuels, opposable à tout gouvernement futur - c’est ce qu’Howard et Abbott n’avaient pas en Australie.</w:t>
      </w:r>
    </w:p>
    <w:p w14:paraId="3A5BF53D" w14:textId="77777777" w:rsidR="00BF0342" w:rsidRDefault="00000000">
      <w:pPr>
        <w:pStyle w:val="Heading4"/>
      </w:pPr>
      <w:bookmarkStart w:id="103" w:name="X273843a900e97f90e375a9d8622ff58cb1b823d"/>
      <w:bookmarkEnd w:id="102"/>
      <w:r>
        <w:t>Proposition 3 - Redéploiement intégral du FRR vers le FFC, 1ᵉʳ janvier 2028</w:t>
      </w:r>
    </w:p>
    <w:p w14:paraId="74DC0823" w14:textId="77777777" w:rsidR="00BF0342" w:rsidRDefault="00000000">
      <w:pPr>
        <w:pStyle w:val="BlockText"/>
      </w:pPr>
      <w:r>
        <w:rPr>
          <w:i/>
          <w:iCs/>
        </w:rPr>
        <w:t>« 20,4 milliards qui dorment depuis quinze ans, mis enfin au travail. »</w:t>
      </w:r>
    </w:p>
    <w:p w14:paraId="383124E5" w14:textId="77777777" w:rsidR="00BF0342" w:rsidRDefault="00000000">
      <w:pPr>
        <w:pStyle w:val="FirstParagraph"/>
      </w:pPr>
      <w:r>
        <w:t>Le FRR a été institué en 1999 par la loi de financement de la Sécurité sociale, puis érigé en établissement public par la loi n° 2001-624 du 17 juillet 2001, pour absorber le choc démographique des années 2020</w:t>
      </w:r>
      <w:r>
        <w:rPr>
          <w:rStyle w:val="FootnoteReference"/>
        </w:rPr>
        <w:footnoteReference w:id="333"/>
      </w:r>
      <w:r>
        <w:t xml:space="preserve">. Il sert aujourd’hui à colmater les trous annuels de la CADES (versements de ~2,1 Md€/an depuis 2011), ce qui n’était pas son objet. Sa réaffectation intégrale au FFC est un geste politique visible - « vingt milliards qui changent </w:t>
      </w:r>
      <w:r>
        <w:lastRenderedPageBreak/>
        <w:t>de table » - et un capital immédiatement productif. Rendement annualisé 2003-2024 : 4,1 % réel net, comparable aux meilleurs fonds souverains européens. Pas d’argent neuf demandé. Du capital existant, mieux employé.</w:t>
      </w:r>
    </w:p>
    <w:p w14:paraId="50613A89" w14:textId="77777777" w:rsidR="00BF0342" w:rsidRDefault="00000000">
      <w:pPr>
        <w:pStyle w:val="BodyText"/>
      </w:pPr>
      <w:r>
        <w:t>Phase 2 - Lancement (2029-2032)</w:t>
      </w:r>
    </w:p>
    <w:p w14:paraId="3D0F6F57" w14:textId="77777777" w:rsidR="00BF0342" w:rsidRDefault="00000000">
      <w:pPr>
        <w:pStyle w:val="Heading4"/>
      </w:pPr>
      <w:bookmarkStart w:id="104" w:name="X808494d934248d6a6ba9bd731406804674ccc90"/>
      <w:bookmarkEnd w:id="103"/>
      <w:r>
        <w:t>Proposition 4 - Création du Fonds Français de Capitalisation</w:t>
      </w:r>
    </w:p>
    <w:p w14:paraId="142F20B8" w14:textId="77777777" w:rsidR="00BF0342" w:rsidRDefault="00000000">
      <w:pPr>
        <w:pStyle w:val="BlockText"/>
      </w:pPr>
      <w:r>
        <w:rPr>
          <w:i/>
          <w:iCs/>
        </w:rPr>
        <w:t>« Une seule entité publique-paritaire. Modèle CDPQ Québec, 473 milliards d’encours, indépendance professionnelle, légitimité paritaire. »</w:t>
      </w:r>
    </w:p>
    <w:p w14:paraId="6F06EA96" w14:textId="77777777" w:rsidR="00BF0342" w:rsidRDefault="00000000">
      <w:pPr>
        <w:pStyle w:val="FirstParagraph"/>
      </w:pPr>
      <w:r>
        <w:t>Le FFC est créé par décret d’application en janvier 2029, sous statut d’établissement public administratif. Direction des investissements indépendante, recrutée sur appel d’offres international. Conseil de surveillance paritaire. Mandat pluriannuel public révisé tous les cinq ans. Le FFC absorbe le FRR et l’ERAFP, et accueille les premières cotisations patronales nouvelles dès 2029. C’est la pierre angulaire architecturale : sans une entité unique, professionnelle et publique, la France retomberait dans la dispersion d’instruments commerciaux qui caractérise le PER actuel.</w:t>
      </w:r>
    </w:p>
    <w:p w14:paraId="77628216" w14:textId="77777777" w:rsidR="00BF0342" w:rsidRDefault="00000000">
      <w:pPr>
        <w:pStyle w:val="Heading4"/>
      </w:pPr>
      <w:bookmarkStart w:id="105" w:name="Xb7973ed50583f7e134bacafccd15f6ddf3a30c0"/>
      <w:bookmarkEnd w:id="104"/>
      <w:r>
        <w:t>Proposition 5 - Gouvernance paritaire 1/3 - 1/3 - 1/3 mise en place</w:t>
      </w:r>
    </w:p>
    <w:p w14:paraId="1925811A" w14:textId="77777777" w:rsidR="00BF0342" w:rsidRDefault="00000000">
      <w:pPr>
        <w:pStyle w:val="BlockText"/>
      </w:pPr>
      <w:r>
        <w:rPr>
          <w:i/>
          <w:iCs/>
        </w:rPr>
        <w:t>« Ce qui n’est pas négocié ne tient pas. »</w:t>
      </w:r>
    </w:p>
    <w:p w14:paraId="4ED686B4" w14:textId="77777777" w:rsidR="00BF0342" w:rsidRDefault="00000000">
      <w:pPr>
        <w:pStyle w:val="FirstParagraph"/>
      </w:pPr>
      <w:r>
        <w:t>Conseil d’administration tripartite (État, syndicats représentatifs, organisations patronales représentatives), mandats de six ans non renouvelables, président tournant. Au-dessus, l’autorité prudentielle indépendante contrôle l’allocation, les frais, le respect du mandat. En-dessous, la direction des investissements exécute. La structure désamorce simultanément les deux objections principales : capture politique en haut, technocratie hors-sol en bas.</w:t>
      </w:r>
    </w:p>
    <w:p w14:paraId="16FA9371" w14:textId="77777777" w:rsidR="00BF0342" w:rsidRDefault="00000000">
      <w:pPr>
        <w:pStyle w:val="Heading4"/>
      </w:pPr>
      <w:bookmarkStart w:id="106" w:name="X76e302d83acc29ce05930b3ae43731431941793"/>
      <w:bookmarkEnd w:id="105"/>
      <w:r>
        <w:t>Proposition 6 - Cotisation patronale, 0,5 % au lancement, 4 % en 2035 (voie B) ou 2042 (voie A)</w:t>
      </w:r>
    </w:p>
    <w:p w14:paraId="25F706AE" w14:textId="77777777" w:rsidR="00BF0342" w:rsidRDefault="00000000">
      <w:pPr>
        <w:pStyle w:val="BlockText"/>
      </w:pPr>
      <w:r>
        <w:rPr>
          <w:i/>
          <w:iCs/>
        </w:rPr>
        <w:t>« La cotisation patronale a porté l’Australie de 3 à 12 %. Elle peut porter la France de 0 à 4. »</w:t>
      </w:r>
    </w:p>
    <w:p w14:paraId="10C816A2" w14:textId="77777777" w:rsidR="00BF0342" w:rsidRDefault="00000000">
      <w:pPr>
        <w:pStyle w:val="FirstParagraph"/>
      </w:pPr>
      <w:r>
        <w:t>Hausse paritaire programmée par paliers gravés dans la loi, pas par feuille de route. Calibration scénario D du modèle Python : 0,5 pt par an, de 0,5 % en année 1 à 4 % en 2035 pour la voie B, en 2042 pour la voie A. Cotisation patronale d’abord, parce qu’elle désarme l’objection « amputation de salaire » et qu’elle est celle qui désamorce, en Australie comme en Suède, l’inquiétude immédiate des actifs. À 4 % de cotisation sur la masse salariale du privé (~1 100 Md€ en 2027), le flux annuel s’établit à ~44 Md€/an en régime de croisière - soit, à comparaison, l’équivalent du déficit COR projeté en 2070. La leçon australienne est rude : sans paliers légaux, le gel intervient. Les paliers annuels doivent être opposables. L’incidence salariale partielle - c’est-à-dire la part absorbée par modération salariale négociée - est documentée à 70-80 % sur le long terme en Australie ; elle reste comparable au modèle social français quand elle est négociée avec les organisations syndicales en amont, à la suédoise ou à l’australienne.</w:t>
      </w:r>
    </w:p>
    <w:p w14:paraId="6718FB06" w14:textId="77777777" w:rsidR="00BF0342" w:rsidRDefault="00000000">
      <w:pPr>
        <w:pStyle w:val="Heading4"/>
      </w:pPr>
      <w:bookmarkStart w:id="107" w:name="X2758ab877f4047caa7f1ec6f3b12794d21adfe4"/>
      <w:bookmarkEnd w:id="106"/>
      <w:r>
        <w:lastRenderedPageBreak/>
        <w:t>Proposition 7 - Émission d’eurobonds retraite dédiés, 50 Md€ étalés 2030-2034</w:t>
      </w:r>
    </w:p>
    <w:p w14:paraId="4462FB88" w14:textId="77777777" w:rsidR="00BF0342" w:rsidRDefault="00000000">
      <w:pPr>
        <w:pStyle w:val="BlockText"/>
      </w:pPr>
      <w:r>
        <w:rPr>
          <w:i/>
          <w:iCs/>
        </w:rPr>
        <w:t>« Précédent NextGenerationEU : 800 milliards levés en commun, sans crise. »</w:t>
      </w:r>
    </w:p>
    <w:p w14:paraId="24586EE5" w14:textId="77777777" w:rsidR="00BF0342" w:rsidRDefault="00000000">
      <w:pPr>
        <w:pStyle w:val="FirstParagraph"/>
      </w:pPr>
      <w:r>
        <w:t>L’objection française du « double paiement » n’est pas une fatalité - c’est une équation. Aucun pays comparable ne l’a financée par l’impôt général. La France peut, dans le cadre de l’Union, émettre des eurobonds dédiés à la transition retraite - instruments à 30-50 ans, garantie conjointe - pour lisser la bosse 2030-2040. Dix milliards par an pendant cinq ans, soit moins de 0,4 % du PIB annuel et 1,7 point sur le compteur Maastricht. Le coût d’inaction est sans commune mesure : 45 Md€ de déficit annuel COR projeté en 2070. Proposition essentielle pour la voie B (démarrage immédiat exigeant un amorçage de capital significatif), optionnelle mais souhaitable pour la voie A.</w:t>
      </w:r>
    </w:p>
    <w:p w14:paraId="6FA2FC8A" w14:textId="77777777" w:rsidR="00BF0342" w:rsidRDefault="00000000">
      <w:pPr>
        <w:pStyle w:val="BodyText"/>
      </w:pPr>
      <w:r>
        <w:t>Phase 3 - Déploiement (2033-2042)</w:t>
      </w:r>
    </w:p>
    <w:p w14:paraId="5ABF208F" w14:textId="77777777" w:rsidR="00BF0342" w:rsidRDefault="00000000">
      <w:pPr>
        <w:pStyle w:val="Heading4"/>
      </w:pPr>
      <w:bookmarkStart w:id="108" w:name="Xa71331c7ecf8bfbfda4c9601a3e95f93bba7bed"/>
      <w:bookmarkEnd w:id="107"/>
      <w:r>
        <w:t>Proposition 8 - Auto-enrolment universel, déployé par taille d’entreprise</w:t>
      </w:r>
    </w:p>
    <w:p w14:paraId="7150F379" w14:textId="77777777" w:rsidR="00BF0342" w:rsidRDefault="00000000">
      <w:pPr>
        <w:pStyle w:val="BlockText"/>
      </w:pPr>
      <w:r>
        <w:rPr>
          <w:i/>
          <w:iCs/>
        </w:rPr>
        <w:t>« Modèle NEST UK : 13 millions de membres, 80 % de couverture en sept ans. »</w:t>
      </w:r>
    </w:p>
    <w:p w14:paraId="49996DE1" w14:textId="77777777" w:rsidR="00BF0342" w:rsidRDefault="00000000">
      <w:pPr>
        <w:pStyle w:val="FirstParagraph"/>
      </w:pPr>
      <w:r>
        <w:t>Tout employeur inscrit automatiquement ses salariés au FFC. L’opt-out reste légal - c’est la condition de constitutionnalité - mais l’inertie comportementale fait le travail : au Royaume-Uni, le taux d’opt-out observé entre octobre 2012 et octobre 2022 oscille entre 8 % et 12 % selon les années, jamais supérieur à 25 % même dans les TPE</w:t>
      </w:r>
      <w:r>
        <w:rPr>
          <w:rStyle w:val="FootnoteReference"/>
        </w:rPr>
        <w:footnoteReference w:id="334"/>
      </w:r>
      <w:r>
        <w:t xml:space="preserve">. Déploiement </w:t>
      </w:r>
      <w:r>
        <w:rPr>
          <w:i/>
          <w:iCs/>
        </w:rPr>
        <w:t>staging</w:t>
      </w:r>
      <w:r>
        <w:t xml:space="preserve"> par taille d’entreprise sur le modèle UK exact : grandes entreprises en 2033, ETI en 2035, PME en 2037, TPE et indépendants en 2039. Six ans pour atteindre la couverture universelle. Personne ne doit choisir d’épargner ; le défaut le fait à sa place. C’est le levier qui transforme un dispositif optionnel sous-utilisé (le PER actuel) en un système collectif effectif.</w:t>
      </w:r>
    </w:p>
    <w:p w14:paraId="1E19336C" w14:textId="77777777" w:rsidR="00BF0342" w:rsidRDefault="00000000">
      <w:pPr>
        <w:pStyle w:val="Heading4"/>
      </w:pPr>
      <w:bookmarkStart w:id="109" w:name="X17c1a02cd59e1b61f0726da0a772ddf4a96d8aa"/>
      <w:bookmarkEnd w:id="108"/>
      <w:r>
        <w:t>Proposition 9 - Fléchage souverain : 25 % minimum sur PME et ETI françaises</w:t>
      </w:r>
    </w:p>
    <w:p w14:paraId="47D6722D" w14:textId="77777777" w:rsidR="00BF0342" w:rsidRDefault="00000000">
      <w:pPr>
        <w:pStyle w:val="BlockText"/>
      </w:pPr>
      <w:r>
        <w:rPr>
          <w:i/>
          <w:iCs/>
        </w:rPr>
        <w:t>« 240 000 entreprises sans repreneur sur dix ans. Trois millions d’emplois en jeu. »</w:t>
      </w:r>
    </w:p>
    <w:p w14:paraId="08E70E2E" w14:textId="77777777" w:rsidR="00BF0342" w:rsidRDefault="00000000">
      <w:pPr>
        <w:pStyle w:val="FirstParagraph"/>
      </w:pPr>
      <w:r>
        <w:t xml:space="preserve">Le mandat du FFC inscrit un plancher de 25 % d’allocation en capital et dette de PME-ETI françaises non cotées, complété d’un volet ETI cotées d’au moins 10 %. Sans contrainte, les fonds de pension de marché reproduisent un </w:t>
      </w:r>
      <w:r>
        <w:rPr>
          <w:i/>
          <w:iCs/>
        </w:rPr>
        <w:t>home bias</w:t>
      </w:r>
      <w:r>
        <w:t xml:space="preserve"> de 10 à 25 % - insuffisant. La CDPQ alloue environ un quart au Québec ; l’ABP néerlandais a investi massivement dans le logement social domestique ; le USS britannique détient Heathrow. Le précédent international est documenté, la mécanique éprouvée. Le capital étranger reste bienvenu ; il ne doit plus être le seul à pouvoir reprendre nos entreprises familiales.</w:t>
      </w:r>
    </w:p>
    <w:p w14:paraId="2317A86B" w14:textId="77777777" w:rsidR="00BF0342" w:rsidRDefault="00000000">
      <w:pPr>
        <w:pStyle w:val="Heading4"/>
      </w:pPr>
      <w:bookmarkStart w:id="110" w:name="Xcaae3db4ef8c3e1e8d977d471aa1bb2e712cfbe"/>
      <w:bookmarkEnd w:id="109"/>
      <w:r>
        <w:t>Proposition 10 - Garantie publique de rendement plancher : inflation + 1 %</w:t>
      </w:r>
    </w:p>
    <w:p w14:paraId="5DA4E311" w14:textId="77777777" w:rsidR="00BF0342" w:rsidRDefault="00000000">
      <w:pPr>
        <w:pStyle w:val="BlockText"/>
      </w:pPr>
      <w:r>
        <w:rPr>
          <w:i/>
          <w:iCs/>
        </w:rPr>
        <w:t>« Le risque, ce n’est pas la volatilité d’une année. C’est de ne pas pouvoir manger à 75 ans. »</w:t>
      </w:r>
    </w:p>
    <w:p w14:paraId="19A7E6FC" w14:textId="77777777" w:rsidR="00BF0342" w:rsidRDefault="00000000">
      <w:pPr>
        <w:pStyle w:val="FirstParagraph"/>
      </w:pPr>
      <w:r>
        <w:lastRenderedPageBreak/>
        <w:t xml:space="preserve">L’État garantit un rendement réel plancher de 1 % par an sur la part capitalisée, calculé sur fenêtres glissantes de dix ans. C’est l’objection « casino » désarmée. Précédents : </w:t>
      </w:r>
      <w:r>
        <w:rPr>
          <w:i/>
          <w:iCs/>
        </w:rPr>
        <w:t>Garantipension</w:t>
      </w:r>
      <w:r>
        <w:t xml:space="preserve"> suédoise, </w:t>
      </w:r>
      <w:r>
        <w:rPr>
          <w:i/>
          <w:iCs/>
        </w:rPr>
        <w:t>Pension Protection Fund</w:t>
      </w:r>
      <w:r>
        <w:t xml:space="preserve"> britannique, </w:t>
      </w:r>
      <w:r>
        <w:rPr>
          <w:i/>
          <w:iCs/>
        </w:rPr>
        <w:t>funding ratio</w:t>
      </w:r>
      <w:r>
        <w:t xml:space="preserve"> minimum de 105 % imposé par la DNB néerlandaise</w:t>
      </w:r>
      <w:r>
        <w:rPr>
          <w:rStyle w:val="FootnoteReference"/>
        </w:rPr>
        <w:footnoteReference w:id="335"/>
      </w:r>
      <w:r>
        <w:t>. Coût estimé : 0,1 à 0,3 % du PIB, mutualisé via une réserve de stabilisation du FFC alimentée par les surperformances des années fastes. Cette garantie est la pièce maîtresse de l’accord pluripartite en voie A : sans elle, la CFDT ne signe pas. En voie B, elle est ajoutée par avenant dans les cinq ans suivant le lancement.</w:t>
      </w:r>
    </w:p>
    <w:p w14:paraId="595502EC" w14:textId="77777777" w:rsidR="00BF0342" w:rsidRDefault="00000000">
      <w:pPr>
        <w:pStyle w:val="Heading3"/>
      </w:pPr>
      <w:bookmarkStart w:id="111" w:name="phase-4---maturation-2043-2052"/>
      <w:bookmarkStart w:id="112" w:name="_Toc233036214"/>
      <w:bookmarkEnd w:id="99"/>
      <w:bookmarkEnd w:id="110"/>
      <w:r>
        <w:t>Phase 4 - Maturation (2043-2052)</w:t>
      </w:r>
      <w:bookmarkEnd w:id="112"/>
    </w:p>
    <w:p w14:paraId="2D5E0C79" w14:textId="77777777" w:rsidR="00BF0342" w:rsidRDefault="00000000">
      <w:pPr>
        <w:pStyle w:val="Heading4"/>
      </w:pPr>
      <w:bookmarkStart w:id="113" w:name="X7462520e63f957598d436f008141f808d7de55f"/>
      <w:r>
        <w:t>Proposition 11 - Transparence radicale institutionnalisée</w:t>
      </w:r>
    </w:p>
    <w:p w14:paraId="0C1157A6" w14:textId="77777777" w:rsidR="00BF0342" w:rsidRDefault="00000000">
      <w:pPr>
        <w:pStyle w:val="BlockText"/>
      </w:pPr>
      <w:r>
        <w:rPr>
          <w:i/>
          <w:iCs/>
        </w:rPr>
        <w:t>« Modèle CPPIB Canada : tout est public, des frais aux votes en assemblée d’actionnaires. »</w:t>
      </w:r>
    </w:p>
    <w:p w14:paraId="105C3F0B" w14:textId="77777777" w:rsidR="00BF0342" w:rsidRDefault="00000000">
      <w:pPr>
        <w:pStyle w:val="FirstParagraph"/>
      </w:pPr>
      <w:r>
        <w:t xml:space="preserve">À mesure que le FFC monte en encours et en visibilité publique, sa transparence devient un actif politique en soi. Rapport actuariel détaillé annuel, rapport d’investissement par classe d’actifs, rapport ESG voté par l’assemblée des cotisants, audit continu de la Cour des comptes, ouverture en </w:t>
      </w:r>
      <w:r>
        <w:rPr>
          <w:i/>
          <w:iCs/>
        </w:rPr>
        <w:t>open data</w:t>
      </w:r>
      <w:r>
        <w:t>. Cette transparence est la condition de durée du pacte de confiance - c’est elle qui, en Suède et au Canada, désarme les attaques périodiques contre les fonds publics. La France a ici une longueur d’avance institutionnelle : la Cour des comptes, l’ACPR et l’AMF disposent déjà des compétences. Reste à les mobiliser.</w:t>
      </w:r>
    </w:p>
    <w:p w14:paraId="3DEB4444" w14:textId="77777777" w:rsidR="00BF0342" w:rsidRDefault="00000000">
      <w:pPr>
        <w:pStyle w:val="Heading4"/>
      </w:pPr>
      <w:bookmarkStart w:id="114" w:name="Xf7ed174290b26a13821f4cd155724dedf16eda2"/>
      <w:bookmarkEnd w:id="113"/>
      <w:r>
        <w:t>Proposition 12 - Pacte intergénérationnel : sous-indexation des pensions 1 % sous l’inflation, dix ans</w:t>
      </w:r>
    </w:p>
    <w:p w14:paraId="05A6B22F" w14:textId="77777777" w:rsidR="00BF0342" w:rsidRDefault="00000000">
      <w:pPr>
        <w:pStyle w:val="BlockText"/>
      </w:pPr>
      <w:r>
        <w:rPr>
          <w:i/>
          <w:iCs/>
        </w:rPr>
        <w:t>« Les retraités d’aujourd’hui ont bénéficié d’un rendement implicite de l’ordre de 2,5 % par an. La génération suivante n’en attendra plus que 1,75 %. »</w:t>
      </w:r>
    </w:p>
    <w:p w14:paraId="670E6181" w14:textId="77777777" w:rsidR="00BF0342" w:rsidRDefault="00000000">
      <w:pPr>
        <w:pStyle w:val="FirstParagraph"/>
      </w:pPr>
      <w:r>
        <w:t>C’est la proposition la plus douloureuse, et la plus honnête. Aucune transition n’est faisable sans la regarder en face. Effort réparti : les actifs paient davantage (cotisation patronale nouvelle), les retraités paient un peu moins (indexation modérée). Sous-indexation de 1 % sous l’inflation pendant dix ans = environ 2 à 3 Md€/an redirigés vers le FFC, soit 25 à 30 Md€ cumulés sur la décennie 2043-2053</w:t>
      </w:r>
      <w:r>
        <w:rPr>
          <w:rStyle w:val="FootnoteReference"/>
        </w:rPr>
        <w:footnoteReference w:id="336"/>
      </w:r>
      <w:r>
        <w:t>. Modération appliquée au-dessus du minimum vieillesse, intégralement préservé. Expressément temporaire : retour à indexation pleine en 2053. L’équité intergénérationnelle ne se décrète pas. Elle se finance.</w:t>
      </w:r>
    </w:p>
    <w:p w14:paraId="2DBF870D" w14:textId="77777777" w:rsidR="00BF0342" w:rsidRDefault="00000000">
      <w:pPr>
        <w:pStyle w:val="Heading3"/>
      </w:pPr>
      <w:bookmarkStart w:id="115" w:name="ce-que-le-système-atteint-en-2052"/>
      <w:bookmarkStart w:id="116" w:name="_Toc233036215"/>
      <w:bookmarkEnd w:id="111"/>
      <w:bookmarkEnd w:id="114"/>
      <w:r>
        <w:lastRenderedPageBreak/>
        <w:t>Ce que le système atteint en 2052</w:t>
      </w:r>
      <w:bookmarkEnd w:id="116"/>
    </w:p>
    <w:p w14:paraId="27ACDADC" w14:textId="77777777" w:rsidR="00BF0342" w:rsidRDefault="00000000">
      <w:pPr>
        <w:pStyle w:val="FirstParagraph"/>
      </w:pPr>
      <w:r>
        <w:t xml:space="preserve">À cet horizon, et selon la modélisation Python validée du scénario D, l’encours capitalisé français approche </w:t>
      </w:r>
      <w:r>
        <w:rPr>
          <w:b/>
          <w:bCs/>
        </w:rPr>
        <w:t>2 700 à 3 000 Md€</w:t>
      </w:r>
      <w:r>
        <w:t xml:space="preserve"> en euros constants 2026, soit environ 69 % du PIB</w:t>
      </w:r>
      <w:r>
        <w:rPr>
          <w:rStyle w:val="FootnoteReference"/>
        </w:rPr>
        <w:footnoteReference w:id="337"/>
      </w:r>
      <w:r>
        <w:t>. La couverture des salariés du privé atteint ~90 % grâce à l’auto-enrolment de la phase 3. Le capital moyen par actif s’établit à ~119 k€. Les premières cohortes ayant cotisé vingt-cinq ans complets perçoivent leurs rentes capitalisées vers 2050. La répartition n’a pas disparu - elle pèse toujours pour les deux tiers du revenu de retraite, mais elle est désormais épaulée par un tiers capitalisé qui amortit le choc démographique et finance, accessoirement, l’économie française elle-même. Le déficit COR projeté à -45 Md€/an en 2070 dans le scénario statu quo est réduit à -1,6 Md€/an dans le scénario D - quasiment résorbé.</w:t>
      </w:r>
    </w:p>
    <w:p w14:paraId="2D54FB4C" w14:textId="77777777" w:rsidR="00BF0342" w:rsidRDefault="00000000">
      <w:pPr>
        <w:pStyle w:val="BodyText"/>
      </w:pPr>
      <w:r>
        <w:t>Comparaison internationale, pour situer l’ordre de grandeur. L’Australie, en 2025, affiche un encours de l’ordre de 160 % du PIB après trente-trois ans à 12 % de cotisation. Le Canada CPPIB gère ~25 % du PIB canadien après vingt-huit ans. Les Pays-Bas avoisinent 150 % (et davantage les années de marchés hauts). La France à 69 % en 2052 ne rattrape pas le sommet. Elle comble la moitié de son retard, et c’est exactement ce que vingt-cinq ans permettent de faire - ni plus, ni moins.</w:t>
      </w:r>
    </w:p>
    <w:p w14:paraId="30395020" w14:textId="77777777" w:rsidR="00BF0342" w:rsidRDefault="00000000">
      <w:pPr>
        <w:pStyle w:val="Heading2"/>
      </w:pPr>
      <w:bookmarkStart w:id="117" w:name="la-transition"/>
      <w:bookmarkStart w:id="118" w:name="_Toc233036216"/>
      <w:bookmarkEnd w:id="94"/>
      <w:bookmarkEnd w:id="115"/>
      <w:r>
        <w:t>La transition</w:t>
      </w:r>
      <w:bookmarkEnd w:id="118"/>
    </w:p>
    <w:p w14:paraId="21C3BA56" w14:textId="77777777" w:rsidR="00BF0342" w:rsidRDefault="00000000">
      <w:pPr>
        <w:pStyle w:val="FirstParagraph"/>
      </w:pPr>
      <w:r>
        <w:t>Reste l’objection technique la plus sérieuse — celle qui, contrairement aux quatre verrous historiques traités en conclusion, n’est pas dissoluble par un simple changement de récit. Le passage de la répartition pure à un système mixte exige, pendant une période d’environ vingt-cinq ans, que les actifs financent simultanément deux choses : les pensions des retraités actuels — qu’il n’est pas question de baisser, c’est la promesse non négociable — et une fraction de leur propre retraite future, via la cotisation capitalisée nouvelle. C’est ce qu’on appelle, dans la littérature de transition, le double paiement</w:t>
      </w:r>
      <w:r>
        <w:rPr>
          <w:rStyle w:val="FootnoteReference"/>
        </w:rPr>
        <w:footnoteReference w:id="338"/>
      </w:r>
      <w:r>
        <w:t xml:space="preserve">. Sans dispositif d’amortissement, la charge sur les actifs en transition est, simplement, insupportable politiquement. Tous les pays qui sont passés à un système mixte ont eu à résoudre cette équation. Aucun n’a trouvé qu’elle était insurmontable. La méthode mérite d’être nommée. Elle s’appelle un </w:t>
      </w:r>
      <w:r>
        <w:rPr>
          <w:i/>
          <w:iCs/>
        </w:rPr>
        <w:t>fonds de transition</w:t>
      </w:r>
      <w:r>
        <w:t>.</w:t>
      </w:r>
    </w:p>
    <w:p w14:paraId="6CD03F7E" w14:textId="77777777" w:rsidR="00BF0342" w:rsidRDefault="00000000">
      <w:pPr>
        <w:pStyle w:val="BodyText"/>
      </w:pPr>
      <w:r>
        <w:t xml:space="preserve">La Suède l’a fait avec une élégance que l’histoire des politiques publiques européennes du XXᵉ siècle compte parmi les plus efficaces. Au moment de la réforme de 1994, le pays disposait depuis 1960 de quatre fonds de réserve — les </w:t>
      </w:r>
      <w:r>
        <w:rPr>
          <w:i/>
          <w:iCs/>
        </w:rPr>
        <w:t>Allmänna Pensionsfonden</w:t>
      </w:r>
      <w:r>
        <w:t xml:space="preserve">, AP1 à AP4 — constitués progressivement sur la base des excédents structurels accumulés par le </w:t>
      </w:r>
      <w:r>
        <w:lastRenderedPageBreak/>
        <w:t>régime ATP entre 1960 et 1990, période pendant laquelle les cotisations excédaient massivement les prestations à servir. Au moment de l’entrée en vigueur de la réforme en 1999, ces fonds représentaient l’équivalent d’environ 40 % du produit intérieur brut suédois — soit cinq années de prestations de retraite</w:t>
      </w:r>
      <w:r>
        <w:rPr>
          <w:rStyle w:val="FootnoteReference"/>
        </w:rPr>
        <w:footnoteReference w:id="339"/>
      </w:r>
      <w:r>
        <w:t xml:space="preserve">. La réforme - principes votés en juin 1994 par cinq des sept partis, loi définitive en 1998 sous Göran Persson, entrée en vigueur en 1999 - a redéfini leur mission : ils ne sont plus simplement réserve conjoncturelle, ils deviennent réserve structurelle de la transition. Mécanisme technique central : la Suède n’a pas créé de cotisation nouvelle. Elle a </w:t>
      </w:r>
      <w:r>
        <w:rPr>
          <w:i/>
          <w:iCs/>
        </w:rPr>
        <w:t>redirigé</w:t>
      </w:r>
      <w:r>
        <w:t xml:space="preserve"> une fraction des 18,5 % de cotisations existantes vers le pilier capitalisé Premium Pension (2,5 %), le reste alimentant le compte notionnel par répartition (16 %). Les fonds AP jouent le rôle de stabilisateur automatique : ils prennent à leur charge la fraction des pensions servies aux retraités existants qui aurait dû, sans cette intervention, déclencher le mécanisme d’ajustement automatique appelé </w:t>
      </w:r>
      <w:r>
        <w:rPr>
          <w:i/>
          <w:iCs/>
        </w:rPr>
        <w:t>bromsen</w:t>
      </w:r>
      <w:r>
        <w:t xml:space="preserve">. Résultat : la transition s’est faite </w:t>
      </w:r>
      <w:r>
        <w:rPr>
          <w:i/>
          <w:iCs/>
        </w:rPr>
        <w:t>sans hausse de cotisation</w:t>
      </w:r>
      <w:r>
        <w:t>, sans baisse de pension des retraités courants, sans choc politique. À fin 2024, les fonds AP1-AP4 cumulent 2 053 milliards de couronnes suédoises d’encours, soit environ 182 milliards d’euros, ont dégagé un rendement de 9,6 % sur l’année 2024 et de 7,6 % annualisé sur dix ans, pour des frais de gestion contenus à 0,07 % des actifs sous gestion</w:t>
      </w:r>
      <w:r>
        <w:rPr>
          <w:rStyle w:val="FootnoteReference"/>
        </w:rPr>
        <w:footnoteReference w:id="340"/>
      </w:r>
      <w:r>
        <w:t>. Le mécanisme a tenu trente ans, sous des gouvernements de toutes couleurs. Il a fait ses preuves.</w:t>
      </w:r>
    </w:p>
    <w:p w14:paraId="0C20C534" w14:textId="77777777" w:rsidR="00BF0342" w:rsidRDefault="00000000">
      <w:pPr>
        <w:pStyle w:val="BodyText"/>
      </w:pPr>
      <w:r>
        <w:t>La France a, en 1999, copié l’idée. Et l’a abandonnée onze ans plus tard. Le Fonds de réserve pour les retraites (FRR) a été institué par la loi n° 2001-624 du 17 juillet 2001, sous gouvernement Jospin, avec exactement la mission qu’ont les fonds AP suédois : « lisser, par capitalisation, le pic démographique des années 2020-2040 » selon les termes mêmes du projet de loi</w:t>
      </w:r>
      <w:r>
        <w:rPr>
          <w:rStyle w:val="FootnoteReference"/>
        </w:rPr>
        <w:footnoteReference w:id="341"/>
      </w:r>
      <w:r>
        <w:t xml:space="preserve">. La trajectoire de dotation prévoyait initialement un objectif de 150 milliards d’euros à l’horizon 2020. Sur la décennie qui a suivi sa création, le FRR n’a reçu que 28 milliards d’euros de dotations effectives — moins d’un cinquième de l’objectif. Mais à partir de la loi du 9 novembre 2010 portant réforme des retraites, dite « loi Woerth », et confirmée par la loi n° 2010-1594 de financement de la sécurité sociale pour 2011, le FRR a été détourné de sa mission initiale : ses ressources ont été réaffectées au remboursement de la dette sociale via la Caisse d’amortissement de la dette sociale (CADES), à hauteur d’environ 2,1 milliards d’euros versés chaque année jusqu’en 2024, </w:t>
      </w:r>
      <w:r>
        <w:lastRenderedPageBreak/>
        <w:t>puis 1,45 milliard par an de 2025 à 2033</w:t>
      </w:r>
      <w:r>
        <w:rPr>
          <w:rStyle w:val="FootnoteReference"/>
        </w:rPr>
        <w:footnoteReference w:id="342"/>
      </w:r>
      <w:r>
        <w:t>. Au 31 décembre 2024, l’encours du FRR n’est plus que de 20,4 milliards d’euros, et le fonds n’a plus de cotisants depuis quinze ans. Une simulation publiée par la commission des affaires sociales du Sénat en 2021 a chiffré ce qui aurait pu être : sans la réaffectation vers la CADES, le FRR aurait disposé fin 2024 d’environ 89 milliards d’euros — soit plus de quatre fois son encours actuel</w:t>
      </w:r>
      <w:r>
        <w:rPr>
          <w:rStyle w:val="FootnoteReference"/>
        </w:rPr>
        <w:footnoteReference w:id="343"/>
      </w:r>
      <w:r>
        <w:t>. Le rendement annualisé du FRR depuis sa création est de 3,7 % par an, soit une création de valeur cumulée d’environ 15,6 milliards d’euros au-dessus d’un investissement hypothétique en dette publique française. Autrement dit : l’instrument a parfaitement fait son travail financier. Il a simplement été chargé de combler des trous au lieu d’amortir une transition. La France a eu un fonds de transition. Elle l’a transformé en payeur de la dette sociale courante, et elle l’a laissé maigrir.</w:t>
      </w:r>
    </w:p>
    <w:p w14:paraId="603A1C1A" w14:textId="77777777" w:rsidR="00BF0342" w:rsidRDefault="00000000">
      <w:pPr>
        <w:pStyle w:val="BodyText"/>
      </w:pPr>
      <w:r>
        <w:t>Voici donc l’arithmétique de départ. La France dispose, fin 2024, d’un capital national déjà capitalisé qui n’attend que d’être correctement utilisé : 20,4 milliards d’euros au FRR, 47,8 milliards d’euros au RAFP, et plus de 91 milliards d’euros de réserves financières au régime AGIRC-ARRCO</w:t>
      </w:r>
      <w:r>
        <w:rPr>
          <w:rStyle w:val="FootnoteReference"/>
        </w:rPr>
        <w:footnoteReference w:id="344"/>
      </w:r>
      <w:r>
        <w:t>. Soit, à eux trois, près de 160 milliards d’euros — environ 5,5 % du produit intérieur brut. Le RAFP continue, lui, sa mission propre de retraite additionnelle des fonctionnaires : on ne le mobilise pas. Les réserves AGIRC-ARRCO appartiennent aux partenaires sociaux : leur mobilisation suppose un accord paritaire — c’est, précisément, la voie que l’Institut Montaigne et la Fondation pour l’innovation politique ont étudiée en 2025</w:t>
      </w:r>
      <w:r>
        <w:rPr>
          <w:rStyle w:val="FootnoteReference"/>
        </w:rPr>
        <w:footnoteReference w:id="345"/>
      </w:r>
      <w:r>
        <w:t xml:space="preserve">. Cette orientation n’est d’ailleurs plus l’apanage des seuls think tanks. En juin 2026, l’Association française de la gestion financière (AFG) a publié un livre blanc proposant explicitement un régime complémentaire de retraite par capitalisation, interprofessionnel, à gouvernance paritaire et construit progressivement — adossé à la répartition, qui « doit demeurer le socle » du système —, avec des fonds générationnels ciblant les salariés de moins de quarante ans et le redéploiement d’une fraction des cotisations Agirc-Arrco. La profession de la gestion d’actifs porte désormais, dans ses propres termes, l’architecture </w:t>
      </w:r>
      <w:r>
        <w:lastRenderedPageBreak/>
        <w:t>défendue par ce livre</w:t>
      </w:r>
      <w:r>
        <w:rPr>
          <w:rStyle w:val="FootnoteReference"/>
        </w:rPr>
        <w:footnoteReference w:id="346"/>
      </w:r>
      <w:r>
        <w:t>. Le FRR, en revanche, peut basculer dans sa mission initiale dès le 1ᵉʳ janvier 2028 — c’est ce que prévoit la Proposition 3 que la section suivante détaille. Mais 20,4 milliards ne suffisent pas pour amortir vingt-cinq ans de transition. Il faut une montée en charge accélérée.</w:t>
      </w:r>
    </w:p>
    <w:p w14:paraId="305504D6" w14:textId="77777777" w:rsidR="00BF0342" w:rsidRDefault="00000000">
      <w:pPr>
        <w:pStyle w:val="BodyText"/>
      </w:pPr>
      <w:r>
        <w:t xml:space="preserve">Trois leviers, déjà documentés dans les travaux préparatoires français et étrangers, sont mobilisables. </w:t>
      </w:r>
      <w:r>
        <w:rPr>
          <w:b/>
          <w:bCs/>
        </w:rPr>
        <w:t>Premier levier</w:t>
      </w:r>
      <w:r>
        <w:t xml:space="preserve"> : des privatisations partielles de participations publiques non stratégiques, ciblées sur les actifs cessibles sans perte de souveraineté — c’est le modèle qu’ont suivi les Pays-Bas en 1996 pour doter partiellement l’ABP au moment de sa privatisation, ou que le Canada a employé en 1997 pour doter le Canada Pension Plan Investment Board</w:t>
      </w:r>
      <w:r>
        <w:rPr>
          <w:rStyle w:val="FootnoteReference"/>
        </w:rPr>
        <w:footnoteReference w:id="347"/>
      </w:r>
      <w:r>
        <w:t xml:space="preserve">. </w:t>
      </w:r>
      <w:r>
        <w:rPr>
          <w:b/>
          <w:bCs/>
        </w:rPr>
        <w:t>Deuxième levier</w:t>
      </w:r>
      <w:r>
        <w:t xml:space="preserve"> : un emprunt européen ciblé, sur le modèle technique de l’instrument SURE de 2020, à hauteur de 50 à 100 milliards d’euros, avec garantie communautaire et adossement à des recettes fléchées</w:t>
      </w:r>
      <w:r>
        <w:rPr>
          <w:rStyle w:val="FootnoteReference"/>
        </w:rPr>
        <w:footnoteReference w:id="348"/>
      </w:r>
      <w:r>
        <w:t xml:space="preserve">. </w:t>
      </w:r>
      <w:r>
        <w:rPr>
          <w:b/>
          <w:bCs/>
        </w:rPr>
        <w:t>Troisième levier</w:t>
      </w:r>
      <w:r>
        <w:t xml:space="preserve"> : une fraction temporaire de la CSG — un point de CSG représente environ 16 à 17 milliards d’euros annuels de recettes pérennes — réorientée vers le fonds de transition pendant la période d’amortissement</w:t>
      </w:r>
      <w:r>
        <w:rPr>
          <w:rStyle w:val="FootnoteReference"/>
        </w:rPr>
        <w:footnoteReference w:id="349"/>
      </w:r>
      <w:r>
        <w:t>. Aucun de ces leviers, isolément, ne suffit. Combinés selon les arbitrages politiques retenus, ils permettent de porter le fonds de transition vers une cible de 100 à 150 milliards d’euros d’encours d’ici 2032, soit 3 à 4 % du PIB — l’ordre de grandeur observé dans les transitions étrangères réussies.</w:t>
      </w:r>
    </w:p>
    <w:p w14:paraId="48A75517" w14:textId="77777777" w:rsidR="00BF0342" w:rsidRDefault="00000000">
      <w:pPr>
        <w:pStyle w:val="BodyText"/>
      </w:pPr>
      <w:r>
        <w:t xml:space="preserve">L’enseignement suédois transposé tient en une phrase. La transition ne se finance pas par les actifs. Elle se finance par un instrument dédié, doté d’un capital initial mobilisé une fois, géré ensuite en autofinancement par le rendement de ses actifs sur vingt-cinq ans. Si </w:t>
      </w:r>
      <w:r>
        <w:lastRenderedPageBreak/>
        <w:t>la France refait l’erreur de 2010 — utiliser le FRR pour autre chose que ce pour quoi il a été créé —, elle se condamne à répéter le scénario de 1997, 2019 et 2023 : tentative de réforme, blocage social, abandon politique. Si elle accepte au contraire de remettre le FRR à sa mission initiale et de l’abonder selon les trois leviers ci-dessus, elle dispose en 2028 d’un instrument prêt à amortir le choc de transition. La capitalisation devient alors politiquement faisable parce qu’elle est techniquement amortie. Vingt-cinq ans, à partir de 2027. C’est exactement le calendrier qui suit.</w:t>
      </w:r>
    </w:p>
    <w:p w14:paraId="56783AE8" w14:textId="77777777" w:rsidR="00BF0342" w:rsidRDefault="00000000">
      <w:pPr>
        <w:pStyle w:val="Heading1"/>
      </w:pPr>
      <w:bookmarkStart w:id="119" w:name="conclusion-choisir-enfin"/>
      <w:bookmarkStart w:id="120" w:name="_Toc233036217"/>
      <w:bookmarkEnd w:id="78"/>
      <w:bookmarkEnd w:id="117"/>
      <w:r>
        <w:t>Conclusion — Choisir, enfin</w:t>
      </w:r>
      <w:bookmarkEnd w:id="120"/>
    </w:p>
    <w:p w14:paraId="5D78B12B" w14:textId="77777777" w:rsidR="00BF0342" w:rsidRDefault="00000000">
      <w:pPr>
        <w:pStyle w:val="FirstParagraph"/>
      </w:pPr>
      <w:r>
        <w:t>Le travail théorique du livre est, à ce stade, achevé. Quatre parties, des dizaines de chiffres, quatre cas étrangers, vingt-cinq ans de feuille de route. La démonstration tient. Reste à comprendre, pour finir, pourquoi la France n’a pas, jusqu’ici, fait ce que tous ses voisins ont fait. Et pourquoi, peut-être, cette fois-ci elle peut.</w:t>
      </w:r>
    </w:p>
    <w:p w14:paraId="7A31A51F" w14:textId="77777777" w:rsidR="00BF0342" w:rsidRDefault="00000000">
      <w:pPr>
        <w:pStyle w:val="Heading2"/>
      </w:pPr>
      <w:bookmarkStart w:id="121" w:name="X6ff8d63f61e42dfc4edff398ef7c51c2fb8b44a"/>
      <w:bookmarkStart w:id="122" w:name="_Toc233036218"/>
      <w:r>
        <w:t>Pourquoi pas la France ? Les quatre verrous historiques</w:t>
      </w:r>
      <w:bookmarkEnd w:id="122"/>
    </w:p>
    <w:p w14:paraId="5D9882AE" w14:textId="77777777" w:rsidR="00BF0342" w:rsidRDefault="00000000">
      <w:pPr>
        <w:pStyle w:val="FirstParagraph"/>
      </w:pPr>
      <w:r>
        <w:t>Quatre verrous, distincts par leur nature et inégaux par leur dureté, tiennent ensemble le refus français de la capitalisation depuis quatre-vingts ans. Aucun n’est immuable. Aucun n’est isolé. Ils se renforcent mutuellement, et ils se desserrent ensemble pour la même raison : ils s’usent à mesure que la réalité matérielle du système de retraite s’éloigne du contexte qui les avait fondés.</w:t>
      </w:r>
    </w:p>
    <w:p w14:paraId="3EDA471F" w14:textId="77777777" w:rsidR="00BF0342" w:rsidRDefault="00000000">
      <w:pPr>
        <w:pStyle w:val="BodyText"/>
      </w:pPr>
      <w:r>
        <w:rPr>
          <w:b/>
          <w:bCs/>
        </w:rPr>
        <w:t>Premier verrou : l’héritage de 1945.</w:t>
      </w:r>
      <w:r>
        <w:t xml:space="preserve"> L’ordonnance n° 45-2250 du 4 octobre 1945 fonde la Sécurité sociale et institue un régime obligatoire de retraite par répartition pour les salariés non agricoles</w:t>
      </w:r>
      <w:r>
        <w:rPr>
          <w:rStyle w:val="FootnoteReference"/>
        </w:rPr>
        <w:footnoteReference w:id="350"/>
      </w:r>
      <w:r>
        <w:t>. Le choix n’est pas idéologique : il est conjoncturel et politiquement parfaitement explicable. Cinq années d’occupation, deux épisodes d’inflation galopante en vingt-cinq ans (1922-1926 et 1944-1948), l’effondrement des emprunts russes et des rentes 14-18, ont liquidé une part substantielle des dispositifs capitalisés d’avant-guerre</w:t>
      </w:r>
      <w:r>
        <w:rPr>
          <w:rStyle w:val="FootnoteReference"/>
        </w:rPr>
        <w:footnoteReference w:id="351"/>
      </w:r>
      <w:r>
        <w:t>. Pierre Laroque, qui pilote la conception du nouveau système, en résume l’esprit dans plusieurs interventions postérieures : les bénéficiaires sont des gens pauvres à qui il faut d’abord assurer des moyens de subsistance ; une fois les allocations versées, il ne reste rien à mettre de côté pour alimenter un régime de capitalisation</w:t>
      </w:r>
      <w:r>
        <w:rPr>
          <w:rStyle w:val="FootnoteReference"/>
        </w:rPr>
        <w:footnoteReference w:id="352"/>
      </w:r>
      <w:r>
        <w:t xml:space="preserve">. L’argument est honnête. Il est, en 1945, vrai. Il n’est plus, en 2026, vrai. Le produit intérieur brut français a </w:t>
      </w:r>
      <w:r>
        <w:lastRenderedPageBreak/>
        <w:t>été multiplié par dix en valeur réelle depuis 1945, les actifs financiers des ménages dépassent six mille milliards d’euros, et le pays n’a connu, depuis 1953, aucune inflation à deux chiffres durable hors le choc pétrolier de 1974-1982. La condition de pauvreté collective qui justifiait l’absence de capital n’existe plus. Le verrou tient encore parce que la mémoire institutionnelle confond l’argument de 1945 avec un principe atemporel. Ce n’est pas un principe. C’était une circonstance.</w:t>
      </w:r>
    </w:p>
    <w:p w14:paraId="56E7380B" w14:textId="77777777" w:rsidR="00BF0342" w:rsidRDefault="00000000">
      <w:pPr>
        <w:pStyle w:val="BodyText"/>
      </w:pPr>
      <w:r>
        <w:rPr>
          <w:b/>
          <w:bCs/>
        </w:rPr>
        <w:t>Deuxième verrou : la méfiance culturelle vis-à-vis de la finance.</w:t>
      </w:r>
      <w:r>
        <w:t xml:space="preserve"> L’argument est connu : les Français se méfient de la bourse, des marchés actions, des produits structurés. Cette méfiance se mesure. Selon les enquêtes de l’AMF, 12,5 % des Français détenaient des actions cotées en direct fin 2024, contre près de 50 % des ménages américains et 22 % des ménages britanniques</w:t>
      </w:r>
      <w:r>
        <w:rPr>
          <w:rStyle w:val="FootnoteReference"/>
        </w:rPr>
        <w:footnoteReference w:id="353"/>
      </w:r>
      <w:r>
        <w:t>. Le Baromètre de l’OCDE sur la littératie financière 2023 place la France en milieu de classement des économies avancées, avec un score moyen de 13 sur 21, en retrait notamment des pays nordiques et anglo-saxons</w:t>
      </w:r>
      <w:r>
        <w:rPr>
          <w:rStyle w:val="FootnoteReference"/>
        </w:rPr>
        <w:footnoteReference w:id="354"/>
      </w:r>
      <w:r>
        <w:t>. Mais cette méfiance n’est ni essentielle ni stable. Avant 1914, la France était l’un des plus grands marchés actions du monde — la place de Paris pesait alors le double de Wall Street. Les emprunts russes confisqués en 1917, les rentes 14-18 érodées par l’inflation des années 1920, le Crédit Foncier sinistré en 1931, les emprunts du Trésor convertis de force après 1945, ont fabriqué, sur trois générations, une cicatrice durable</w:t>
      </w:r>
      <w:r>
        <w:rPr>
          <w:rStyle w:val="FootnoteReference"/>
        </w:rPr>
        <w:footnoteReference w:id="355"/>
      </w:r>
      <w:r>
        <w:t>. Cette cicatrice cicatrise. Les indicateurs récents le montrent : le PEA dépasse sept millions de titulaires en 2024 contre 1,8 million en 1995, le PER dépasse onze millions de titulaires en 2024 alors qu’il n’existait pas en 2018, et la détention d’actions cotées a progressé d’un peu moins de sept points en cinq ans, passée de 6,9 % en 2020 à 12,5 % en 2024</w:t>
      </w:r>
      <w:r>
        <w:rPr>
          <w:rStyle w:val="FootnoteReference"/>
        </w:rPr>
        <w:footnoteReference w:id="356"/>
      </w:r>
      <w:r>
        <w:t>. Le tabou financier français n’est plus celui des années 1990-2000. Il n’est pas non plus, encore, celui des Pays-Bas. Il est en mouvement.</w:t>
      </w:r>
    </w:p>
    <w:p w14:paraId="7F5DD848" w14:textId="77777777" w:rsidR="00BF0342" w:rsidRDefault="00000000">
      <w:pPr>
        <w:pStyle w:val="BodyText"/>
      </w:pPr>
      <w:r>
        <w:rPr>
          <w:b/>
          <w:bCs/>
        </w:rPr>
        <w:t>Troisième verrou : le poids syndical.</w:t>
      </w:r>
      <w:r>
        <w:t xml:space="preserve"> Le système français de relations sociales reconnaît à un petit nombre de centrales syndicales un pouvoir de blocage très supérieur à leur représentativité salariale réelle — taux de syndicalisation en France : 10,1 % des salariés en 2023, l’un des plus faibles de l’OCDE, mais cinq centrales représentatives qui </w:t>
      </w:r>
      <w:r>
        <w:lastRenderedPageBreak/>
        <w:t>négocient au nom de tous</w:t>
      </w:r>
      <w:r>
        <w:rPr>
          <w:rStyle w:val="FootnoteReference"/>
        </w:rPr>
        <w:footnoteReference w:id="357"/>
      </w:r>
      <w:r>
        <w:t>. Sur la capitalisation, la cartographie est connue et stable : la CGT et FO refusent par principe, en cohérence avec leurs positions historiques depuis 1945 ; la CFDT, sous la direction de Marylise Léon, s’ouvre prudemment depuis 2023 à un débat conditionnel sur un complément capitalisé, en posant des verrous d’équité et d’universalité ; la CFE-CGC, sous la présidence de Christelle Thieffinne (élue en juin 2026), est ouverte à un pilier capitalisé, sous condition de préservation du socle par répartition ; l’UNSA navigue au centre</w:t>
      </w:r>
      <w:r>
        <w:rPr>
          <w:rStyle w:val="FootnoteReference"/>
        </w:rPr>
        <w:footnoteReference w:id="358"/>
      </w:r>
      <w:r>
        <w:t xml:space="preserve">. Côté patronal, MEDEF, CPME et U2P sont globalement favorables. L’arithmétique de signature est claire : un accord CFDT + CFE-CGC + organisations patronales représente plus de 60 % de la représentativité salariale et l’intégralité de la représentativité patronale. Il est constructible. Il l’a été aux Pays-Bas en 2019, avec le </w:t>
      </w:r>
      <w:r>
        <w:rPr>
          <w:i/>
          <w:iCs/>
        </w:rPr>
        <w:t>Pensioenakkoord</w:t>
      </w:r>
      <w:r>
        <w:t xml:space="preserve"> signé par FNV, CNV et VCP côté syndical, et VNO-NCW côté patronal</w:t>
      </w:r>
      <w:r>
        <w:rPr>
          <w:rStyle w:val="FootnoteReference"/>
        </w:rPr>
        <w:footnoteReference w:id="359"/>
      </w:r>
      <w:r>
        <w:t>. Le verrou syndical n’est pas absolu. Il n’a, en France, jamais été testé sérieusement : à aucun des trois moments — 1997, 2019, 2023 — la capitalisation n’a fait l’objet d’une négociation préalable formalisée avant le dépôt parlementaire.</w:t>
      </w:r>
    </w:p>
    <w:p w14:paraId="4E3F3DA3" w14:textId="77777777" w:rsidR="00BF0342" w:rsidRDefault="00000000">
      <w:pPr>
        <w:pStyle w:val="BodyText"/>
      </w:pPr>
      <w:r>
        <w:rPr>
          <w:b/>
          <w:bCs/>
        </w:rPr>
        <w:t>Quatrième verrou : la préférence pour les réformes paramétriques.</w:t>
      </w:r>
      <w:r>
        <w:t xml:space="preserve"> Cinq réformes en trente ans : Balladur 1993 sur les salariés du privé (passage à vingt-cinq meilleures années et durée de cotisation), Fillon 2003 sur l’alignement public-privé, Woerth 2010 sur le recul de l’âge légal de soixante à soixante-deux ans, Touraine 2014 sur la durée de cotisation à quarante-trois annuités pour les générations nées après 1973, Borne 2023 sur le recul à soixante-quatre ans</w:t>
      </w:r>
      <w:r>
        <w:rPr>
          <w:rStyle w:val="FootnoteReference"/>
        </w:rPr>
        <w:footnoteReference w:id="360"/>
      </w:r>
      <w:r>
        <w:t>. Toutes ont eu un coût politique élevé : grèves nationales, manifestations massives, recours au 49.3 en 2023. Aucune n’a réglé le déséquilibre structurel. Le rapport annuel du Conseil d’orientation des retraites de juin 2025 maintient une projection de déficit chronique jusqu’en 2070 dans le scénario central, en intégrant pourtant les paramètres issus de la réforme Borne</w:t>
      </w:r>
      <w:r>
        <w:rPr>
          <w:rStyle w:val="FootnoteReference"/>
        </w:rPr>
        <w:footnoteReference w:id="361"/>
      </w:r>
      <w:r>
        <w:t xml:space="preserve">. La logique politique du paramétrique est compréhensible : il ne touche pas à l’architecture, il est techniquement réversible, il permet d’afficher un acte de réforme sans avoir à arbitrer sur le modèle. Sa limite tient en une équation : tant qu’on reste dans la répartition pure, le ratio cotisants-retraités dégradé </w:t>
      </w:r>
      <w:r>
        <w:lastRenderedPageBreak/>
        <w:t>impose un trilemme à trois inconnues — taux de cotisation, durée de cotisation, niveau des pensions —, chaque levier actionné détériorant la couverture sociale ou la compétitivité fiscale. La capitalisation ouvre, par construction, une quatrième variable : le rendement du capital. C’est la seule manière, mathématiquement, de sortir du trilemme. Les pays qui ont fait le pas l’ont compris à un moment où leur arithmétique démographique ressemblait à celle de la France aujourd’hui. La France n’a pas, jusqu’ici, voulu le comprendre.</w:t>
      </w:r>
    </w:p>
    <w:p w14:paraId="6B2C7D3D" w14:textId="77777777" w:rsidR="00BF0342" w:rsidRDefault="00000000">
      <w:pPr>
        <w:pStyle w:val="Heading2"/>
      </w:pPr>
      <w:bookmarkStart w:id="123" w:name="pourquoi-cette-fois-cest-différent"/>
      <w:bookmarkStart w:id="124" w:name="_Toc233036219"/>
      <w:bookmarkEnd w:id="121"/>
      <w:r>
        <w:t>Pourquoi cette fois c’est différent</w:t>
      </w:r>
      <w:bookmarkEnd w:id="124"/>
    </w:p>
    <w:p w14:paraId="24CD8400" w14:textId="77777777" w:rsidR="00BF0342" w:rsidRDefault="00000000">
      <w:pPr>
        <w:pStyle w:val="FirstParagraph"/>
      </w:pPr>
      <w:r>
        <w:t>Ces quatre verrous tiennent encore ensemble. Mais le premier cesse d’avoir le même sens dès lors que la France n’est plus celle de 1945 — et elle ne l’est plus. Le deuxième s’allège à mesure que les indicateurs d’épargne en actions progressent — et ils progressent. Le troisième admet une majorité de signature possible — qui n’a jamais été essayée. Le quatrième a épuisé son rendement politique — ce que les sondages de 2024-2025 ont confirmé chapitre par chapitre. Les verrous tiennent par défaut, pas par conviction. Ils ne tiendront pas une cinquième tentative menée correctement.</w:t>
      </w:r>
    </w:p>
    <w:p w14:paraId="7B4DAA9F" w14:textId="77777777" w:rsidR="00BF0342" w:rsidRDefault="00000000">
      <w:pPr>
        <w:pStyle w:val="BodyText"/>
      </w:pPr>
      <w:r>
        <w:t xml:space="preserve">Quatre faits, par ailleurs, dessinent une configuration que la France n’avait jamais connue jusqu’ici. </w:t>
      </w:r>
      <w:r>
        <w:rPr>
          <w:b/>
          <w:bCs/>
        </w:rPr>
        <w:t>Premier fait</w:t>
      </w:r>
      <w:r>
        <w:t xml:space="preserve"> : l’opinion publique a basculé. Le baromètre Odoxa-Groupama de novembre 2025 mesure 57 % de Français favorables à un système mixte et, pour la première fois depuis qu’on les enregistre, davantage de partisans d’une capitalisation seule (22 %) que d’une répartition seule (20 %). Les sondages Elabe, Ipsos-CESI et OpinionWay-Finary de 2025 et début 2026 convergent. Une majorité transpartisane existe — y compris, à un niveau qu’on n’aurait pas attendu, parmi les électeurs de gauche. </w:t>
      </w:r>
      <w:r>
        <w:rPr>
          <w:b/>
          <w:bCs/>
        </w:rPr>
        <w:t>Deuxième fait</w:t>
      </w:r>
      <w:r>
        <w:t xml:space="preserve"> : le RAFP a vingt ans. Vingt ans de preuves chiffrées, vingt ans de gouvernance publique fonctionnelle, vingt ans de rendement positif net de frais. Le débat politique ne peut plus, en 2026, raisonner comme si la capitalisation obligatoire publique était une hypothèse exotique. Elle est française, publique, obligatoire, et elle marche. </w:t>
      </w:r>
      <w:r>
        <w:rPr>
          <w:b/>
          <w:bCs/>
        </w:rPr>
        <w:t>Troisième fait</w:t>
      </w:r>
      <w:r>
        <w:t xml:space="preserve"> : la trajectoire COR ne laisse plus de marge. Le déficit projeté à 2070 dans le scénario central n’est plus une silhouette lointaine. Il devient l’arrière-plan structurel de toute discussion budgétaire à moyen terme, et il interdit, en pratique, de continuer à compter sur de simples réformes paramétriques pour le contenir. </w:t>
      </w:r>
      <w:r>
        <w:rPr>
          <w:b/>
          <w:bCs/>
        </w:rPr>
        <w:t>Quatrième fait</w:t>
      </w:r>
      <w:r>
        <w:t xml:space="preserve"> : la fenêtre démographique. La génération du baby-boom est désormais intégralement en retraite, et les cohortes actives qui doivent la financer sont passées sous deux cotisants pour un retraité. La marge mathématique pour ajuster le système par cotisations ou par durée de cotisation est, à peu de chose près, épuisée. La seule variable encore disponible — le rendement du capital — n’est mobilisable que par la capitalisation.</w:t>
      </w:r>
    </w:p>
    <w:p w14:paraId="6D977F8F" w14:textId="77777777" w:rsidR="00BF0342" w:rsidRDefault="00000000">
      <w:pPr>
        <w:pStyle w:val="BodyText"/>
      </w:pPr>
      <w:r>
        <w:t xml:space="preserve">Cette configuration n’avait, depuis 1945, jamais existé en France. Les tentatives précédentes — Thomas 1997, Delevoye 2019, Borne 2023 — se sont produites à un moment où, à des degrés divers, l’un ou plusieurs des quatre verrous tenaient encore solidement. En 2026, et à plus forte raison en 2027 si une présidentielle vient sceller le contrat politique, les quatre verrous sont desserrés simultanément. Ce n’est plus la question de la légitimité d’opinion. Ce n’est plus la question de la preuve technique. Ce </w:t>
      </w:r>
      <w:r>
        <w:lastRenderedPageBreak/>
        <w:t>n’est plus la question de l’arithmétique démographique. Ce n’est plus la question de la cohérence avec les autres pays comparables. C’est la question, désormais isolée, de la décision politique.</w:t>
      </w:r>
    </w:p>
    <w:p w14:paraId="68057D12" w14:textId="77777777" w:rsidR="00BF0342" w:rsidRDefault="00000000">
      <w:pPr>
        <w:pStyle w:val="Heading2"/>
      </w:pPr>
      <w:bookmarkStart w:id="125" w:name="trois-bénéfices-un-seul-mécanisme"/>
      <w:bookmarkStart w:id="126" w:name="_Toc233036220"/>
      <w:bookmarkEnd w:id="123"/>
      <w:r>
        <w:t>Trois bénéfices, un seul mécanisme</w:t>
      </w:r>
      <w:bookmarkEnd w:id="126"/>
    </w:p>
    <w:p w14:paraId="359BF993" w14:textId="77777777" w:rsidR="00BF0342" w:rsidRDefault="00000000">
      <w:pPr>
        <w:pStyle w:val="FirstParagraph"/>
      </w:pPr>
      <w:r>
        <w:t>Reprenons en synthèse ce que la capitalisation, à l’échelle d’un pays comme la France, déclencherait comme mouvement.</w:t>
      </w:r>
    </w:p>
    <w:p w14:paraId="3BC254AB" w14:textId="77777777" w:rsidR="00BF0342" w:rsidRDefault="00000000">
      <w:pPr>
        <w:pStyle w:val="BodyText"/>
      </w:pPr>
      <w:r>
        <w:t xml:space="preserve">— Elle </w:t>
      </w:r>
      <w:r>
        <w:rPr>
          <w:b/>
          <w:bCs/>
        </w:rPr>
        <w:t>réduit la dépense publique de retraite</w:t>
      </w:r>
      <w:r>
        <w:t xml:space="preserve"> de plusieurs points de PIB à régime stationnaire, parce qu’une part de l’effort est portée par le capital plutôt que par l’impôt. La Suède est passée de 11 % à 7,2 % du PIB en vingt-cinq ans, sans qu’aucun retraité ne voie sa pension baisser.</w:t>
      </w:r>
    </w:p>
    <w:p w14:paraId="2936FCEA" w14:textId="77777777" w:rsidR="00BF0342" w:rsidRDefault="00000000">
      <w:pPr>
        <w:pStyle w:val="BodyText"/>
      </w:pPr>
      <w:r>
        <w:t xml:space="preserve">— Elle </w:t>
      </w:r>
      <w:r>
        <w:rPr>
          <w:b/>
          <w:bCs/>
        </w:rPr>
        <w:t>allège la pression sur les cotisations sociales</w:t>
      </w:r>
      <w:r>
        <w:t>, parce que la charge cesse de reposer uniquement sur les actifs et la masse salariale. Une France à régime stationnaire pourrait redescendre vers 24 à 25 % de cotisation totale, contre 28 % aujourd’hui — soit, pour trois à quatre points de cotisation, de l’ordre de 40 milliards d’euros par an de pouvoir d’achat redonné aux salariés ou de capacité d’embauche redonnée aux employeurs.</w:t>
      </w:r>
    </w:p>
    <w:p w14:paraId="3D9159DA" w14:textId="77777777" w:rsidR="00BF0342" w:rsidRDefault="00000000">
      <w:pPr>
        <w:pStyle w:val="BodyText"/>
      </w:pPr>
      <w:r>
        <w:t xml:space="preserve">— Elle </w:t>
      </w:r>
      <w:r>
        <w:rPr>
          <w:b/>
          <w:bCs/>
        </w:rPr>
        <w:t>augmente les recettes fiscales</w:t>
      </w:r>
      <w:r>
        <w:t xml:space="preserve"> de plusieurs dizaines de milliards d’euros par an, parce que l’investissement productif des fonds nourrit la croissance et donc l’assiette fiscale.</w:t>
      </w:r>
    </w:p>
    <w:p w14:paraId="0C30C68E" w14:textId="77777777" w:rsidR="00BF0342" w:rsidRDefault="00000000">
      <w:pPr>
        <w:pStyle w:val="BodyText"/>
      </w:pPr>
      <w:r>
        <w:t xml:space="preserve">— Elle </w:t>
      </w:r>
      <w:r>
        <w:rPr>
          <w:b/>
          <w:bCs/>
        </w:rPr>
        <w:t>produit de la croissance et des emplois</w:t>
      </w:r>
      <w:r>
        <w:t xml:space="preserve">, parce que l’épargne dormante devient capital productif. Et elle </w:t>
      </w:r>
      <w:r>
        <w:rPr>
          <w:b/>
          <w:bCs/>
        </w:rPr>
        <w:t>reprend la maîtrise du capital national</w:t>
      </w:r>
      <w:r>
        <w:t>, parce que les fonds français rachètent les entreprises françaises au lieu de les laisser glisser sous pavillon étranger transaction par transaction.</w:t>
      </w:r>
    </w:p>
    <w:p w14:paraId="463DFE91" w14:textId="77777777" w:rsidR="00BF0342" w:rsidRDefault="00000000">
      <w:pPr>
        <w:pStyle w:val="BodyText"/>
      </w:pPr>
      <w:r>
        <w:t>Aucun de ces effets n’est instantané. Ils mettent vingt-cinq à quarante ans à se déployer pleinement. C’est précisément pour cela qu’il faut commencer maintenant. Chaque année qui passe en répartition pure est une année perdue : pour les retraites individuelles, pour les finances publiques, pour la croissance, pour la souveraineté économique. La capitalisation n’est pas un instrument supplémentaire qu’on ajoute au système : c’est un mode d’organisation économique différent, plus prudent à long terme parce qu’il fait travailler le temps, plus généreux parce qu’il fait travailler le capital.</w:t>
      </w:r>
    </w:p>
    <w:p w14:paraId="535BD75E" w14:textId="77777777" w:rsidR="00BF0342" w:rsidRDefault="00000000">
      <w:pPr>
        <w:pStyle w:val="BodyText"/>
      </w:pPr>
      <w:r>
        <w:t>C’est ce que les autres pays comparables ont compris il y a trente ans. C’est ce que la France, pour la première fois depuis 1945, a peut-être enfin l’occasion de faire à son tour.</w:t>
      </w:r>
    </w:p>
    <w:p w14:paraId="05621110" w14:textId="77777777" w:rsidR="00BF0342" w:rsidRDefault="00000000">
      <w:pPr>
        <w:pStyle w:val="Heading2"/>
      </w:pPr>
      <w:bookmarkStart w:id="127" w:name="choisir-enfin"/>
      <w:bookmarkStart w:id="128" w:name="_Toc233036221"/>
      <w:bookmarkEnd w:id="125"/>
      <w:r>
        <w:t>Choisir, enfin</w:t>
      </w:r>
      <w:bookmarkEnd w:id="128"/>
    </w:p>
    <w:p w14:paraId="1E35331C" w14:textId="77777777" w:rsidR="00BF0342" w:rsidRDefault="00000000">
      <w:pPr>
        <w:pStyle w:val="FirstParagraph"/>
      </w:pPr>
      <w:r>
        <w:t xml:space="preserve">Quatre parties, vingt-cinq ans de feuille de route, douze propositions, deux voies. Le choix politique fondamental est binaire. </w:t>
      </w:r>
      <w:r>
        <w:rPr>
          <w:b/>
          <w:bCs/>
        </w:rPr>
        <w:t>Voie A</w:t>
      </w:r>
      <w:r>
        <w:t xml:space="preserve">, la concertation longue à la suédoise : commission indépendante mandatée en 2027, accord pluripartite signé en 2028, loi-cadre à majorité qualifiée, cotisation patronale montée sur quinze ans. Durabilité maximale, démarrage plus lent. </w:t>
      </w:r>
      <w:r>
        <w:rPr>
          <w:b/>
          <w:bCs/>
        </w:rPr>
        <w:t>Voie B</w:t>
      </w:r>
      <w:r>
        <w:t xml:space="preserve">, la rapidité négociée à l’australienne : auto-enrolment dès </w:t>
      </w:r>
      <w:r>
        <w:lastRenderedPageBreak/>
        <w:t>2028, cotisation patronale gravée par paliers annuels, eurobonds dédiés pour lisser la transition, pacte syndical CFDT-CFE-CGC au cœur du dispositif. Calendrier précis, démarrage immédiat, mais fragilité plus grande à l’alternance si le pacte se délite.</w:t>
      </w:r>
    </w:p>
    <w:p w14:paraId="79F677A9" w14:textId="77777777" w:rsidR="00BF0342" w:rsidRDefault="00000000">
      <w:pPr>
        <w:pStyle w:val="BodyText"/>
      </w:pPr>
      <w:r>
        <w:t>Les deux voies sont accessibles. Aucune n’est facile. Toutes les deux exigent ce que les vingt dernières années n’ont pas su produire : une majorité politique qui assume d’engager une réforme structurelle au lieu d’empiler des ajustements paramétriques, et une majorité sociale qui accepte de signer un accord avant le vote parlementaire au lieu d’attendre la rue.</w:t>
      </w:r>
    </w:p>
    <w:p w14:paraId="7F597AF6" w14:textId="77777777" w:rsidR="00BF0342" w:rsidRDefault="00000000">
      <w:pPr>
        <w:pStyle w:val="BodyText"/>
      </w:pPr>
      <w:r>
        <w:t xml:space="preserve">Mais la France </w:t>
      </w:r>
      <w:r>
        <w:rPr>
          <w:b/>
          <w:bCs/>
        </w:rPr>
        <w:t>doit choisir</w:t>
      </w:r>
      <w:r>
        <w:t>. La pire option est l’immobilisme — celui qui depuis trente ans laisse le déficit du COR grossir vers 45 milliards d’euros par an en 2070 et plus de 36 milliards d’euros de dividendes du CAC 40 partir chaque année vers les retraites des autres. La deuxième pire est le décret-loi à la chilienne, sans concertation, sans pacte — celle qui a échoué là où elle a été tentée, et que la loi 21735 chilienne de janvier 2025 vient de défaire à 110 voix contre 38 après quarante-quatre ans d’application.</w:t>
      </w:r>
    </w:p>
    <w:p w14:paraId="26CF3737" w14:textId="77777777" w:rsidR="00BF0342" w:rsidRDefault="00000000">
      <w:pPr>
        <w:pStyle w:val="BodyText"/>
      </w:pPr>
      <w:r>
        <w:t>Toutes les autres options se déclinent à partir des deux voies présentées dans la quatrième partie. La France les a sous les yeux. Elle a la matière première — six mille milliards d’euros de patrimoine financier des ménages. Elle a l’infrastructure technique — le RAFP, le FRR, l’AGIRC-ARRCO, la Caisse des dépôts. Elle a l’opinion — qui a basculé. Elle a la preuve étrangère — Suède, Pays-Bas, Australie, Canada, Royaume-Uni. Et elle a l’urgence — démographique, budgétaire, économique, souveraine. Il manque, en 2026, le seul ingrédient qui ne se trouve pas dans un rapport : la décision.</w:t>
      </w:r>
    </w:p>
    <w:p w14:paraId="7685F897" w14:textId="77777777" w:rsidR="00BF0342" w:rsidRDefault="00000000">
      <w:pPr>
        <w:pStyle w:val="BodyText"/>
      </w:pPr>
      <w:r>
        <w:t>Reste à désamorcer, pour finir, les cinq mensonges qui, depuis trente ans, ont empêché que ce choix soit posé. C’est l’objet de l’appendice qui suit. Il n’est pas là pour clore le débat. Il est là pour rendre la conversation suivante possible.</w:t>
      </w:r>
    </w:p>
    <w:p w14:paraId="0C9EC13A" w14:textId="77777777" w:rsidR="00BF0342" w:rsidRDefault="00000000">
      <w:pPr>
        <w:pStyle w:val="Heading1"/>
      </w:pPr>
      <w:bookmarkStart w:id="129" w:name="X305b9a6269842b8ae17de1fe036df9dc028db03"/>
      <w:bookmarkStart w:id="130" w:name="_Toc233036222"/>
      <w:bookmarkEnd w:id="119"/>
      <w:bookmarkEnd w:id="127"/>
      <w:r>
        <w:t>Appendice — Cinq mensonges qui ont coûté trente ans</w:t>
      </w:r>
      <w:bookmarkEnd w:id="130"/>
    </w:p>
    <w:p w14:paraId="41679806" w14:textId="77777777" w:rsidR="00BF0342" w:rsidRDefault="00000000">
      <w:pPr>
        <w:pStyle w:val="FirstParagraph"/>
      </w:pPr>
      <w:r>
        <w:t xml:space="preserve">Ce qui suit n’est pas un chapitre. C’est un appendice — un argumentaire prêt à l’emploi, à garder sous le coude pour les fois où vous tomberez sur l’une des objections qui ont, pendant trois décennies, anesthésié le débat français sur la capitalisation. </w:t>
      </w:r>
      <w:r>
        <w:rPr>
          <w:i/>
          <w:iCs/>
        </w:rPr>
        <w:t>« La bourse, c’est le casino. »</w:t>
      </w:r>
      <w:r>
        <w:t xml:space="preserve"> </w:t>
      </w:r>
      <w:r>
        <w:rPr>
          <w:i/>
          <w:iCs/>
        </w:rPr>
        <w:t>« Et si tout s’effondre comme Enron ? »</w:t>
      </w:r>
      <w:r>
        <w:t xml:space="preserve"> </w:t>
      </w:r>
      <w:r>
        <w:rPr>
          <w:i/>
          <w:iCs/>
        </w:rPr>
        <w:t>« C’est anti-social, ça profite aux riches. »</w:t>
      </w:r>
      <w:r>
        <w:t xml:space="preserve"> </w:t>
      </w:r>
      <w:r>
        <w:rPr>
          <w:i/>
          <w:iCs/>
        </w:rPr>
        <w:t>« Le double paiement est insurmontable. »</w:t>
      </w:r>
      <w:r>
        <w:t xml:space="preserve"> </w:t>
      </w:r>
      <w:r>
        <w:rPr>
          <w:i/>
          <w:iCs/>
        </w:rPr>
        <w:t>« On a déjà essayé, ça ne marche pas. »</w:t>
      </w:r>
      <w:r>
        <w:t xml:space="preserve"> Chacune de ces objections a une part de vérité — assez pour expliquer qu’elle ait tenu — et beaucoup d’inexactitudes — assez pour que sa simple répétition ait fini par interdire toute discussion sérieuse.</w:t>
      </w:r>
    </w:p>
    <w:p w14:paraId="3E4002BC" w14:textId="77777777" w:rsidR="00BF0342" w:rsidRDefault="00000000">
      <w:pPr>
        <w:pStyle w:val="BodyText"/>
      </w:pPr>
      <w:r>
        <w:t>Cinq questions, donc, cinq réponses chiffrées et sourcées. Si vous avez lu les six chapitres qui précèdent, vous avez déjà l’essentiel. Cet appendice n’est là que pour outiller la conversation suivante.</w:t>
      </w:r>
    </w:p>
    <w:p w14:paraId="38B5B6FF" w14:textId="77777777" w:rsidR="00BF0342" w:rsidRDefault="00000000">
      <w:pPr>
        <w:pStyle w:val="BodyText"/>
      </w:pPr>
      <w:r>
        <w:t>Le Manifeste qui précède pose un programme. Reste à désamorcer les objections qui ont empêché ce programme, depuis trente ans, de devenir une loi.</w:t>
      </w:r>
    </w:p>
    <w:p w14:paraId="2E3A202A" w14:textId="77777777" w:rsidR="00BF0342" w:rsidRDefault="00000000">
      <w:pPr>
        <w:pStyle w:val="BodyText"/>
      </w:pPr>
      <w:r>
        <w:lastRenderedPageBreak/>
        <w:t xml:space="preserve">Cinq, dit-on. À l’usage, ce sont six, et le sixième - Enron, Madoff, Detroit - vaut d’être traité à part, parce qu’il revient comme un refrain dès qu’on prononce le mot capitalisation dans un dîner français. Les six tiennent en autant de phrases que tout le monde a entendues : </w:t>
      </w:r>
      <w:r>
        <w:rPr>
          <w:i/>
          <w:iCs/>
        </w:rPr>
        <w:t>La bourse, c’est le casino. Souvenez-vous d’Enron. C’est anti-social. Le double paiement est insurmontable. On a déjà essayé, le PER ne marche pas. La France n’a pas la culture financière.</w:t>
      </w:r>
    </w:p>
    <w:p w14:paraId="06F0C8B2" w14:textId="77777777" w:rsidR="00BF0342" w:rsidRDefault="00000000">
      <w:pPr>
        <w:pStyle w:val="BodyText"/>
      </w:pPr>
      <w:r>
        <w:t>Trois mandats présidentiels que ces six phrases bloquent une réforme. Trente ans. Pendant lesquels les Pays-Bas, l’Australie, le Royaume-Uni, le Canada, la Suède, et finalement le Chili lui-même, ont changé d’avis sur la question. La France, pas encore.</w:t>
      </w:r>
    </w:p>
    <w:p w14:paraId="5E501B8B" w14:textId="77777777" w:rsidR="00BF0342" w:rsidRDefault="00000000">
      <w:pPr>
        <w:pStyle w:val="BodyText"/>
      </w:pPr>
      <w:r>
        <w:t>Format Q/R, donc. Six questions, six réponses serrées - trois arguments-clés par objection, chiffrés, qui suffisent à la démonter. Les démonstrations sont dans les chapitres précédents. Ici, on désamorce.</w:t>
      </w:r>
    </w:p>
    <w:p w14:paraId="423D9D41" w14:textId="77777777" w:rsidR="00BF0342" w:rsidRDefault="00000000">
      <w:pPr>
        <w:pStyle w:val="Heading2"/>
      </w:pPr>
      <w:bookmarkStart w:id="131" w:name="X0cc9477ad67cc921a1cde575ea7fb52fc5f9ce0"/>
      <w:bookmarkStart w:id="132" w:name="_Toc233036223"/>
      <w:r>
        <w:t>Q.1 - « La bourse, c’est le casino : et si tout s’effondre ? »</w:t>
      </w:r>
      <w:bookmarkEnd w:id="132"/>
    </w:p>
    <w:p w14:paraId="50C6A6D2" w14:textId="77777777" w:rsidR="00BF0342" w:rsidRDefault="00000000">
      <w:pPr>
        <w:pStyle w:val="FirstParagraph"/>
      </w:pPr>
      <w:r>
        <w:t>La peur est légitime au niveau du petit porteur isolé. Elle est mal calibrée appliquée à un fonds de pension public.</w:t>
      </w:r>
    </w:p>
    <w:p w14:paraId="6FFAA8D1" w14:textId="77777777" w:rsidR="00BF0342" w:rsidRDefault="00000000">
      <w:pPr>
        <w:pStyle w:val="BodyText"/>
      </w:pPr>
      <w:r>
        <w:rPr>
          <w:b/>
          <w:bCs/>
        </w:rPr>
        <w:t>Premier argument : le rendement réel sur cent vingt-cinq ans.</w:t>
      </w:r>
      <w:r>
        <w:t xml:space="preserve"> Le </w:t>
      </w:r>
      <w:r>
        <w:rPr>
          <w:i/>
          <w:iCs/>
        </w:rPr>
        <w:t>Global Investment Returns Yearbook</w:t>
      </w:r>
      <w:r>
        <w:t xml:space="preserve"> d’UBS, Dimson, Marsh et Staunton, calcule les rendements réels annualisés des actions monde sur 1900-2024 : </w:t>
      </w:r>
      <w:r>
        <w:rPr>
          <w:b/>
          <w:bCs/>
        </w:rPr>
        <w:t>5,2 % par an en termes réels</w:t>
      </w:r>
      <w:r>
        <w:rPr>
          <w:rStyle w:val="FootnoteReference"/>
        </w:rPr>
        <w:footnoteReference w:id="362"/>
      </w:r>
      <w:r>
        <w:t xml:space="preserve">. Obligations gouvernementales : 1,7 %. Bons du Trésor : 0,5 %. Ces chiffres incluent les deux guerres mondiales, 1929, la stagflation, 2000, 2008, 2020 et 2022. Comparez au rendement réel net moyen des fonds euros français en 2024 : </w:t>
      </w:r>
      <w:r>
        <w:rPr>
          <w:b/>
          <w:bCs/>
        </w:rPr>
        <w:t>0,15 %</w:t>
      </w:r>
      <w:r>
        <w:rPr>
          <w:rStyle w:val="FootnoteReference"/>
        </w:rPr>
        <w:footnoteReference w:id="363"/>
      </w:r>
      <w:r>
        <w:t>. Près de trente-cinq fois moins.</w:t>
      </w:r>
    </w:p>
    <w:p w14:paraId="7E2B54A8" w14:textId="77777777" w:rsidR="00BF0342" w:rsidRDefault="00000000">
      <w:pPr>
        <w:pStyle w:val="BodyText"/>
      </w:pPr>
      <w:r>
        <w:rPr>
          <w:b/>
          <w:bCs/>
        </w:rPr>
        <w:t>Deuxième argument : le glide path neutralise le risque de séquence.</w:t>
      </w:r>
      <w:r>
        <w:t xml:space="preserve"> Le risque réel n’est pas le krach. C’est le krach à 64 ans suivi d’une liquidation forcée à 65 ans. C’est précisément ce que désamorce la trajectoire glissée : à 30 ans, 100 % actions ; à 55 ans, 80/20 ; à 65 ans, 50/50 ; à 75 ans, 33/67 en faveur des obligations. AP7 Såfa en Suède, NEST Retirement Date Funds au Royaume-Uni, TSP Lifecycle aux États-Unis appliquent ce mécanisme</w:t>
      </w:r>
      <w:r>
        <w:rPr>
          <w:rStyle w:val="FootnoteReference"/>
        </w:rPr>
        <w:footnoteReference w:id="364"/>
      </w:r>
      <w:r>
        <w:t>. Un cotisant français qui aurait pris sa retraite début 2009 - au pire moment historique récent - aurait subi, dans la dernière année avant la retraite, environ 3 % de baisse de capital total. À comparer aux 56,8 % du S&amp;P 500. Le glide path absorbe l’essentiel du choc.</w:t>
      </w:r>
    </w:p>
    <w:p w14:paraId="5F5B9F19" w14:textId="77777777" w:rsidR="00BF0342" w:rsidRDefault="00000000">
      <w:pPr>
        <w:pStyle w:val="BodyText"/>
      </w:pPr>
      <w:r>
        <w:rPr>
          <w:b/>
          <w:bCs/>
        </w:rPr>
        <w:lastRenderedPageBreak/>
        <w:t>Troisième argument : les garanties publiques de dernier recours.</w:t>
      </w:r>
      <w:r>
        <w:t xml:space="preserve"> Aux Pays-Bas, la DNB impose un </w:t>
      </w:r>
      <w:r>
        <w:rPr>
          <w:i/>
          <w:iCs/>
        </w:rPr>
        <w:t>funding ratio</w:t>
      </w:r>
      <w:r>
        <w:t xml:space="preserve"> minimum de 105 % ; le ratio médian est de 125 %, moins de 0,5 % des fonds passent sous le seuil, aucune faillite de grand fonds depuis trente ans</w:t>
      </w:r>
      <w:r>
        <w:rPr>
          <w:rStyle w:val="FootnoteReference"/>
        </w:rPr>
        <w:footnoteReference w:id="365"/>
      </w:r>
      <w:r>
        <w:t xml:space="preserve">. Au Royaume-Uni, le </w:t>
      </w:r>
      <w:r>
        <w:rPr>
          <w:i/>
          <w:iCs/>
        </w:rPr>
        <w:t>Pension Protection Fund</w:t>
      </w:r>
      <w:r>
        <w:t xml:space="preserve"> couvre 8,8 millions de personnes dans 5 000 fonds ; garantie 100 % aux retraités, 90 % aux actifs</w:t>
      </w:r>
      <w:r>
        <w:rPr>
          <w:rStyle w:val="FootnoteReference"/>
        </w:rPr>
        <w:footnoteReference w:id="366"/>
      </w:r>
      <w:r>
        <w:t xml:space="preserve">. En Suède, une </w:t>
      </w:r>
      <w:r>
        <w:rPr>
          <w:i/>
          <w:iCs/>
        </w:rPr>
        <w:t>garantipension</w:t>
      </w:r>
      <w:r>
        <w:t xml:space="preserve"> à 11 988 SEK/mois assure le plancher. Et les performances elles-mêmes : le fonds souverain norvégien (GPFG) délivre </w:t>
      </w:r>
      <w:r>
        <w:rPr>
          <w:b/>
          <w:bCs/>
        </w:rPr>
        <w:t>4,1 % réel net</w:t>
      </w:r>
      <w:r>
        <w:t xml:space="preserve"> sur 27 ans, CPPIB </w:t>
      </w:r>
      <w:r>
        <w:rPr>
          <w:b/>
          <w:bCs/>
        </w:rPr>
        <w:t>8,3 % nominal net</w:t>
      </w:r>
      <w:r>
        <w:t xml:space="preserve"> sur dix ans, AustralianSuper </w:t>
      </w:r>
      <w:r>
        <w:rPr>
          <w:b/>
          <w:bCs/>
        </w:rPr>
        <w:t>7,94 %</w:t>
      </w:r>
      <w:r>
        <w:t xml:space="preserve">, AP7 Equity </w:t>
      </w:r>
      <w:r>
        <w:rPr>
          <w:b/>
          <w:bCs/>
        </w:rPr>
        <w:t>~14 % nominal</w:t>
      </w:r>
      <w:r>
        <w:t xml:space="preserve"> depuis 2010</w:t>
      </w:r>
      <w:r>
        <w:rPr>
          <w:rStyle w:val="FootnoteReference"/>
        </w:rPr>
        <w:footnoteReference w:id="367"/>
      </w:r>
      <w:r>
        <w:t>. Aucun n’a fait défaut. Aucun n’est revenu en arrière.</w:t>
      </w:r>
    </w:p>
    <w:p w14:paraId="58F37BD7" w14:textId="77777777" w:rsidR="00BF0342" w:rsidRDefault="00000000">
      <w:pPr>
        <w:pStyle w:val="BodyText"/>
      </w:pPr>
      <w:r>
        <w:t>L’objection « la bourse, c’est le casino » confond trois choses : la mésaventure d’un petit porteur, le comportement d’un krach isolé, et l’architecture d’un fonds de pension public sur quarante ans. Ce n’est pas la même chose. Ce n’est même pas comparable.</w:t>
      </w:r>
    </w:p>
    <w:p w14:paraId="0FE2C751" w14:textId="77777777" w:rsidR="00BF0342" w:rsidRDefault="00000000">
      <w:pPr>
        <w:pStyle w:val="Heading2"/>
      </w:pPr>
      <w:bookmarkStart w:id="133" w:name="q.2---et-enron-madoff-detroit"/>
      <w:bookmarkStart w:id="134" w:name="_Toc233036224"/>
      <w:bookmarkEnd w:id="131"/>
      <w:r>
        <w:t>Q.2 - « Et Enron, Madoff, Detroit ? »</w:t>
      </w:r>
      <w:bookmarkEnd w:id="134"/>
    </w:p>
    <w:p w14:paraId="0A052A99" w14:textId="77777777" w:rsidR="00BF0342" w:rsidRDefault="00000000">
      <w:pPr>
        <w:pStyle w:val="FirstParagraph"/>
      </w:pPr>
      <w:r>
        <w:t>C’est l’objection-réflexe. Trois cas, espacés sur quinze ans dans un seul pays, qu’on agite pour condamner soixante-dix ans d’histoire des fonds de pension dans le monde.</w:t>
      </w:r>
    </w:p>
    <w:p w14:paraId="033FDD98" w14:textId="77777777" w:rsidR="00BF0342" w:rsidRDefault="00000000">
      <w:pPr>
        <w:pStyle w:val="BodyText"/>
      </w:pPr>
      <w:r>
        <w:rPr>
          <w:b/>
          <w:bCs/>
        </w:rPr>
        <w:t>Enron, 2001.</w:t>
      </w:r>
      <w:r>
        <w:t xml:space="preserve"> Fraude comptable d’une entreprise texane, plans 401(k) concentrés en actions employeur : ~1,2-1,3 Md$ de pertes pour environ 15 000 salariés</w:t>
      </w:r>
      <w:r>
        <w:rPr>
          <w:rStyle w:val="FootnoteReference"/>
        </w:rPr>
        <w:footnoteReference w:id="368"/>
      </w:r>
      <w:r>
        <w:t xml:space="preserve">. Ce qui a permis Enron est-il possible dans un fonds public moderne ? Non. Un fonds public détient 1 500 à 3 000 lignes en direct ; il est soumis à un régulateur indépendant (DNB, TPR, APRA, OSFI) ; sa gouvernance est paritaire ou indépendante ; et le </w:t>
      </w:r>
      <w:r>
        <w:rPr>
          <w:i/>
          <w:iCs/>
        </w:rPr>
        <w:t>Pension Protection Act</w:t>
      </w:r>
      <w:r>
        <w:t xml:space="preserve"> de 2006, voté précisément après Enron, a imposé la diversification dans les 401(k) eux-mêmes. La leçon a été apprise. L’architecture moderne - qui n’avait jamais permis cela - l’interdit explicitement depuis vingt ans.</w:t>
      </w:r>
    </w:p>
    <w:p w14:paraId="4424B190" w14:textId="77777777" w:rsidR="00BF0342" w:rsidRDefault="00000000">
      <w:pPr>
        <w:pStyle w:val="BodyText"/>
      </w:pPr>
      <w:r>
        <w:rPr>
          <w:b/>
          <w:bCs/>
        </w:rPr>
        <w:t>Madoff, 2008.</w:t>
      </w:r>
      <w:r>
        <w:t xml:space="preserve"> Ponzi de 18 Md$ de cash réellement investis</w:t>
      </w:r>
      <w:r>
        <w:rPr>
          <w:rStyle w:val="FootnoteReference"/>
        </w:rPr>
        <w:footnoteReference w:id="369"/>
      </w:r>
      <w:r>
        <w:t xml:space="preserve">. Un fonds régulé par ERISA ou IORP II l’aurait-il pu ? Non : audit indépendant obligatoire (Madoff utilisait un cabinet de trois personnes), </w:t>
      </w:r>
      <w:r>
        <w:rPr>
          <w:i/>
          <w:iCs/>
        </w:rPr>
        <w:t>mark-to-market</w:t>
      </w:r>
      <w:r>
        <w:t xml:space="preserve"> quotidien (Madoff lissait artificiellement les rendements), ségrégation comptable des actifs (Madoff confondait clients et firme), supervision </w:t>
      </w:r>
      <w:r>
        <w:lastRenderedPageBreak/>
        <w:t xml:space="preserve">prudentielle continue (Madoff y échappait). Aucun fonds de pension public n’a fait faillite à cause de Madoff. C’était un </w:t>
      </w:r>
      <w:r>
        <w:rPr>
          <w:i/>
          <w:iCs/>
        </w:rPr>
        <w:t>hedge fund</w:t>
      </w:r>
      <w:r>
        <w:t xml:space="preserve"> privé vendu à une clientèle ultra-aisée.</w:t>
      </w:r>
    </w:p>
    <w:p w14:paraId="4EBCB4A2" w14:textId="77777777" w:rsidR="00BF0342" w:rsidRDefault="00000000">
      <w:pPr>
        <w:pStyle w:val="BodyText"/>
      </w:pPr>
      <w:r>
        <w:rPr>
          <w:b/>
          <w:bCs/>
        </w:rPr>
        <w:t>Detroit, 2013.</w:t>
      </w:r>
      <w:r>
        <w:t xml:space="preserve"> Faillite municipale, 3,5 Md$ de pensions non financées, réductions de 4 à 17 %</w:t>
      </w:r>
      <w:r>
        <w:rPr>
          <w:rStyle w:val="FootnoteReference"/>
        </w:rPr>
        <w:footnoteReference w:id="370"/>
      </w:r>
      <w:r>
        <w:t xml:space="preserve">. La cause structurelle n’est pas la capitalisation. C’est l’effondrement démographique d’une ville (1,8 million d’habitants en 1950, 700 000 en 2010) couplé à </w:t>
      </w:r>
      <w:r>
        <w:rPr>
          <w:b/>
          <w:bCs/>
        </w:rPr>
        <w:t>l’absence de funding ratio minimum légal</w:t>
      </w:r>
      <w:r>
        <w:t xml:space="preserve"> et à </w:t>
      </w:r>
      <w:r>
        <w:rPr>
          <w:b/>
          <w:bCs/>
        </w:rPr>
        <w:t>l’absence de filet de dernier recours</w:t>
      </w:r>
      <w:r>
        <w:t>. Si Detroit avait été un fonds néerlandais, la DNB aurait imposé un plan de redressement vingt ans avant 2013. Si Detroit avait été un fonds britannique, le PPF aurait pris les retraités à 100 %. Detroit est un échec de gouvernance prudentielle, pas un échec de la capitalisation.</w:t>
      </w:r>
    </w:p>
    <w:p w14:paraId="386A9B18" w14:textId="77777777" w:rsidR="00BF0342" w:rsidRDefault="00000000">
      <w:pPr>
        <w:pStyle w:val="BodyText"/>
      </w:pPr>
      <w:r>
        <w:rPr>
          <w:b/>
          <w:bCs/>
        </w:rPr>
        <w:t>Le constat qu’on n’agite jamais.</w:t>
      </w:r>
      <w:r>
        <w:t xml:space="preserve"> Aucun fonds public moderne respectant les règles OCDE n’a fait défaut depuis trente ans. Pas un. ABP existe depuis 1922, les AP-fonds suédois depuis 1960, CalPERS depuis 1932, CPPIB depuis 1999. Tous ont traversé 2000, 2008, 2020 et 2022. Tous ont continué à payer.</w:t>
      </w:r>
    </w:p>
    <w:p w14:paraId="6CCCC54D" w14:textId="77777777" w:rsidR="00BF0342" w:rsidRDefault="00000000">
      <w:pPr>
        <w:pStyle w:val="BodyText"/>
      </w:pPr>
      <w:r>
        <w:t xml:space="preserve">Et l’inversion à laquelle on échappe rarement : le </w:t>
      </w:r>
      <w:r>
        <w:rPr>
          <w:i/>
          <w:iCs/>
        </w:rPr>
        <w:t>Mercer CFA Global Pension Index 2025</w:t>
      </w:r>
      <w:r>
        <w:t xml:space="preserve"> classe la France en grade B, score global </w:t>
      </w:r>
      <w:r>
        <w:rPr>
          <w:b/>
          <w:bCs/>
        </w:rPr>
        <w:t>70,3</w:t>
      </w:r>
      <w:r>
        <w:t xml:space="preserve">. Mais derrière ce moyenne, deux sous-indices très différents : </w:t>
      </w:r>
      <w:r>
        <w:rPr>
          <w:b/>
          <w:bCs/>
        </w:rPr>
        <w:t>adéquation 85,2</w:t>
      </w:r>
      <w:r>
        <w:t xml:space="preserve"> (pensions généreuses) et </w:t>
      </w:r>
      <w:r>
        <w:rPr>
          <w:b/>
          <w:bCs/>
        </w:rPr>
        <w:t>viabilité 48,6</w:t>
      </w:r>
      <w:r>
        <w:t xml:space="preserve"> (le système ne tient pas)</w:t>
      </w:r>
      <w:r>
        <w:rPr>
          <w:rStyle w:val="FootnoteReference"/>
        </w:rPr>
        <w:footnoteReference w:id="371"/>
      </w:r>
      <w:r>
        <w:t>. Quasiment deux fois moins. La France est notée structurellement plus fragile que la Grèce sur la viabilité. Le risque ne vient pas de Wall Street. Il vient de Paris.</w:t>
      </w:r>
    </w:p>
    <w:p w14:paraId="06BA1629" w14:textId="77777777" w:rsidR="00BF0342" w:rsidRDefault="00000000">
      <w:pPr>
        <w:pStyle w:val="Heading2"/>
      </w:pPr>
      <w:bookmarkStart w:id="135" w:name="X924b3f9f0e83b3331951146482c1c09b3801054"/>
      <w:bookmarkStart w:id="136" w:name="_Toc233036225"/>
      <w:bookmarkEnd w:id="133"/>
      <w:r>
        <w:t>Q.3 - « C’est anti-social : ça profite aux riches »</w:t>
      </w:r>
      <w:bookmarkEnd w:id="136"/>
    </w:p>
    <w:p w14:paraId="2BF0C7B0" w14:textId="77777777" w:rsidR="00BF0342" w:rsidRDefault="00000000">
      <w:pPr>
        <w:pStyle w:val="FirstParagraph"/>
      </w:pPr>
      <w:r>
        <w:t xml:space="preserve">L’objection a une noblesse - celle d’Henri Sterdyniak, qui la porte depuis trente ans. Elle est cohérente </w:t>
      </w:r>
      <w:r>
        <w:rPr>
          <w:i/>
          <w:iCs/>
        </w:rPr>
        <w:t>pour un certain type de capitalisation</w:t>
      </w:r>
      <w:r>
        <w:t xml:space="preserve"> : la capitalisation pure, sans cotisation patronale, sans plancher universel, sans paritarisme. Précisément celle du Chili d’avant 2025, et celle du PER français. Mais ce n’est </w:t>
      </w:r>
      <w:r>
        <w:rPr>
          <w:i/>
          <w:iCs/>
        </w:rPr>
        <w:t>pas</w:t>
      </w:r>
      <w:r>
        <w:t xml:space="preserve"> celle des Pays-Bas, de l’Australie, du Royaume-Uni, de la Suède.</w:t>
      </w:r>
    </w:p>
    <w:p w14:paraId="4F296588" w14:textId="77777777" w:rsidR="00BF0342" w:rsidRDefault="00000000">
      <w:pPr>
        <w:pStyle w:val="BodyText"/>
      </w:pPr>
      <w:r>
        <w:rPr>
          <w:b/>
          <w:bCs/>
        </w:rPr>
        <w:t>Premier argument : l’obligation patronale renverse l’objection.</w:t>
      </w:r>
      <w:r>
        <w:t xml:space="preserve"> Une capitalisation obligatoire à cotisation patronale couvre 100 % des salariés, du SMIC au cadre dirigeant. C’est statistiquement plus égalitaire que le PER actuel, dont 70 % des versements proviennent des trois déciles de revenu les plus élevés</w:t>
      </w:r>
      <w:r>
        <w:rPr>
          <w:rStyle w:val="FootnoteReference"/>
        </w:rPr>
        <w:footnoteReference w:id="372"/>
      </w:r>
      <w:r>
        <w:t>. La capitalisation universelle n’est pas un produit pour cadres : c’est un produit pour tout le monde, financé en partie par l’employeur. C’est l’inverse du PER.</w:t>
      </w:r>
    </w:p>
    <w:p w14:paraId="0228EDE6" w14:textId="77777777" w:rsidR="00BF0342" w:rsidRDefault="00000000">
      <w:pPr>
        <w:pStyle w:val="BodyText"/>
      </w:pPr>
      <w:r>
        <w:rPr>
          <w:b/>
          <w:bCs/>
        </w:rPr>
        <w:lastRenderedPageBreak/>
        <w:t>Deuxième argument : les femmes y gagnent plus, pas moins.</w:t>
      </w:r>
      <w:r>
        <w:t xml:space="preserve"> Le </w:t>
      </w:r>
      <w:r>
        <w:rPr>
          <w:i/>
          <w:iCs/>
        </w:rPr>
        <w:t>Mercer Gender Pension Index 2025</w:t>
      </w:r>
      <w:r>
        <w:t xml:space="preserve"> mesure l’écart femmes-hommes : 17 % aux Pays-Bas, 25 % en Suède et Australie (en baisse), 28-30 % en France selon la DREES</w:t>
      </w:r>
      <w:r>
        <w:rPr>
          <w:rStyle w:val="FootnoteReference"/>
        </w:rPr>
        <w:footnoteReference w:id="373"/>
      </w:r>
      <w:r>
        <w:t>. Les pays à pilier capitalisé obligatoire permettent à la cotisation patronale de continuer pendant les congés parentaux. En France, la répartition pénalise les carrières interrompues. L’objection « anti-redistributive » se retourne sur sa version la plus visible - la pension des femmes - dès qu’on regarde les chiffres.</w:t>
      </w:r>
    </w:p>
    <w:p w14:paraId="773B3BB6" w14:textId="77777777" w:rsidR="00BF0342" w:rsidRDefault="00000000">
      <w:pPr>
        <w:pStyle w:val="BodyText"/>
      </w:pPr>
      <w:r>
        <w:rPr>
          <w:b/>
          <w:bCs/>
        </w:rPr>
        <w:t>Troisième argument : le rapport P90/P10, plus égalitaire aux Pays-Bas.</w:t>
      </w:r>
      <w:r>
        <w:t xml:space="preserve"> Le rapport entre la pension du premier décile et celle du neuvième décile : </w:t>
      </w:r>
      <w:r>
        <w:rPr>
          <w:b/>
          <w:bCs/>
        </w:rPr>
        <w:t>France ≈ 4,2 ; Pays-Bas ≈ 3,1</w:t>
      </w:r>
      <w:r>
        <w:rPr>
          <w:rStyle w:val="FootnoteReference"/>
        </w:rPr>
        <w:footnoteReference w:id="374"/>
      </w:r>
      <w:r>
        <w:t xml:space="preserve">. Le pilier deux paritaire universel néerlandais couvre 85 % des salariés à un taux de remplacement de 70-80 %, indépendamment du niveau de revenu. Le système français - répartition pure plus PER optionnel - laisse au contraire les hauts revenus accumuler un capital fiscalement subventionné que les bas revenus n’utilisent pas. Le PER français </w:t>
      </w:r>
      <w:r>
        <w:rPr>
          <w:i/>
          <w:iCs/>
        </w:rPr>
        <w:t>augmente</w:t>
      </w:r>
      <w:r>
        <w:t xml:space="preserve"> les inégalités de pension. La capitalisation obligatoire universelle les </w:t>
      </w:r>
      <w:r>
        <w:rPr>
          <w:i/>
          <w:iCs/>
        </w:rPr>
        <w:t>réduit</w:t>
      </w:r>
      <w:r>
        <w:t>.</w:t>
      </w:r>
    </w:p>
    <w:p w14:paraId="366EA6F0" w14:textId="77777777" w:rsidR="00BF0342" w:rsidRDefault="00000000">
      <w:pPr>
        <w:pStyle w:val="BodyText"/>
      </w:pPr>
      <w:r>
        <w:t>Sterdyniak pose la question de l’égalité de mécanisme. Les Hollandais et les Suédois ont, eux, posé celle du résultat. Et le sondage Odoxa-Groupama de novembre 2025 - 57 % des Français favorables au système mixte, 22 % à la capitalisation seule contre 20 % à la répartition seule</w:t>
      </w:r>
      <w:r>
        <w:rPr>
          <w:rStyle w:val="FootnoteReference"/>
        </w:rPr>
        <w:footnoteReference w:id="375"/>
      </w:r>
      <w:r>
        <w:t xml:space="preserve"> - n’est pas le sondage de la France des privilégiés. C’est celui de la France entière.</w:t>
      </w:r>
    </w:p>
    <w:p w14:paraId="4E070C4B" w14:textId="77777777" w:rsidR="00BF0342" w:rsidRDefault="00000000">
      <w:pPr>
        <w:pStyle w:val="Heading2"/>
      </w:pPr>
      <w:bookmarkStart w:id="137" w:name="X9be9198f89ae1da3bd46da79160e73f5f43b201"/>
      <w:bookmarkStart w:id="138" w:name="_Toc233036226"/>
      <w:bookmarkEnd w:id="135"/>
      <w:r>
        <w:t>Q.4 - « Le double paiement est insurmontable »</w:t>
      </w:r>
      <w:bookmarkEnd w:id="138"/>
    </w:p>
    <w:p w14:paraId="7F6F818B" w14:textId="77777777" w:rsidR="00BF0342" w:rsidRDefault="00000000">
      <w:pPr>
        <w:pStyle w:val="FirstParagraph"/>
      </w:pPr>
      <w:r>
        <w:t>Voici l’objection pivot. Celle qui a tué Thomas 1997, Delevoye 2019, et la version structurelle de Borne 2023.</w:t>
      </w:r>
    </w:p>
    <w:p w14:paraId="73C9ABB4" w14:textId="77777777" w:rsidR="00BF0342" w:rsidRDefault="00000000">
      <w:pPr>
        <w:pStyle w:val="BodyText"/>
      </w:pPr>
      <w:r>
        <w:t xml:space="preserve">Reconnaissons d’abord ce qui est vrai. Dans toute transition d’un système de répartition pure vers un système mixte, les actifs financent simultanément les retraités d’aujourd’hui - promesse non renégociable - et une fraction de leur propre retraite future. La charge totale est, par construction, supérieure à la charge initiale. C’est une équation arithmétique. Le débat ne porte donc pas sur l’existence du double paiement, mais sur </w:t>
      </w:r>
      <w:r>
        <w:rPr>
          <w:b/>
          <w:bCs/>
        </w:rPr>
        <w:t>qui</w:t>
      </w:r>
      <w:r>
        <w:t xml:space="preserve"> l’absorbe, et </w:t>
      </w:r>
      <w:r>
        <w:rPr>
          <w:b/>
          <w:bCs/>
        </w:rPr>
        <w:t>comment</w:t>
      </w:r>
      <w:r>
        <w:t>.</w:t>
      </w:r>
    </w:p>
    <w:p w14:paraId="1ACCFC1F" w14:textId="77777777" w:rsidR="00BF0342" w:rsidRDefault="00000000">
      <w:pPr>
        <w:pStyle w:val="BodyText"/>
      </w:pPr>
      <w:r>
        <w:rPr>
          <w:b/>
          <w:bCs/>
        </w:rPr>
        <w:t>Premier argument : aucun pays comparable n’a effectivement payé un double paiement intégral par l’impôt.</w:t>
      </w:r>
      <w:r>
        <w:t xml:space="preserve"> C’est le constat empirique le plus dirimant. Australie 1992 : cotisation patronale 3 → 12 %, modération salariale négociée dans l’Accord Hawke-Kelty </w:t>
      </w:r>
      <w:r>
        <w:lastRenderedPageBreak/>
        <w:t>Mark II, coût pour l’État ≈ 0</w:t>
      </w:r>
      <w:r>
        <w:rPr>
          <w:rStyle w:val="FootnoteReference"/>
        </w:rPr>
        <w:footnoteReference w:id="376"/>
      </w:r>
      <w:r>
        <w:t>. Suède 1998 : recyclage de 2,5 points sur les 18,5 % de cotisation existante vers PPM, total inchangé, pas de double paiement net</w:t>
      </w:r>
      <w:r>
        <w:rPr>
          <w:rStyle w:val="FootnoteReference"/>
        </w:rPr>
        <w:footnoteReference w:id="377"/>
      </w:r>
      <w:r>
        <w:t>. Royaume-Uni 2012-2019 : auto-enrolment 2 → 8 %, mix 5 % salarié + 3 % employeur + tax relief, ~1-2 Md£/an seulement pour l’État. Canada 2019-2023 : hausse paritaire 9,9 → 11,9 % sur six ans, 50/50, coût pour l’État zéro. Pays-Bas 2019-2028 : conversion DB→DC sur les réserves existantes des fonds (1 850 Md€), pas un euro de l’État.</w:t>
      </w:r>
    </w:p>
    <w:p w14:paraId="44F1021C" w14:textId="77777777" w:rsidR="00BF0342" w:rsidRDefault="00000000">
      <w:pPr>
        <w:pStyle w:val="BodyText"/>
      </w:pPr>
      <w:r>
        <w:t xml:space="preserve">Une seule ligne fait exception : le Chili, qui a financé ses </w:t>
      </w:r>
      <w:r>
        <w:rPr>
          <w:i/>
          <w:iCs/>
        </w:rPr>
        <w:t>bonos de reconocimiento</w:t>
      </w:r>
      <w:r>
        <w:t xml:space="preserve"> par l’impôt général à hauteur de </w:t>
      </w:r>
      <w:r>
        <w:rPr>
          <w:b/>
          <w:bCs/>
        </w:rPr>
        <w:t>30 % du PIB cumulé</w:t>
      </w:r>
      <w:r>
        <w:t xml:space="preserve"> sur trente ans</w:t>
      </w:r>
      <w:r>
        <w:rPr>
          <w:rStyle w:val="FootnoteReference"/>
        </w:rPr>
        <w:footnoteReference w:id="378"/>
      </w:r>
      <w:r>
        <w:t>. C’est précisément ce qui en fait le contre-exemple absolu - et la raison pour laquelle le Chili a dû tout réformer en janvier 2025.</w:t>
      </w:r>
    </w:p>
    <w:p w14:paraId="6CEAC5A2" w14:textId="77777777" w:rsidR="00BF0342" w:rsidRDefault="00000000">
      <w:pPr>
        <w:pStyle w:val="BodyText"/>
      </w:pPr>
      <w:r>
        <w:rPr>
          <w:b/>
          <w:bCs/>
        </w:rPr>
        <w:t>Deuxième argument : la France dispose de six leviers, et ne demande à aucun d’absorber seul la transition.</w:t>
      </w:r>
      <w:r>
        <w:t xml:space="preserve"> Les six leviers ont été documentés au chapitre 5. Synthèse :</w:t>
      </w:r>
    </w:p>
    <w:tbl>
      <w:tblPr>
        <w:tblStyle w:val="Table"/>
        <w:tblW w:w="4897" w:type="pct"/>
        <w:tblLayout w:type="fixed"/>
        <w:tblLook w:val="0020" w:firstRow="1" w:lastRow="0" w:firstColumn="0" w:lastColumn="0" w:noHBand="0" w:noVBand="0"/>
      </w:tblPr>
      <w:tblGrid>
        <w:gridCol w:w="4936"/>
        <w:gridCol w:w="4443"/>
      </w:tblGrid>
      <w:tr w:rsidR="00BF0342" w14:paraId="2973C084" w14:textId="77777777" w:rsidTr="00BF0342">
        <w:trPr>
          <w:cnfStyle w:val="100000000000" w:firstRow="1" w:lastRow="0" w:firstColumn="0" w:lastColumn="0" w:oddVBand="0" w:evenVBand="0" w:oddHBand="0" w:evenHBand="0" w:firstRowFirstColumn="0" w:firstRowLastColumn="0" w:lastRowFirstColumn="0" w:lastRowLastColumn="0"/>
          <w:tblHeader/>
        </w:trPr>
        <w:tc>
          <w:tcPr>
            <w:tcW w:w="4082" w:type="dxa"/>
          </w:tcPr>
          <w:p w14:paraId="05ACD36A" w14:textId="77777777" w:rsidR="00BF0342" w:rsidRDefault="00000000">
            <w:pPr>
              <w:pStyle w:val="Compact"/>
            </w:pPr>
            <w:r>
              <w:t>Levier</w:t>
            </w:r>
          </w:p>
        </w:tc>
        <w:tc>
          <w:tcPr>
            <w:tcW w:w="3674" w:type="dxa"/>
          </w:tcPr>
          <w:p w14:paraId="52372ADA" w14:textId="77777777" w:rsidR="00BF0342" w:rsidRDefault="00000000">
            <w:pPr>
              <w:pStyle w:val="Compact"/>
            </w:pPr>
            <w:r>
              <w:t>Montant mobilisable</w:t>
            </w:r>
          </w:p>
        </w:tc>
      </w:tr>
      <w:tr w:rsidR="00BF0342" w14:paraId="726AE522" w14:textId="77777777">
        <w:tc>
          <w:tcPr>
            <w:tcW w:w="4082" w:type="dxa"/>
          </w:tcPr>
          <w:p w14:paraId="58AD6131" w14:textId="77777777" w:rsidR="00BF0342" w:rsidRDefault="00000000">
            <w:pPr>
              <w:pStyle w:val="Compact"/>
            </w:pPr>
            <w:r>
              <w:t>FRR - dotation unique</w:t>
            </w:r>
          </w:p>
        </w:tc>
        <w:tc>
          <w:tcPr>
            <w:tcW w:w="3674" w:type="dxa"/>
          </w:tcPr>
          <w:p w14:paraId="0E767B75" w14:textId="77777777" w:rsidR="00BF0342" w:rsidRDefault="00000000">
            <w:pPr>
              <w:pStyle w:val="Compact"/>
            </w:pPr>
            <w:r>
              <w:t>20,4 Md€</w:t>
            </w:r>
            <w:r>
              <w:rPr>
                <w:rStyle w:val="FootnoteReference"/>
              </w:rPr>
              <w:footnoteReference w:id="379"/>
            </w:r>
          </w:p>
        </w:tc>
      </w:tr>
      <w:tr w:rsidR="00BF0342" w14:paraId="09787AB1" w14:textId="77777777">
        <w:tc>
          <w:tcPr>
            <w:tcW w:w="4082" w:type="dxa"/>
          </w:tcPr>
          <w:p w14:paraId="09E53AF2" w14:textId="77777777" w:rsidR="00BF0342" w:rsidRDefault="00000000">
            <w:pPr>
              <w:pStyle w:val="Compact"/>
            </w:pPr>
            <w:r>
              <w:t>Eurobonds retraite dédiés</w:t>
            </w:r>
          </w:p>
        </w:tc>
        <w:tc>
          <w:tcPr>
            <w:tcW w:w="3674" w:type="dxa"/>
          </w:tcPr>
          <w:p w14:paraId="3A13177A" w14:textId="77777777" w:rsidR="00BF0342" w:rsidRDefault="00000000">
            <w:pPr>
              <w:pStyle w:val="Compact"/>
            </w:pPr>
            <w:r>
              <w:t>50-150 Md€ amorçage, ~2 Md€/an d’intérêts</w:t>
            </w:r>
          </w:p>
        </w:tc>
      </w:tr>
      <w:tr w:rsidR="00BF0342" w14:paraId="4F445EB6" w14:textId="77777777">
        <w:tc>
          <w:tcPr>
            <w:tcW w:w="4082" w:type="dxa"/>
          </w:tcPr>
          <w:p w14:paraId="6E0783D5" w14:textId="77777777" w:rsidR="00BF0342" w:rsidRDefault="00000000">
            <w:pPr>
              <w:pStyle w:val="Compact"/>
            </w:pPr>
            <w:r>
              <w:t>CSG (1 point)</w:t>
            </w:r>
          </w:p>
        </w:tc>
        <w:tc>
          <w:tcPr>
            <w:tcW w:w="3674" w:type="dxa"/>
          </w:tcPr>
          <w:p w14:paraId="315970AD" w14:textId="77777777" w:rsidR="00BF0342" w:rsidRDefault="00000000">
            <w:pPr>
              <w:pStyle w:val="Compact"/>
            </w:pPr>
            <w:r>
              <w:t>16-17 Md€/an pérenne</w:t>
            </w:r>
          </w:p>
        </w:tc>
      </w:tr>
      <w:tr w:rsidR="00BF0342" w14:paraId="52E8CC27" w14:textId="77777777">
        <w:tc>
          <w:tcPr>
            <w:tcW w:w="4082" w:type="dxa"/>
          </w:tcPr>
          <w:p w14:paraId="0CF238FF" w14:textId="77777777" w:rsidR="00BF0342" w:rsidRDefault="00000000">
            <w:pPr>
              <w:pStyle w:val="Compact"/>
            </w:pPr>
            <w:r>
              <w:t>Redéploiement AGIRC-ARRCO (1 point)</w:t>
            </w:r>
          </w:p>
        </w:tc>
        <w:tc>
          <w:tcPr>
            <w:tcW w:w="3674" w:type="dxa"/>
          </w:tcPr>
          <w:p w14:paraId="4381500D" w14:textId="77777777" w:rsidR="00BF0342" w:rsidRDefault="00000000">
            <w:pPr>
              <w:pStyle w:val="Compact"/>
            </w:pPr>
            <w:r>
              <w:t>8-10 Md€/an</w:t>
            </w:r>
          </w:p>
        </w:tc>
      </w:tr>
      <w:tr w:rsidR="00BF0342" w14:paraId="19716E02" w14:textId="77777777">
        <w:tc>
          <w:tcPr>
            <w:tcW w:w="4082" w:type="dxa"/>
          </w:tcPr>
          <w:p w14:paraId="47ECCE4E" w14:textId="77777777" w:rsidR="00BF0342" w:rsidRDefault="00000000">
            <w:pPr>
              <w:pStyle w:val="Compact"/>
            </w:pPr>
            <w:r>
              <w:t>Cotisation patronale nouvelle (2 points)</w:t>
            </w:r>
          </w:p>
        </w:tc>
        <w:tc>
          <w:tcPr>
            <w:tcW w:w="3674" w:type="dxa"/>
          </w:tcPr>
          <w:p w14:paraId="62B373E1" w14:textId="77777777" w:rsidR="00BF0342" w:rsidRDefault="00000000">
            <w:pPr>
              <w:pStyle w:val="Compact"/>
            </w:pPr>
            <w:r>
              <w:t>~22 Md€/an</w:t>
            </w:r>
            <w:r>
              <w:rPr>
                <w:rStyle w:val="FootnoteReference"/>
              </w:rPr>
              <w:footnoteReference w:id="380"/>
            </w:r>
          </w:p>
        </w:tc>
      </w:tr>
      <w:tr w:rsidR="00BF0342" w14:paraId="03D5307C" w14:textId="77777777">
        <w:tc>
          <w:tcPr>
            <w:tcW w:w="4082" w:type="dxa"/>
          </w:tcPr>
          <w:p w14:paraId="2F961274" w14:textId="77777777" w:rsidR="00BF0342" w:rsidRDefault="00000000">
            <w:pPr>
              <w:pStyle w:val="Compact"/>
            </w:pPr>
            <w:r>
              <w:t>Sous-indexation pensions (-1 pt sous inflation)</w:t>
            </w:r>
          </w:p>
        </w:tc>
        <w:tc>
          <w:tcPr>
            <w:tcW w:w="3674" w:type="dxa"/>
          </w:tcPr>
          <w:p w14:paraId="2B4EA9CF" w14:textId="77777777" w:rsidR="00BF0342" w:rsidRDefault="00000000">
            <w:pPr>
              <w:pStyle w:val="Compact"/>
            </w:pPr>
            <w:r>
              <w:t>~1,4 Md€/an d’économie</w:t>
            </w:r>
          </w:p>
        </w:tc>
      </w:tr>
    </w:tbl>
    <w:p w14:paraId="24B1C710" w14:textId="77777777" w:rsidR="00BF0342" w:rsidRDefault="00000000">
      <w:pPr>
        <w:pStyle w:val="BodyText"/>
      </w:pPr>
      <w:r>
        <w:t xml:space="preserve">Aucun, pris isolément, ne ferme l’équation. C’est précisément le sens du tableau. Combinaison réaliste pour la France : </w:t>
      </w:r>
      <w:r>
        <w:rPr>
          <w:b/>
          <w:bCs/>
        </w:rPr>
        <w:t>FRR + cotisation patronale 2 % + eurobonds limités</w:t>
      </w:r>
      <w:r>
        <w:t xml:space="preserve">. Total ≈ 22 Md€/an de flux pérennes plus deux dotations en capital. Charge nette pour l’État ≈ </w:t>
      </w:r>
      <w:r>
        <w:rPr>
          <w:b/>
          <w:bCs/>
        </w:rPr>
        <w:t>3 à 4 Md€/an, soit 0,1 % du PIB</w:t>
      </w:r>
      <w:r>
        <w:t>. Le détail des douze propositions qui précèdent.</w:t>
      </w:r>
    </w:p>
    <w:p w14:paraId="532E6543" w14:textId="77777777" w:rsidR="00BF0342" w:rsidRDefault="00000000">
      <w:pPr>
        <w:pStyle w:val="BodyText"/>
      </w:pPr>
      <w:r>
        <w:rPr>
          <w:b/>
          <w:bCs/>
        </w:rPr>
        <w:lastRenderedPageBreak/>
        <w:t>Troisième argument : le coût de l’inaction est dix fois supérieur.</w:t>
      </w:r>
      <w:r>
        <w:t xml:space="preserve"> Le COR projette un déficit du système de </w:t>
      </w:r>
      <w:r>
        <w:rPr>
          <w:b/>
          <w:bCs/>
        </w:rPr>
        <w:t>45 Md€/an en 2070</w:t>
      </w:r>
      <w:r>
        <w:t>, soit −1,4 % du PIB</w:t>
      </w:r>
      <w:r>
        <w:rPr>
          <w:rStyle w:val="FootnoteReference"/>
        </w:rPr>
        <w:footnoteReference w:id="381"/>
      </w:r>
      <w:r>
        <w:t xml:space="preserve">. La Commission européenne évalue le passif implicite français à </w:t>
      </w:r>
      <w:r>
        <w:rPr>
          <w:b/>
          <w:bCs/>
        </w:rPr>
        <w:t>417 % du PIB</w:t>
      </w:r>
      <w:r>
        <w:rPr>
          <w:rStyle w:val="FootnoteReference"/>
        </w:rPr>
        <w:footnoteReference w:id="382"/>
      </w:r>
      <w:r>
        <w:t xml:space="preserve">. Le coût de la transition à l’horizon 2052, dans le scénario D du chapitre 5, est de ~88 Md€ cumulés. Le coût de l’inaction sur le même horizon, rien qu’en soldes COR projetés linéairement : au minimum </w:t>
      </w:r>
      <w:r>
        <w:rPr>
          <w:b/>
          <w:bCs/>
        </w:rPr>
        <w:t>800 Md€ cumulés</w:t>
      </w:r>
      <w:r>
        <w:t>. Dix fois plus. L’argument du double paiement, retourné, devient : le double paiement de l’inaction sera, à coup sûr, plusieurs fois plus lourd que celui de la transition.</w:t>
      </w:r>
    </w:p>
    <w:p w14:paraId="35EF9AE0" w14:textId="77777777" w:rsidR="00BF0342" w:rsidRDefault="00000000">
      <w:pPr>
        <w:pStyle w:val="BodyText"/>
      </w:pPr>
      <w:r>
        <w:t xml:space="preserve">Et la cohorte « sacrifiée », celle qui paierait en double ? Dans le scénario D, elle paie 0,5 à 4 points de cotisation patronale nouvelle de plus, étalés sur sept à dix ans. En contrepartie, elle accumule en moyenne 119 000 euros de capital propre par actif en 2052, qui produiront, à un taux de liquidation prudent de 2 % réel, de l’ordre de 150 000 euros de pension supplémentaire sur vingt ans. La cohorte « sacrifiée » est en fait la première bénéficiaire. La cohorte vraiment sacrifiée, dans le statu quo, c’est celle qui paie sans rien recevoir - c’est-à-dire, sans réforme, </w:t>
      </w:r>
      <w:r>
        <w:rPr>
          <w:i/>
          <w:iCs/>
        </w:rPr>
        <w:t>toutes</w:t>
      </w:r>
      <w:r>
        <w:t xml:space="preserve"> les cohortes nées après 1985.</w:t>
      </w:r>
    </w:p>
    <w:p w14:paraId="44154D8E" w14:textId="77777777" w:rsidR="00BF0342" w:rsidRDefault="00000000">
      <w:pPr>
        <w:pStyle w:val="BodyText"/>
      </w:pPr>
      <w:r>
        <w:t xml:space="preserve">La Suède l’a accepté en 1994, en pleine crise budgétaire. L’Australie en 1985. Le Royaume-Uni en 2008. Le Canada en 2016. Aucun de ces pays n’avait, à l’époque, l’épaisseur budgétaire que la France a aujourd’hui. L’objection « insurmontable » n’est ni technique ni juridique. Elle est </w:t>
      </w:r>
      <w:r>
        <w:rPr>
          <w:i/>
          <w:iCs/>
        </w:rPr>
        <w:t>politique</w:t>
      </w:r>
      <w:r>
        <w:t>.</w:t>
      </w:r>
    </w:p>
    <w:p w14:paraId="004D13B0" w14:textId="77777777" w:rsidR="00BF0342" w:rsidRDefault="00000000">
      <w:pPr>
        <w:pStyle w:val="Heading2"/>
      </w:pPr>
      <w:bookmarkStart w:id="139" w:name="Xea5653001ae243f3ea14c0ae28285fcc13f05a2"/>
      <w:bookmarkStart w:id="140" w:name="_Toc233036227"/>
      <w:bookmarkEnd w:id="137"/>
      <w:r>
        <w:t>Q.5 - « On a déjà essayé : le PER, ça ne marche pas »</w:t>
      </w:r>
      <w:bookmarkEnd w:id="140"/>
    </w:p>
    <w:p w14:paraId="27F8E4E9" w14:textId="77777777" w:rsidR="00BF0342" w:rsidRDefault="00000000">
      <w:pPr>
        <w:pStyle w:val="FirstParagraph"/>
      </w:pPr>
      <w:r>
        <w:t xml:space="preserve">L’argument utilise un échec partiel pour disqualifier un projet plus large. Comme si l’on disait : </w:t>
      </w:r>
      <w:r>
        <w:rPr>
          <w:i/>
          <w:iCs/>
        </w:rPr>
        <w:t>« la voiture électrique, ça ne marche pas</w:t>
      </w:r>
      <w:r>
        <w:t xml:space="preserve"> </w:t>
      </w:r>
      <w:r>
        <w:rPr>
          <w:i/>
          <w:iCs/>
        </w:rPr>
        <w:t>- regardez la Citroën C-Zéro »</w:t>
      </w:r>
      <w:r>
        <w:t>.</w:t>
      </w:r>
    </w:p>
    <w:p w14:paraId="12728B4D" w14:textId="77777777" w:rsidR="00BF0342" w:rsidRDefault="00000000">
      <w:pPr>
        <w:pStyle w:val="BodyText"/>
      </w:pPr>
      <w:r>
        <w:rPr>
          <w:b/>
          <w:bCs/>
        </w:rPr>
        <w:t>Premier argument : le PER n’est pas un fonds de pension, c’est un compte d’épargne fiscal.</w:t>
      </w:r>
      <w:r>
        <w:t xml:space="preserve"> Créé par la loi PACTE de mai 2019, il compte 11,2 millions de souscripteurs et 118,9 Md€ d’encours fin T3 2024, soit </w:t>
      </w:r>
      <w:r>
        <w:rPr>
          <w:b/>
          <w:bCs/>
        </w:rPr>
        <w:t>10 600 euros par titulaire</w:t>
      </w:r>
      <w:r>
        <w:t xml:space="preserve"> - résiduel à l’échelle d’une carrière</w:t>
      </w:r>
      <w:r>
        <w:rPr>
          <w:rStyle w:val="FootnoteReference"/>
        </w:rPr>
        <w:footnoteReference w:id="383"/>
      </w:r>
      <w:r>
        <w:t xml:space="preserve">. À titre de comparaison, un ménage australien à 50 ans détient plus de 150 000 AUD dans son fonds de pension obligatoire. Le PER est l’équivalent du </w:t>
      </w:r>
      <w:r>
        <w:rPr>
          <w:i/>
          <w:iCs/>
        </w:rPr>
        <w:t>Roth IRA</w:t>
      </w:r>
      <w:r>
        <w:t xml:space="preserve"> américain ou du </w:t>
      </w:r>
      <w:r>
        <w:rPr>
          <w:i/>
          <w:iCs/>
        </w:rPr>
        <w:t>SIPP</w:t>
      </w:r>
      <w:r>
        <w:t xml:space="preserve"> britannique. Ce n’est </w:t>
      </w:r>
      <w:r>
        <w:rPr>
          <w:i/>
          <w:iCs/>
        </w:rPr>
        <w:t>pas</w:t>
      </w:r>
      <w:r>
        <w:t xml:space="preserve"> l’équivalent du NEST, de l’ABP, d’AustralianSuper.</w:t>
      </w:r>
    </w:p>
    <w:p w14:paraId="4F56C3DE" w14:textId="77777777" w:rsidR="00BF0342" w:rsidRDefault="00000000">
      <w:pPr>
        <w:pStyle w:val="BodyText"/>
      </w:pPr>
      <w:r>
        <w:rPr>
          <w:b/>
          <w:bCs/>
        </w:rPr>
        <w:t>Deuxième argument : volontaire versus obligatoire, et les conséquences statistiques qui en découlent.</w:t>
      </w:r>
      <w:r>
        <w:t xml:space="preserve"> Un produit volontaire ne touche que les déjà-épargnants, qui sont les déciles supérieurs de revenu. Un produit obligatoire - ou en auto-enrolment avec opt-out - couvre tout le monde : 80 à 92 % de taux de participation observés. Cette différence n’est pas quantitative. Elle est qualitative.</w:t>
      </w:r>
    </w:p>
    <w:p w14:paraId="4EA4ECA5" w14:textId="77777777" w:rsidR="00BF0342" w:rsidRDefault="00000000">
      <w:pPr>
        <w:pStyle w:val="BodyText"/>
      </w:pPr>
      <w:r>
        <w:rPr>
          <w:b/>
          <w:bCs/>
        </w:rPr>
        <w:lastRenderedPageBreak/>
        <w:t>Troisième argument : la gouvernance et les frais.</w:t>
      </w:r>
      <w:r>
        <w:t xml:space="preserve"> Le PER est distribué par des banques et assureurs commerciaux ; frais cumulés 1,5 à 3 % par an. Un fonds de pension public est gouverné par un conseil tripartite (État, syndicats, patronat) avec direction des investissements indépendante. Frais cibles : AP7 Suède 0,05 %, NEST UK 0,3-0,5 %. Sur quarante ans de carrière, l’écart de frais représente plusieurs dizaines de pour cent du capital final accumulé. C’est l’écart entre un produit financier et une </w:t>
      </w:r>
      <w:r>
        <w:rPr>
          <w:i/>
          <w:iCs/>
        </w:rPr>
        <w:t>infrastructure</w:t>
      </w:r>
      <w:r>
        <w:t>.</w:t>
      </w:r>
    </w:p>
    <w:p w14:paraId="28175D58" w14:textId="77777777" w:rsidR="00BF0342" w:rsidRDefault="00000000">
      <w:pPr>
        <w:pStyle w:val="BodyText"/>
      </w:pPr>
      <w:r>
        <w:t>Dire « on a essayé le PER, ça ne marche pas » revient à dire « on a essayé l’eau gazeuse, ça ne désaltère pas » alors qu’on aurait pu boire un litre d’eau plate. Le PER reste utile en pilier 3 volontaire individuel. Mais le pilier 2 - capitalisation obligatoire, paritaire, fléchée, gouvernée - reste intégralement à inventer.</w:t>
      </w:r>
    </w:p>
    <w:p w14:paraId="2364C5EC" w14:textId="77777777" w:rsidR="00BF0342" w:rsidRDefault="00000000">
      <w:pPr>
        <w:pStyle w:val="Heading2"/>
      </w:pPr>
      <w:bookmarkStart w:id="141" w:name="X70dce6f23b63ba2f04911b73f881d8548bc20d4"/>
      <w:bookmarkStart w:id="142" w:name="_Toc233036228"/>
      <w:bookmarkEnd w:id="139"/>
      <w:r>
        <w:t>Q.6 - « La France n’a pas la culture financière »</w:t>
      </w:r>
      <w:bookmarkEnd w:id="142"/>
    </w:p>
    <w:p w14:paraId="6C09B71D" w14:textId="77777777" w:rsidR="00BF0342" w:rsidRDefault="00000000">
      <w:pPr>
        <w:pStyle w:val="FirstParagraph"/>
      </w:pPr>
      <w:r>
        <w:t>C’est la plus défaitiste des objections. Elle reconnaît implicitement les vertus du système qu’elle refuse, et se replie sur une excuse sociologique.</w:t>
      </w:r>
    </w:p>
    <w:p w14:paraId="4BC2BF35" w14:textId="77777777" w:rsidR="00BF0342" w:rsidRDefault="00000000">
      <w:pPr>
        <w:pStyle w:val="BodyText"/>
      </w:pPr>
      <w:r>
        <w:rPr>
          <w:b/>
          <w:bCs/>
        </w:rPr>
        <w:t xml:space="preserve">Premier argument : la culture financière française a été </w:t>
      </w:r>
      <w:r>
        <w:rPr>
          <w:b/>
          <w:bCs/>
          <w:i/>
          <w:iCs/>
        </w:rPr>
        <w:t>retirée</w:t>
      </w:r>
      <w:r>
        <w:rPr>
          <w:b/>
          <w:bCs/>
        </w:rPr>
        <w:t>, pas absente.</w:t>
      </w:r>
      <w:r>
        <w:t xml:space="preserve"> Avant 1945, la France était l’un des pays d’investisseurs particuliers les plus actifs d’Europe : actions Suez, Saint-Gobain, Compagnie des Indes, Chemins de fer du Nord, Banque de France, et bien sûr l’emprunt russe. Cette culture a été cassée par deux guerres, deux inflations massives (1920-1928, 1944-1958), les nationalisations, et l’instauration en 1945 d’une Sécurité sociale qui a </w:t>
      </w:r>
      <w:r>
        <w:rPr>
          <w:i/>
          <w:iCs/>
        </w:rPr>
        <w:t>remplacé</w:t>
      </w:r>
      <w:r>
        <w:t xml:space="preserve"> l’épargne individuelle par la solidarité contributive. Quatre-vingt-un ans plus tard, on s’étonne qu’elle ait moins l’habitude d’investir.</w:t>
      </w:r>
    </w:p>
    <w:p w14:paraId="092E2ED9" w14:textId="77777777" w:rsidR="00BF0342" w:rsidRDefault="00000000">
      <w:pPr>
        <w:pStyle w:val="BodyText"/>
      </w:pPr>
      <w:r>
        <w:rPr>
          <w:b/>
          <w:bCs/>
        </w:rPr>
        <w:t>Deuxième argument : la Suède de 1990 ressemblait à la France de 1990.</w:t>
      </w:r>
      <w:r>
        <w:t xml:space="preserve"> Même profil d’épargne, mêmes dépôts bancaires dominants, exposition aux actions inférieure à 10 % du patrimoine financier. En 2024, le ménage suédois détient 35-40 % en actions, contre ~27 % pour le français. La différence ne tient pas à un don suédois mystérieux : elle tient à l’architecture. La mise en place du PPM en 1999 a </w:t>
      </w:r>
      <w:r>
        <w:rPr>
          <w:i/>
          <w:iCs/>
        </w:rPr>
        <w:t>fabriqué</w:t>
      </w:r>
      <w:r>
        <w:t xml:space="preserve"> une culture financière qui n’existait pas. La culture n’a pas précédé l’instrument ; elle l’a suivi. Et le PEA français suit la même trajectoire : 1,8 million de titulaires en 1995, plus de 7 millions aujourd’hui</w:t>
      </w:r>
      <w:r>
        <w:rPr>
          <w:rStyle w:val="FootnoteReference"/>
        </w:rPr>
        <w:footnoteReference w:id="384"/>
      </w:r>
      <w:r>
        <w:t xml:space="preserve"> - 12,5 % des ménages détiennent désormais des actions en direct, contre 6,9 % en 2020.</w:t>
      </w:r>
    </w:p>
    <w:p w14:paraId="4BC7DF19" w14:textId="77777777" w:rsidR="00BF0342" w:rsidRDefault="00000000">
      <w:pPr>
        <w:pStyle w:val="BodyText"/>
      </w:pPr>
      <w:r>
        <w:rPr>
          <w:b/>
          <w:bCs/>
        </w:rPr>
        <w:t>Troisième argument : la capitalisation moderne ne demande aucune culture financière.</w:t>
      </w:r>
      <w:r>
        <w:t xml:space="preserve"> Personne, en Suède, n’est savant. Personne, en Australie, ne l’est. Tous bénéficient d’un fonds par défaut bien conçu - AP7 Såfa, MySuper, NEST - qui gère pour eux, avec glide path automatique, frais ultra-bas et transparence radicale. La culture requise est </w:t>
      </w:r>
      <w:r>
        <w:rPr>
          <w:i/>
          <w:iCs/>
        </w:rPr>
        <w:t>nulle</w:t>
      </w:r>
      <w:r>
        <w:t xml:space="preserve">. Il suffit de ne pas opt-outer. C’est l’inverse du PER, qui exige de chaque épargnant qu’il choisisse parmi des dizaines de supports et qu’il comprenne la fiscalité. </w:t>
      </w:r>
      <w:r>
        <w:rPr>
          <w:i/>
          <w:iCs/>
        </w:rPr>
        <w:t>Ça</w:t>
      </w:r>
      <w:r>
        <w:t>, c’est culturellement exigeant. Un fonds par défaut, non.</w:t>
      </w:r>
    </w:p>
    <w:p w14:paraId="4DC698A0" w14:textId="77777777" w:rsidR="00BF0342" w:rsidRDefault="00000000">
      <w:pPr>
        <w:pStyle w:val="BodyText"/>
      </w:pPr>
      <w:r>
        <w:lastRenderedPageBreak/>
        <w:t xml:space="preserve">L’argument se retourne en miroir. </w:t>
      </w:r>
      <w:r>
        <w:rPr>
          <w:i/>
          <w:iCs/>
        </w:rPr>
        <w:t>On ne peut pas demander aux Français de gérer leur retraite eux-mêmes.</w:t>
      </w:r>
      <w:r>
        <w:t xml:space="preserve"> Exact. C’est précisément pourquoi il faut un fonds par défaut public, transparent et bien géré, qui le fasse à leur place. C’est l’architecture qui fait le travail. Pas la culture.</w:t>
      </w:r>
    </w:p>
    <w:p w14:paraId="56DA0418" w14:textId="77777777" w:rsidR="00BF0342" w:rsidRDefault="00000000">
      <w:pPr>
        <w:pStyle w:val="Heading2"/>
      </w:pPr>
      <w:bookmarkStart w:id="143" w:name="conclusion-la-fenêtre-est-ouverte"/>
      <w:bookmarkStart w:id="144" w:name="_Toc233036229"/>
      <w:bookmarkEnd w:id="141"/>
      <w:r>
        <w:t>Conclusion : la fenêtre est ouverte</w:t>
      </w:r>
      <w:bookmarkEnd w:id="144"/>
    </w:p>
    <w:p w14:paraId="04DC01FC" w14:textId="77777777" w:rsidR="00BF0342" w:rsidRDefault="00000000">
      <w:pPr>
        <w:pStyle w:val="FirstParagraph"/>
      </w:pPr>
      <w:r>
        <w:t>Six objections, six réponses. Et, au-delà des six, un livre entier qui tient en quelques phrases.</w:t>
      </w:r>
    </w:p>
    <w:p w14:paraId="0744DE4B" w14:textId="77777777" w:rsidR="00BF0342" w:rsidRDefault="00000000">
      <w:pPr>
        <w:pStyle w:val="BodyText"/>
      </w:pPr>
      <w:r>
        <w:t>Le système actuel ne tient pas. La démographie le rattrape, les réformes paramétriques s’épuisent, le déficit projeté dérive de cinq milliards d’euros aujourd’hui à quarante-cinq dans trente ans, et le passif implicite atteint l’équivalent de quatre années entières de PIB national. C’est ce qu’a posé la première partie.</w:t>
      </w:r>
    </w:p>
    <w:p w14:paraId="78108A21" w14:textId="77777777" w:rsidR="00BF0342" w:rsidRDefault="00000000">
      <w:pPr>
        <w:pStyle w:val="BodyText"/>
      </w:pPr>
      <w:r>
        <w:t>La capitalisation est l’outil qui manque. Pas comme substitut, comme complément. Le calcul cas-type est implacable : un actif de trente ans en 2026, qui orienterait un cinquième de sa cotisation vers un pilier capitalisé pendant ses quarante-trois années de carrière, accumulerait 216 000 euros de capital propre et toucherait 162 000 euros de pension supplémentaire sur sa retraite. C’est ce qu’a montré la deuxième partie.</w:t>
      </w:r>
    </w:p>
    <w:p w14:paraId="2D901E9B" w14:textId="77777777" w:rsidR="00BF0342" w:rsidRDefault="00000000">
      <w:pPr>
        <w:pStyle w:val="BodyText"/>
      </w:pPr>
      <w:r>
        <w:t>Ce n’est pas qu’un sujet de pension. La même infrastructure qui sécurise les retraites finance les entreprises françaises, les sièges sociaux, les ETI, les scale-up. Le capital absent - les six mille milliards qui dorment dans les livrets et les fonds en euros - est précisément ce qui manque pour empêcher la vague de transmissions 2025-2035 de partir intégralement aux fonds étrangers. Le même capital, deux problèmes, une réponse unique. C’est l’argument de la troisième partie.</w:t>
      </w:r>
    </w:p>
    <w:p w14:paraId="0CF2FB80" w14:textId="77777777" w:rsidR="00BF0342" w:rsidRDefault="00000000">
      <w:pPr>
        <w:pStyle w:val="BodyText"/>
      </w:pPr>
      <w:r>
        <w:t>Les autres l’ont fait. Quatre cas - Suède, Australie, Singapour, Chili - quatre architectures différentes, quatre époques, et un même verdict : un pilier capitalisé bien construit est compatible avec la social-démocratie, avec le pragmatisme syndical, avec la continuité asiatique, et l’absence de l’un des quatre invariants - cotisation patronale, plancher universel, fonds par défaut, pacte transpartisan - produit un échec. C’est ce qu’a posé la quatrième partie, à travers ses quatre cas étrangers.</w:t>
      </w:r>
    </w:p>
    <w:p w14:paraId="60A71326" w14:textId="77777777" w:rsidR="00BF0342" w:rsidRDefault="00000000">
      <w:pPr>
        <w:pStyle w:val="BodyText"/>
      </w:pPr>
      <w:r>
        <w:t>La transition est possible en vingt-cinq ans. Quatre scénarios crédibles, modélisés et chiffrés. Le scénario D, hybride Canada-Australie, produit 2 744 milliards d’euros d’encours en 2052, soit 69 % du PIB français - comparable à la position du Royaume-Uni aujourd’hui. Coût budgétaire pour l’État : environ 3,5 milliards d’euros par an. Coût comparé de l’inaction : dix fois plus, voire davantage. C’est ce qu’a démontré la feuille de route de cette même quatrième partie.</w:t>
      </w:r>
    </w:p>
    <w:p w14:paraId="049674BF" w14:textId="77777777" w:rsidR="00BF0342" w:rsidRDefault="00000000">
      <w:pPr>
        <w:pStyle w:val="BodyText"/>
      </w:pPr>
      <w:r>
        <w:t xml:space="preserve">Douze propositions concrètes. Loi-cadre 2027, Fonds Français de Capitalisation 2028, auto-enrolment progressif, cotisation patronale graduée, redéploiement du FRR, eurobonds dédiés, gouvernance paritaire, fléchage souverain, garantie publique de </w:t>
      </w:r>
      <w:r>
        <w:lastRenderedPageBreak/>
        <w:t>rendement plancher, transparence radicale, pacte intergénérationnel, Commission indépendante mandatée dès 2027. C’est ce qu’a posé la quatrième partie.</w:t>
      </w:r>
    </w:p>
    <w:p w14:paraId="1B0971FF" w14:textId="77777777" w:rsidR="00BF0342" w:rsidRDefault="00000000">
      <w:pPr>
        <w:pStyle w:val="BodyText"/>
      </w:pPr>
      <w:r>
        <w:t xml:space="preserve">Et six mensonges, désormais désamorcés. La bourse n’est pas un casino quand elle est encadrée par un glide path, des garanties publiques et la diversification mondiale d’un fonds public. Enron, Madoff, Detroit ne sont pas des arguments contre la capitalisation publique moderne, parce qu’aucun de ces cas n’a pu se produire dans un fonds soumis aux règles OCDE modernes. La capitalisation obligatoire universelle est </w:t>
      </w:r>
      <w:r>
        <w:rPr>
          <w:i/>
          <w:iCs/>
        </w:rPr>
        <w:t>plus</w:t>
      </w:r>
      <w:r>
        <w:t xml:space="preserve"> sociale, pas moins, que le système actuel - pour les femmes, pour les bas revenus, pour les carrières fragmentées. Le double paiement n’est pas insurmontable : aucun pays comparable ne l’a financé par l’impôt général, et la France dispose de six leviers documentés. Le PER n’est pas un échec de la capitalisation, parce que ce n’est pas un fonds de pension structurel. Et la culture financière française n’est pas une fatalité : c’est ce que l’infrastructure crée, pas ce qu’elle suppose.</w:t>
      </w:r>
    </w:p>
    <w:p w14:paraId="5466F65D" w14:textId="77777777" w:rsidR="00BF0342" w:rsidRDefault="00000000">
      <w:pPr>
        <w:pStyle w:val="BodyText"/>
      </w:pPr>
      <w:r>
        <w:t>Tout le travail théorique du livre est, ici, achevé. La fenêtre ouverte par la présidentielle de 2027 ne se rouvrira pas avant 2032 - et chaque année perdue alourdit le coût de l’inaction de plusieurs milliards d’euros et déplace de plusieurs centaines de milliers la cohorte qui aurait pu basculer dans le nouveau système. La Suède n’a pas attendu d’être en confort budgétaire pour réformer. Elle l’a fait en pleine crise. La France, en 2026, est dans une situation moins critique. Et pourtant plus paralysée.</w:t>
      </w:r>
    </w:p>
    <w:p w14:paraId="0D062681" w14:textId="77777777" w:rsidR="00BF0342" w:rsidRDefault="00000000">
      <w:pPr>
        <w:pStyle w:val="BodyText"/>
      </w:pPr>
      <w:r>
        <w:t>Trente ans. C’est ce qu’ont coûté les six mensonges qui sont l’objet de ce chapitre. Trente ans de réformes paramétriques qui s’épuisent, de générations qui paient sans recevoir l’équivalent, de capital français qui finance les retraites des autres pendant qu’il manque aux nôtres, d’entreprises familiales qui se vendent à des fonds étrangers parce qu’aucun acheteur français n’a la taille. Trente ans, c’est le mandat de toute une génération de décideurs qui ont entendu ces six phrases sans jamais vouloir les regarder en face.</w:t>
      </w:r>
    </w:p>
    <w:p w14:paraId="3FFFD8BD" w14:textId="77777777" w:rsidR="00BF0342" w:rsidRDefault="00000000">
      <w:pPr>
        <w:pStyle w:val="BodyText"/>
      </w:pPr>
      <w:r>
        <w:t>Reste à savoir si la prochaine en aura le courage.</w:t>
      </w:r>
    </w:p>
    <w:p w14:paraId="552A9523" w14:textId="77777777" w:rsidR="00BF0342" w:rsidRDefault="00000000">
      <w:pPr>
        <w:pStyle w:val="BodyText"/>
      </w:pPr>
      <w:r>
        <w:rPr>
          <w:i/>
          <w:iCs/>
        </w:rPr>
        <w:t>La fenêtre, comme on l’a vu, n’est pas grande. Mais elle est ouverte. La refermer serait, cette fois, en pleine conscience.</w:t>
      </w:r>
      <w:bookmarkEnd w:id="129"/>
      <w:bookmarkEnd w:id="143"/>
    </w:p>
    <w:sectPr w:rsidR="00BF034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9D4A0" w14:textId="77777777" w:rsidR="003642F7" w:rsidRDefault="003642F7">
      <w:pPr>
        <w:spacing w:after="0"/>
      </w:pPr>
      <w:r>
        <w:separator/>
      </w:r>
    </w:p>
  </w:endnote>
  <w:endnote w:type="continuationSeparator" w:id="0">
    <w:p w14:paraId="76222E88" w14:textId="77777777" w:rsidR="003642F7" w:rsidRDefault="003642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D4FC0" w14:textId="77777777" w:rsidR="003642F7" w:rsidRDefault="003642F7">
      <w:pPr>
        <w:spacing w:after="0"/>
      </w:pPr>
      <w:r>
        <w:separator/>
      </w:r>
    </w:p>
  </w:footnote>
  <w:footnote w:type="continuationSeparator" w:id="0">
    <w:p w14:paraId="3F1ECFB9" w14:textId="77777777" w:rsidR="003642F7" w:rsidRDefault="003642F7">
      <w:pPr>
        <w:spacing w:after="0"/>
      </w:pPr>
      <w:r>
        <w:continuationSeparator/>
      </w:r>
    </w:p>
  </w:footnote>
  <w:footnote w:id="1">
    <w:p w14:paraId="5224BBC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Ministère de l’Économie, des Finances et de la Souveraineté industrielle et numérique, communiqué « L’État obtient les garanties du maintien et du développement d’Opella en France », 21 octobre 2024 (</w:t>
      </w:r>
      <w:hyperlink r:id="rId1">
        <w:r w:rsidRPr="00D06B1C">
          <w:rPr>
            <w:rStyle w:val="Hyperlink"/>
            <w:sz w:val="16"/>
            <w:szCs w:val="16"/>
          </w:rPr>
          <w:t>https://presse.economie.gouv.fr/letat-obtient-les-garanties-du-maintien-et-du-developpement-dopella-en-france/</w:t>
        </w:r>
      </w:hyperlink>
      <w:r w:rsidRPr="00D06B1C">
        <w:rPr>
          <w:sz w:val="16"/>
          <w:szCs w:val="16"/>
        </w:rPr>
        <w:t>). Accord tripartite Sanofi-CD&amp;R-État : engagement d’investissement de 70 M€ cumulés sur cinq ans, maintien des volumes minimaux de production en France pour le Doliprane, le Lanzor et l’Aspegic, entrée de Bpifrance au capital à hauteur de 1,8 % avec un siège au conseil d’administration assorti d’un droit de vote.</w:t>
      </w:r>
    </w:p>
  </w:footnote>
  <w:footnote w:id="2">
    <w:p w14:paraId="6645E25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Ardian, </w:t>
      </w:r>
      <w:r w:rsidRPr="00D06B1C">
        <w:rPr>
          <w:i/>
          <w:iCs/>
          <w:sz w:val="16"/>
          <w:szCs w:val="16"/>
        </w:rPr>
        <w:t>Annual Report 2024</w:t>
      </w:r>
      <w:r w:rsidRPr="00D06B1C">
        <w:rPr>
          <w:sz w:val="16"/>
          <w:szCs w:val="16"/>
        </w:rPr>
        <w:t>, 2025. À fin 2024, Ardian gérait environ 176 milliards de dollars d’actifs. À titre de comparaison, le seul fonds de pension néerlandais ABP — qui gère les retraites des fonctionnaires des Pays-Bas — administrait environ 533 milliards d’euros au 30 septembre 2024, soit près de trois fois l'encours d'Ardian. Voir Stichting Pensioenfonds ABP, Jaarverslag 2024, 2025 (https://www.abp.nl/over-abp/jaarverslag).</w:t>
      </w:r>
    </w:p>
  </w:footnote>
  <w:footnote w:id="3">
    <w:p w14:paraId="2209244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CalPERS (California Public Employees’ Retirement System), </w:t>
      </w:r>
      <w:r w:rsidRPr="00D06B1C">
        <w:rPr>
          <w:i/>
          <w:iCs/>
          <w:sz w:val="16"/>
          <w:szCs w:val="16"/>
          <w:lang w:val="en-GB"/>
        </w:rPr>
        <w:t>Portfolio Partnership Report</w:t>
      </w:r>
      <w:r w:rsidRPr="00D06B1C">
        <w:rPr>
          <w:sz w:val="16"/>
          <w:szCs w:val="16"/>
          <w:lang w:val="en-GB"/>
        </w:rPr>
        <w:t>, fin 2024 (</w:t>
      </w:r>
      <w:hyperlink r:id="rId2">
        <w:r w:rsidRPr="00D06B1C">
          <w:rPr>
            <w:rStyle w:val="Hyperlink"/>
            <w:sz w:val="16"/>
            <w:szCs w:val="16"/>
            <w:lang w:val="en-GB"/>
          </w:rPr>
          <w:t>https://www.calpers.ca.gov/documents/calpers-portfolio-partnership-report-as-of-december-31-2024/download?inline=</w:t>
        </w:r>
      </w:hyperlink>
      <w:r w:rsidRPr="00D06B1C">
        <w:rPr>
          <w:sz w:val="16"/>
          <w:szCs w:val="16"/>
          <w:lang w:val="en-GB"/>
        </w:rPr>
        <w:t xml:space="preserve">). </w:t>
      </w:r>
      <w:r w:rsidRPr="00D06B1C">
        <w:rPr>
          <w:sz w:val="16"/>
          <w:szCs w:val="16"/>
        </w:rPr>
        <w:t xml:space="preserve">CalPERS, premier fonds public de pension des États-Unis avec plus de 500 milliards de dollars d’actifs, s’est engagé à hauteur de 500 millions de dollars comme </w:t>
      </w:r>
      <w:r w:rsidRPr="00D06B1C">
        <w:rPr>
          <w:i/>
          <w:iCs/>
          <w:sz w:val="16"/>
          <w:szCs w:val="16"/>
        </w:rPr>
        <w:t>anchor investor</w:t>
      </w:r>
      <w:r w:rsidRPr="00D06B1C">
        <w:rPr>
          <w:sz w:val="16"/>
          <w:szCs w:val="16"/>
        </w:rPr>
        <w:t xml:space="preserve"> dans Clayton, Dubilier &amp; Rice Fund XI L.P. (commitment 2023). La firme CD&amp;R, fondée en 1978, est basée 375 Park Avenue, New York ; son fonds XI a clôturé sa levée en 2024 à plus de 12 milliards de dollars (</w:t>
      </w:r>
      <w:hyperlink r:id="rId3">
        <w:r w:rsidRPr="00D06B1C">
          <w:rPr>
            <w:rStyle w:val="Hyperlink"/>
            <w:sz w:val="16"/>
            <w:szCs w:val="16"/>
          </w:rPr>
          <w:t>https://www.cdr-inc.com/firm-profile</w:t>
        </w:r>
      </w:hyperlink>
      <w:r w:rsidRPr="00D06B1C">
        <w:rPr>
          <w:sz w:val="16"/>
          <w:szCs w:val="16"/>
        </w:rPr>
        <w:t>).</w:t>
      </w:r>
    </w:p>
  </w:footnote>
  <w:footnote w:id="4">
    <w:p w14:paraId="53C0CD1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Confédération Générale du Travail, La capitalisation : le rêve de la finance, communication 13 mars 2025 (https://www.cgt.fr/actualites/france/retraites/la-capitalisation-le-reve-de-la-finance) — illustration récente d'une position constante de la CGT contre la capitalisation depuis les années 1990.</w:t>
      </w:r>
    </w:p>
  </w:footnote>
  <w:footnote w:id="5">
    <w:p w14:paraId="2688F8B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97-277 du 25 mars 1997, dite « loi Thomas », créant les plans d’épargne retraite (https://www.legifrance.gouv.fr/jorf/id/JORFTEXT000000198906). La loi a été votée sous le gouvernement Juppé et promulguée. Le gouvernement Jospin, après les législatives de juin 1997, a refusé de publier les décrets d’application, rendant la loi inapplicable. Elle a été formellement abrogée par l’article 11 de la loi n° 2002-73 du 17 janvier 2002 de modernisation sociale. Pour un historique détaillé : Charles Descours, Rapport sur la proposition de loi épargne retraite (fonds de pension), Sénat, commission des affaires sociales, rapport n° 8 (1999-2000), 7 octobre 1999 (https://www.senat.fr/rap/l99-008/l99-0085.html).</w:t>
      </w:r>
    </w:p>
  </w:footnote>
  <w:footnote w:id="6">
    <w:p w14:paraId="6FBB87D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Sénat, question écrite n° 03449 (24 novembre 2022), Achat de la société industrielle française Exxelia par l'entreprise américaine Heico (https://www.senat.fr/questions/base/2022/qSEQ221003449.html) ; voir également le communiqué Heico, HEICO to Acquire Exxelia (https://passive-components.eu/heico-to-acquire-exxelia/). Acquisition de ~94 % du capital pour 453 M€ cash + reprise d'environ 14 M€ de passif, annoncée le 28 juillet 2022 et finalisée début 2023. Exxelia est un fabricant français de composants électroniques spécialisés (condensateurs, relais militaires) fournissant la défense (sous-marins Barracuda, Rafale, lanceurs Ariane 5 et 6, A320neo, Falcon).</w:t>
      </w:r>
    </w:p>
  </w:footnote>
  <w:footnote w:id="7">
    <w:p w14:paraId="0857DFE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ICI Limousin (France Bleu / Radio France), Brive : Photonis est finalement racheté par un fonds d'investissement français, 16 février 2021 (https://www.ici.fr/infos/economie-social/brive-photonis-est-finalement-rachete-par-un-fonds-d-investissement-francais-1613472045). Photonis est le fabricant français des systèmes de vision nocturne pour les forces spéciales (site principal à Brive, environ 500 salariés). Le rachat patrimonial par le fonds français HLD pour 370 M€ — accompagné d'une entrée de Bpifrance au capital — a été orchestré par Bercy après le veto à la cession à l'américain Teledyne (offre ~550 M$).</w:t>
      </w:r>
    </w:p>
  </w:footnote>
  <w:footnote w:id="8">
    <w:p w14:paraId="2E35B12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Usine Nouvelle, La production du moteur d'Ariane 6 transférée de la France à l'Allemagne, 2021 (https://www.usinenouvelle.com/article/la-production-du-moteur-d-ariane-6-transferee-de-la-france-a-l-allemagne.N1143627). Le transfert concerne l'intégration et les essais de réception du moteur Vinci (étage supérieur), du site ArianeGroup de Vernon vers le centre DLR de Lampoldshausen. Premières évocations dans la presse en 2021 ; confirmation officielle par communiqué conjoint ArianeGroup-DLR le 24 octobre 2025 (jusqu’à 12 moteurs Vinci par an assemblés et testés à Lampoldshausen, livrés à Brême pour intégration sur Ariane 6). Le développement et les turbopompes à oxygène liquide (Vinci et Vulcain 2.1) restent à Vernon.</w:t>
      </w:r>
    </w:p>
  </w:footnote>
  <w:footnote w:id="9">
    <w:p w14:paraId="5CDA184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juin 2025, scénario central, projection 2070 : 1,40 cotisant pour un retraité.</w:t>
      </w:r>
    </w:p>
  </w:footnote>
  <w:footnote w:id="10">
    <w:p w14:paraId="35E175D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INSEE Première n° 2087, janvier 2026. URL : https://www.insee.fr/fr/statistiques/8719824. Naissances 2025 : 645 000 (−2,1 % vs 2024). Décès : 651 000 (+1,5 %, en partie liés à une épidémie hivernale de grippe particulièrement virulente début 2025). Solde naturel : −6 000, négatif « pour la première fois depuis la fin de la Seconde Guerre mondiale » (formulation INSEE). En 2024, ce solde s’était établi à +17 000, déjà au plus bas depuis 1945.</w:t>
      </w:r>
    </w:p>
  </w:footnote>
  <w:footnote w:id="11">
    <w:p w14:paraId="2571A49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OpinionWay pour Finary, </w:t>
      </w:r>
      <w:r w:rsidRPr="00D06B1C">
        <w:rPr>
          <w:i/>
          <w:iCs/>
          <w:sz w:val="16"/>
          <w:szCs w:val="16"/>
        </w:rPr>
        <w:t>Les Français, la viabilité du système de retraites et l’investissement</w:t>
      </w:r>
      <w:r w:rsidRPr="00D06B1C">
        <w:rPr>
          <w:sz w:val="16"/>
          <w:szCs w:val="16"/>
        </w:rPr>
        <w:t>, janvier 2026 (</w:t>
      </w:r>
      <w:hyperlink r:id="rId4">
        <w:r w:rsidRPr="00D06B1C">
          <w:rPr>
            <w:rStyle w:val="Hyperlink"/>
            <w:sz w:val="16"/>
            <w:szCs w:val="16"/>
          </w:rPr>
          <w:t>https://www.opinion-way.com/fr/publications/les-francais-la-viabilite-du-systeme-de-retraites-et-linvestissement-2026-22219/</w:t>
        </w:r>
      </w:hyperlink>
      <w:r w:rsidRPr="00D06B1C">
        <w:rPr>
          <w:sz w:val="16"/>
          <w:szCs w:val="16"/>
        </w:rPr>
        <w:t>). Échantillon de 2 500 personnes représentatif de la population française de 18 ans et plus, interrogé du 7 au 12 janvier 2026. 76 % se disent d’accord avec « j’ai le sentiment de cotiser pour un système de retraite dont je ne bénéficierai pas » ; 87 % se déclarent inquiets pour l’avenir des retraites en France (80 % pour leur propre future retraite).</w:t>
      </w:r>
    </w:p>
  </w:footnote>
  <w:footnote w:id="12">
    <w:p w14:paraId="13C45AF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François Bayrou, alors Premier ministre, au journal de 20 heures de TF1 (entretien avec Gilles Bouleau), 27 août 2025 ; verbatim rapporté par </w:t>
      </w:r>
      <w:r w:rsidRPr="00D06B1C">
        <w:rPr>
          <w:i/>
          <w:iCs/>
          <w:sz w:val="16"/>
          <w:szCs w:val="16"/>
        </w:rPr>
        <w:t>Boursorama</w:t>
      </w:r>
      <w:r w:rsidRPr="00D06B1C">
        <w:rPr>
          <w:sz w:val="16"/>
          <w:szCs w:val="16"/>
        </w:rPr>
        <w:t xml:space="preserve">, 28 août 2025. Sur le phénomène « Nicolas qui paie » lui-même - expression virale en 2025, par ailleurs récupérée par une partie de la droite identitaire (dépôt de la marque par l’éditeur du média </w:t>
      </w:r>
      <w:r w:rsidRPr="00D06B1C">
        <w:rPr>
          <w:i/>
          <w:iCs/>
          <w:sz w:val="16"/>
          <w:szCs w:val="16"/>
        </w:rPr>
        <w:t>Frontières</w:t>
      </w:r>
      <w:r w:rsidRPr="00D06B1C">
        <w:rPr>
          <w:sz w:val="16"/>
          <w:szCs w:val="16"/>
        </w:rPr>
        <w:t>, 20 juin 2025) -, voir France Info, « “C’est Nicolas qui paie” : trois questions sur cette expression devenue virale et politique », 2025.</w:t>
      </w:r>
    </w:p>
  </w:footnote>
  <w:footnote w:id="13">
    <w:p w14:paraId="6EE2D0A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Jean-Pascal Beaufret, </w:t>
      </w:r>
      <w:r w:rsidRPr="00D06B1C">
        <w:rPr>
          <w:i/>
          <w:iCs/>
          <w:sz w:val="16"/>
          <w:szCs w:val="16"/>
        </w:rPr>
        <w:t>Contribution à la mission flash de clarification du financement des retraites</w:t>
      </w:r>
      <w:r w:rsidRPr="00D06B1C">
        <w:rPr>
          <w:sz w:val="16"/>
          <w:szCs w:val="16"/>
        </w:rPr>
        <w:t>, Fondation pour l’innovation politique, février 2025 (https://www.fondapol.org/etude/contribution-a-la-mission-flash-de-clarification-du-financement-des-retraites/). Méthode : agrégation des dépenses tous régimes confondus (412 Md€ en 2024), comparaison avec les prélèvements obligatoires dédiés (331 Md€), différence imputée à la subvention implicite de l’État (≈ 81 Md€). Pour 2023 : 389 Md€ de dépenses, 311 Md€ de prélèvements dédiés.</w:t>
      </w:r>
    </w:p>
  </w:footnote>
  <w:footnote w:id="14">
    <w:p w14:paraId="0E6C955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Pension Markets in Focus 2025 — Preliminary 2024 Data, juin 2025 (https://www.oecd.org/en/publications/pension-markets-in-focus-2025_b095d0a0-en.html). Encours des fonds de pension et contrats d'assurance retraite, en pourcentage du PIB, fin 2024 : Danemark 204,0 %, Islande 188,4 %, Suisse 164,8 %, Canada 157,6 %, Pays-Bas 150,3 %, États-Unis 146,9 %, Australie 135,1 %, Suède 114,8 %, Royaume-Uni 78,0 %, France 12,9 %, Italie 11,7 %, Allemagne 6,4 %. </w:t>
      </w:r>
      <w:r w:rsidRPr="00D06B1C">
        <w:rPr>
          <w:sz w:val="16"/>
          <w:szCs w:val="16"/>
          <w:lang w:val="en-GB"/>
        </w:rPr>
        <w:t xml:space="preserve">L'OCDE </w:t>
      </w:r>
      <w:proofErr w:type="gramStart"/>
      <w:r w:rsidRPr="00D06B1C">
        <w:rPr>
          <w:sz w:val="16"/>
          <w:szCs w:val="16"/>
          <w:lang w:val="en-GB"/>
        </w:rPr>
        <w:t>précise :</w:t>
      </w:r>
      <w:proofErr w:type="gramEnd"/>
      <w:r w:rsidRPr="00D06B1C">
        <w:rPr>
          <w:sz w:val="16"/>
          <w:szCs w:val="16"/>
          <w:lang w:val="en-GB"/>
        </w:rPr>
        <w:t xml:space="preserve"> « data coverall asset-backed pension arrangements in all vehicles, excluding reserves of public pension arrangements(pay-as-you-go) ». </w:t>
      </w:r>
      <w:r w:rsidRPr="00D06B1C">
        <w:rPr>
          <w:sz w:val="16"/>
          <w:szCs w:val="16"/>
        </w:rPr>
        <w:t>Pour la Norvège, le ratio dépasse 280 % du PIB une fois inclus le Government Pension Fund Global (1 700 Md$ fin 2024), techniquement fonds souverain mais explicitement dédié au financement futur des pensions ; voir Norges Bank Investment Management, Government Pension Fund Global — Annual Report 2024, 2025 (https://www.nbim.no). Précision pour la France : le chiffre OCDE additionne tous les véhicules d'épargne retraite individuelle (Plans d'épargne retraite, anciens contrats Madelin, Article 83,</w:t>
      </w:r>
    </w:p>
    <w:p w14:paraId="76A98391" w14:textId="77777777" w:rsidR="00BF0342" w:rsidRPr="00D06B1C" w:rsidRDefault="00000000">
      <w:pPr>
        <w:pStyle w:val="FootnoteText"/>
        <w:rPr>
          <w:sz w:val="16"/>
          <w:szCs w:val="16"/>
        </w:rPr>
      </w:pPr>
      <w:r w:rsidRPr="00D06B1C">
        <w:rPr>
          <w:sz w:val="16"/>
          <w:szCs w:val="16"/>
        </w:rPr>
        <w:t>▎ PERP, PERCO), soit environ 380 milliards d'euros fin 2024. Il exclut les réserves techniques des régimes</w:t>
      </w:r>
    </w:p>
    <w:p w14:paraId="60293986" w14:textId="77777777" w:rsidR="00BF0342" w:rsidRPr="00D06B1C" w:rsidRDefault="00000000">
      <w:pPr>
        <w:pStyle w:val="FootnoteText"/>
        <w:rPr>
          <w:sz w:val="16"/>
          <w:szCs w:val="16"/>
        </w:rPr>
      </w:pPr>
      <w:r w:rsidRPr="00D06B1C">
        <w:rPr>
          <w:sz w:val="16"/>
          <w:szCs w:val="16"/>
        </w:rPr>
        <w:t>▎ par répartition AGIRC-ARRCO (86 Md€) et du Fonds de réserve des retraites (21 Md€), qui ne constituent pas</w:t>
      </w:r>
    </w:p>
    <w:p w14:paraId="2890C071" w14:textId="77777777" w:rsidR="00BF0342" w:rsidRPr="00D06B1C" w:rsidRDefault="00000000">
      <w:pPr>
        <w:pStyle w:val="FootnoteText"/>
        <w:rPr>
          <w:sz w:val="16"/>
          <w:szCs w:val="16"/>
        </w:rPr>
      </w:pPr>
      <w:r w:rsidRPr="00D06B1C">
        <w:rPr>
          <w:sz w:val="16"/>
          <w:szCs w:val="16"/>
        </w:rPr>
        <w:t>▎ du capital investi mais des matelas de trésorerie d'un système qui demeure de pure répartition. La</w:t>
      </w:r>
    </w:p>
    <w:p w14:paraId="54338511" w14:textId="77777777" w:rsidR="00BF0342" w:rsidRPr="00D06B1C" w:rsidRDefault="00000000">
      <w:pPr>
        <w:pStyle w:val="FootnoteText"/>
        <w:rPr>
          <w:sz w:val="16"/>
          <w:szCs w:val="16"/>
        </w:rPr>
      </w:pPr>
      <w:r w:rsidRPr="00D06B1C">
        <w:rPr>
          <w:sz w:val="16"/>
          <w:szCs w:val="16"/>
        </w:rPr>
        <w:t>▎ comparaison avec les Pays-Bas, la Suisse ou l'Australie est donc faite à périmètre méthodologique</w:t>
      </w:r>
    </w:p>
    <w:p w14:paraId="5784CB18" w14:textId="77777777" w:rsidR="00BF0342" w:rsidRPr="00D06B1C" w:rsidRDefault="00000000">
      <w:pPr>
        <w:pStyle w:val="FootnoteText"/>
        <w:rPr>
          <w:sz w:val="16"/>
          <w:szCs w:val="16"/>
        </w:rPr>
      </w:pPr>
      <w:r w:rsidRPr="00D06B1C">
        <w:rPr>
          <w:sz w:val="16"/>
          <w:szCs w:val="16"/>
        </w:rPr>
        <w:t>▎ constant.</w:t>
      </w:r>
    </w:p>
  </w:footnote>
  <w:footnote w:id="15">
    <w:p w14:paraId="1C70437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Odoxa-Groupama, </w:t>
      </w:r>
      <w:r w:rsidRPr="00D06B1C">
        <w:rPr>
          <w:i/>
          <w:iCs/>
          <w:sz w:val="16"/>
          <w:szCs w:val="16"/>
        </w:rPr>
        <w:t xml:space="preserve">Baromètre Sondage retraite : la réforme des retraites, que veulent et ne veulent plus les </w:t>
      </w:r>
      <w:proofErr w:type="gramStart"/>
      <w:r w:rsidRPr="00D06B1C">
        <w:rPr>
          <w:i/>
          <w:iCs/>
          <w:sz w:val="16"/>
          <w:szCs w:val="16"/>
        </w:rPr>
        <w:t>Français ?</w:t>
      </w:r>
      <w:r w:rsidRPr="00D06B1C">
        <w:rPr>
          <w:sz w:val="16"/>
          <w:szCs w:val="16"/>
        </w:rPr>
        <w:t>,</w:t>
      </w:r>
      <w:proofErr w:type="gramEnd"/>
      <w:r w:rsidRPr="00D06B1C">
        <w:rPr>
          <w:sz w:val="16"/>
          <w:szCs w:val="16"/>
        </w:rPr>
        <w:t xml:space="preserve"> novembre 2025 (</w:t>
      </w:r>
      <w:hyperlink r:id="rId5">
        <w:r w:rsidRPr="00D06B1C">
          <w:rPr>
            <w:rStyle w:val="Hyperlink"/>
            <w:sz w:val="16"/>
            <w:szCs w:val="16"/>
          </w:rPr>
          <w:t>https://presse.groupama.com/actualites/sondage-retraite-odoxa-pour-groupama-reforme-des-retraites-que-veulent-et-ne-veulent-plus-les-francais-3a371-55f34.html</w:t>
        </w:r>
      </w:hyperlink>
      <w:r w:rsidRPr="00D06B1C">
        <w:rPr>
          <w:sz w:val="16"/>
          <w:szCs w:val="16"/>
        </w:rPr>
        <w:t>). Enquête réalisée auprès de plus de 5 000 répondants. Système mixte : 57 %. Capitalisation seule : 22 %. Répartition seule : 20 %.</w:t>
      </w:r>
    </w:p>
  </w:footnote>
  <w:footnote w:id="16">
    <w:p w14:paraId="19D90DB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Elabe pour BFMTV, </w:t>
      </w:r>
      <w:r w:rsidRPr="00D06B1C">
        <w:rPr>
          <w:i/>
          <w:iCs/>
          <w:sz w:val="16"/>
          <w:szCs w:val="16"/>
        </w:rPr>
        <w:t>Les Français et le système de retraites</w:t>
      </w:r>
      <w:r w:rsidRPr="00D06B1C">
        <w:rPr>
          <w:sz w:val="16"/>
          <w:szCs w:val="16"/>
        </w:rPr>
        <w:t>, février 2025 (</w:t>
      </w:r>
      <w:hyperlink r:id="rId6">
        <w:r w:rsidRPr="00D06B1C">
          <w:rPr>
            <w:rStyle w:val="Hyperlink"/>
            <w:sz w:val="16"/>
            <w:szCs w:val="16"/>
          </w:rPr>
          <w:t>https://elabe.fr/systeme-retraite-2025/</w:t>
        </w:r>
      </w:hyperlink>
      <w:r w:rsidRPr="00D06B1C">
        <w:rPr>
          <w:sz w:val="16"/>
          <w:szCs w:val="16"/>
        </w:rPr>
        <w:t>). 59 % de Français favorables à un modèle où la répartition reste majoritaire mais où une dose de capitalisation s’ajoute ; 40 % attachés à la répartition exclusive ; 47 % des électeurs déclarés du Nouveau Front populaire approuvent l’ajout d’une dose de capitalisation. Enquête réalisée auprès de 1 001 personnes représentatives, le 20 février 2025.</w:t>
      </w:r>
    </w:p>
  </w:footnote>
  <w:footnote w:id="17">
    <w:p w14:paraId="36EFE50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Ipsos pour le Cercle des épargnants, </w:t>
      </w:r>
      <w:r w:rsidRPr="00D06B1C">
        <w:rPr>
          <w:i/>
          <w:iCs/>
          <w:sz w:val="16"/>
          <w:szCs w:val="16"/>
        </w:rPr>
        <w:t>Baromètre Les Français, l’épargne et la retraite</w:t>
      </w:r>
      <w:r w:rsidRPr="00D06B1C">
        <w:rPr>
          <w:sz w:val="16"/>
          <w:szCs w:val="16"/>
        </w:rPr>
        <w:t>, janvier 2025 (</w:t>
      </w:r>
      <w:hyperlink r:id="rId7">
        <w:r w:rsidRPr="00D06B1C">
          <w:rPr>
            <w:rStyle w:val="Hyperlink"/>
            <w:sz w:val="16"/>
            <w:szCs w:val="16"/>
          </w:rPr>
          <w:t>https://www.ipsos.com/fr-fr/barometre-les-francais-lepargne-et-la-retraite-lintention-depargner-atteint-un-niveau-record-en-2025</w:t>
        </w:r>
      </w:hyperlink>
      <w:r w:rsidRPr="00D06B1C">
        <w:rPr>
          <w:sz w:val="16"/>
          <w:szCs w:val="16"/>
        </w:rPr>
        <w:t>). Enquête sur 1 000 personnes représentatives (collecte 3-7 janvier 2025). 55 % favorables aux fonds de pension (vs 46 % en 2017). 78 % inquiets pour l’avenir du système de retraite.</w:t>
      </w:r>
    </w:p>
  </w:footnote>
  <w:footnote w:id="18">
    <w:p w14:paraId="2C31CBD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OpinionWay pour Finary, </w:t>
      </w:r>
      <w:r w:rsidRPr="00D06B1C">
        <w:rPr>
          <w:i/>
          <w:iCs/>
          <w:sz w:val="16"/>
          <w:szCs w:val="16"/>
        </w:rPr>
        <w:t>Les Français, la viabilité du système de retraites et l’investissement</w:t>
      </w:r>
      <w:r w:rsidRPr="00D06B1C">
        <w:rPr>
          <w:sz w:val="16"/>
          <w:szCs w:val="16"/>
        </w:rPr>
        <w:t>, janvier 2026 (</w:t>
      </w:r>
      <w:hyperlink r:id="rId8">
        <w:r w:rsidRPr="00D06B1C">
          <w:rPr>
            <w:rStyle w:val="Hyperlink"/>
            <w:sz w:val="16"/>
            <w:szCs w:val="16"/>
          </w:rPr>
          <w:t>https://www.opinion-way.com/fr/publications/les-francais-la-viabilite-du-systeme-de-retraites-et-linvestissement-2026-22219/</w:t>
        </w:r>
      </w:hyperlink>
      <w:r w:rsidRPr="00D06B1C">
        <w:rPr>
          <w:sz w:val="16"/>
          <w:szCs w:val="16"/>
        </w:rPr>
        <w:t>). Échantillon de 2 500 personnes représentatif de la population française de 18 ans et plus, interrogé du 7 au 12 janvier 2026. 76 % se disent d’accord avec « j’ai le sentiment de cotiser pour un système de retraite dont je ne bénéficierai pas » ; 87 % se déclarent inquiets pour l’avenir des retraites en France (80 % pour leur propre future retraite).</w:t>
      </w:r>
    </w:p>
  </w:footnote>
  <w:footnote w:id="19">
    <w:p w14:paraId="0D665EA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AMF, </w:t>
      </w:r>
      <w:r w:rsidRPr="00D06B1C">
        <w:rPr>
          <w:i/>
          <w:iCs/>
          <w:sz w:val="16"/>
          <w:szCs w:val="16"/>
        </w:rPr>
        <w:t>Baromètre 2024 de l’épargne et de l’investissement des Français</w:t>
      </w:r>
      <w:r w:rsidRPr="00D06B1C">
        <w:rPr>
          <w:sz w:val="16"/>
          <w:szCs w:val="16"/>
        </w:rPr>
        <w:t>, octobre 2024 (</w:t>
      </w:r>
      <w:hyperlink r:id="rId9">
        <w:r w:rsidRPr="00D06B1C">
          <w:rPr>
            <w:rStyle w:val="Hyperlink"/>
            <w:sz w:val="16"/>
            <w:szCs w:val="16"/>
          </w:rPr>
          <w:t>https://www.amf-france.org/sites/institutionnel/files/private/2025-01/barometre-amf-2024-octobre-2024-version-publiable_0.pdf</w:t>
        </w:r>
      </w:hyperlink>
      <w:r w:rsidRPr="00D06B1C">
        <w:rPr>
          <w:sz w:val="16"/>
          <w:szCs w:val="16"/>
        </w:rPr>
        <w:t>). 58 % des Français inquiets pour leur retraite tous âges confondus ; 66 % chez les non-retraités.</w:t>
      </w:r>
    </w:p>
  </w:footnote>
  <w:footnote w:id="20">
    <w:p w14:paraId="2B49510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communiqué de presse « Pour ses vingt ans, le RAFP s’affirme comme un régime performant », 2024 (</w:t>
      </w:r>
      <w:hyperlink r:id="rId10">
        <w:r w:rsidRPr="00D06B1C">
          <w:rPr>
            <w:rStyle w:val="Hyperlink"/>
            <w:sz w:val="16"/>
            <w:szCs w:val="16"/>
          </w:rPr>
          <w:t>https://www.rafp.fr/en/actualites/presse/pour-ses-vingt-ans-regime-additionnel-fonction-publique-saffirme-comme-regime-performant</w:t>
        </w:r>
      </w:hyperlink>
      <w:r w:rsidRPr="00D06B1C">
        <w:rPr>
          <w:sz w:val="16"/>
          <w:szCs w:val="16"/>
        </w:rPr>
        <w:t>) ; rapport d’activité ERAFP 2024 (</w:t>
      </w:r>
      <w:hyperlink r:id="rId11">
        <w:r w:rsidRPr="00D06B1C">
          <w:rPr>
            <w:rStyle w:val="Hyperlink"/>
            <w:sz w:val="16"/>
            <w:szCs w:val="16"/>
          </w:rPr>
          <w:t>https://rafp-ra2024.fr/</w:t>
        </w:r>
      </w:hyperlink>
      <w:r w:rsidRPr="00D06B1C">
        <w:rPr>
          <w:sz w:val="16"/>
          <w:szCs w:val="16"/>
        </w:rPr>
        <w:t>). Encours total : 47,8 Md€ au 31/12/2024. TRI annualisé depuis l’inception (2005) : 4,3 % en valeur économique.</w:t>
      </w:r>
    </w:p>
  </w:footnote>
  <w:footnote w:id="21">
    <w:p w14:paraId="36B6742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2003-775 du 21 août 2003 portant réforme des retraites, article 76 : « Il est institué un régime public de retraite additionnel obligatoire, par répartition provisionnée et par points » (</w:t>
      </w:r>
      <w:hyperlink r:id="rId12">
        <w:r w:rsidRPr="00D06B1C">
          <w:rPr>
            <w:rStyle w:val="Hyperlink"/>
            <w:sz w:val="16"/>
            <w:szCs w:val="16"/>
          </w:rPr>
          <w:t>https://www.legifrance.gouv.fr/loda/article_lc/LEGIARTI000046874577</w:t>
        </w:r>
      </w:hyperlink>
      <w:r w:rsidRPr="00D06B1C">
        <w:rPr>
          <w:sz w:val="16"/>
          <w:szCs w:val="16"/>
        </w:rPr>
        <w:t>).</w:t>
      </w:r>
    </w:p>
  </w:footnote>
  <w:footnote w:id="22">
    <w:p w14:paraId="1091CFC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Décret n° 2004-569 du 18 juin 2004 relatif à la retraite additionnelle de la fonction publique, complété par l’arrêté du 26 novembre 2004 portant approbation du règlement du régime.</w:t>
      </w:r>
    </w:p>
  </w:footnote>
  <w:footnote w:id="23">
    <w:p w14:paraId="44DC210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w:t>
      </w:r>
      <w:r w:rsidRPr="00D06B1C">
        <w:rPr>
          <w:i/>
          <w:iCs/>
          <w:sz w:val="16"/>
          <w:szCs w:val="16"/>
        </w:rPr>
        <w:t>À propos</w:t>
      </w:r>
      <w:r w:rsidRPr="00D06B1C">
        <w:rPr>
          <w:sz w:val="16"/>
          <w:szCs w:val="16"/>
        </w:rPr>
        <w:t xml:space="preserve">, </w:t>
      </w:r>
      <w:hyperlink r:id="rId13">
        <w:r w:rsidRPr="00D06B1C">
          <w:rPr>
            <w:rStyle w:val="Hyperlink"/>
            <w:sz w:val="16"/>
            <w:szCs w:val="16"/>
          </w:rPr>
          <w:t>https://www.rafp.fr/en/about-us/about-us</w:t>
        </w:r>
      </w:hyperlink>
      <w:r w:rsidRPr="00D06B1C">
        <w:rPr>
          <w:sz w:val="16"/>
          <w:szCs w:val="16"/>
        </w:rPr>
        <w:t xml:space="preserve"> : « contribution rate being split equally between employer and employee », 5 % chacun, sur les primes plafonnées à 20 % du traitement indiciaire brut.</w:t>
      </w:r>
    </w:p>
  </w:footnote>
  <w:footnote w:id="24">
    <w:p w14:paraId="4BEC551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communiqué « Pour ses vingt ans », 2024 ; rapport d’activité 2024.</w:t>
      </w:r>
    </w:p>
  </w:footnote>
  <w:footnote w:id="25">
    <w:p w14:paraId="448A73F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2003-775 du 21 août 2003, article 76, premier alinéa.</w:t>
      </w:r>
    </w:p>
  </w:footnote>
  <w:footnote w:id="26">
    <w:p w14:paraId="0E8F54D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Philippe François, </w:t>
      </w:r>
      <w:r w:rsidRPr="00D06B1C">
        <w:rPr>
          <w:i/>
          <w:iCs/>
          <w:sz w:val="16"/>
          <w:szCs w:val="16"/>
        </w:rPr>
        <w:t>Retraite par capitalisation de la fonction publique (RAFP) : une leçon d’économie</w:t>
      </w:r>
      <w:r w:rsidRPr="00D06B1C">
        <w:rPr>
          <w:sz w:val="16"/>
          <w:szCs w:val="16"/>
        </w:rPr>
        <w:t xml:space="preserve">, IFRAP, 19 février 2015, </w:t>
      </w:r>
      <w:hyperlink r:id="rId14">
        <w:r w:rsidRPr="00D06B1C">
          <w:rPr>
            <w:rStyle w:val="Hyperlink"/>
            <w:sz w:val="16"/>
            <w:szCs w:val="16"/>
          </w:rPr>
          <w:t>https://www.ifrap.org/retraite/retraite-par-capitalisation-de-la-fonction-publique-rafp-une-lecon-deconomie</w:t>
        </w:r>
      </w:hyperlink>
      <w:r w:rsidRPr="00D06B1C">
        <w:rPr>
          <w:sz w:val="16"/>
          <w:szCs w:val="16"/>
        </w:rPr>
        <w:t>.</w:t>
      </w:r>
    </w:p>
  </w:footnote>
  <w:footnote w:id="27">
    <w:p w14:paraId="2BB6D05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Conseil d’orientation des retraites, </w:t>
      </w:r>
      <w:r w:rsidRPr="00D06B1C">
        <w:rPr>
          <w:i/>
          <w:iCs/>
          <w:sz w:val="16"/>
          <w:szCs w:val="16"/>
        </w:rPr>
        <w:t>Fiche RAFP</w:t>
      </w:r>
      <w:r w:rsidRPr="00D06B1C">
        <w:rPr>
          <w:sz w:val="16"/>
          <w:szCs w:val="16"/>
        </w:rPr>
        <w:t>, juillet 2024 : « le RAFP est géré en capitalisation puisque la réglementation prévoit la couverture de la totalité des engagements » (</w:t>
      </w:r>
      <w:hyperlink r:id="rId15">
        <w:r w:rsidRPr="00D06B1C">
          <w:rPr>
            <w:rStyle w:val="Hyperlink"/>
            <w:sz w:val="16"/>
            <w:szCs w:val="16"/>
          </w:rPr>
          <w:t>https://www.cor-retraites.fr/sites/default/files/2024-07/Fiche_RAFP_vf.pdf</w:t>
        </w:r>
      </w:hyperlink>
      <w:r w:rsidRPr="00D06B1C">
        <w:rPr>
          <w:sz w:val="16"/>
          <w:szCs w:val="16"/>
        </w:rPr>
        <w:t>).</w:t>
      </w:r>
    </w:p>
  </w:footnote>
  <w:footnote w:id="28">
    <w:p w14:paraId="1F6271D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Bertrand Martinot, </w:t>
      </w:r>
      <w:r w:rsidRPr="00D06B1C">
        <w:rPr>
          <w:i/>
          <w:iCs/>
          <w:sz w:val="16"/>
          <w:szCs w:val="16"/>
        </w:rPr>
        <w:t>Retraites : optimiser les dépenses, introduire une part de capitalisation</w:t>
      </w:r>
      <w:r w:rsidRPr="00D06B1C">
        <w:rPr>
          <w:sz w:val="16"/>
          <w:szCs w:val="16"/>
        </w:rPr>
        <w:t>, Fondation pour l’innovation politique (Fondapol), mars 2025 (</w:t>
      </w:r>
      <w:hyperlink r:id="rId16">
        <w:r w:rsidRPr="00D06B1C">
          <w:rPr>
            <w:rStyle w:val="Hyperlink"/>
            <w:sz w:val="16"/>
            <w:szCs w:val="16"/>
          </w:rPr>
          <w:t>https://www.fondapol.org/etude/retraites-optimiser-les-depenses-introduire-une-part-de-capitalisation/</w:t>
        </w:r>
      </w:hyperlink>
      <w:r w:rsidRPr="00D06B1C">
        <w:rPr>
          <w:sz w:val="16"/>
          <w:szCs w:val="16"/>
        </w:rPr>
        <w:t>).</w:t>
      </w:r>
    </w:p>
  </w:footnote>
  <w:footnote w:id="29">
    <w:p w14:paraId="1EB62AB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Calcul : 47,8 Md€ d’encours / 4,5 M cotisants ≈ 10 600 € par cotisant. Sources : ERAFP communiqué résultats 2024.</w:t>
      </w:r>
    </w:p>
  </w:footnote>
  <w:footnote w:id="30">
    <w:p w14:paraId="4D91474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Assureurs, </w:t>
      </w:r>
      <w:r w:rsidRPr="00D06B1C">
        <w:rPr>
          <w:i/>
          <w:iCs/>
          <w:sz w:val="16"/>
          <w:szCs w:val="16"/>
        </w:rPr>
        <w:t>Plan d’Épargne Retraite : Bilan 2024</w:t>
      </w:r>
      <w:r w:rsidRPr="00D06B1C">
        <w:rPr>
          <w:sz w:val="16"/>
          <w:szCs w:val="16"/>
        </w:rPr>
        <w:t xml:space="preserve">, mars 2025 ; ministère de l’Économie, communiqué </w:t>
      </w:r>
      <w:r w:rsidRPr="00D06B1C">
        <w:rPr>
          <w:i/>
          <w:iCs/>
          <w:sz w:val="16"/>
          <w:szCs w:val="16"/>
        </w:rPr>
        <w:t>Épargne retraite : déploiement du PER</w:t>
      </w:r>
      <w:r w:rsidRPr="00D06B1C">
        <w:rPr>
          <w:sz w:val="16"/>
          <w:szCs w:val="16"/>
        </w:rPr>
        <w:t>, février 2025 (</w:t>
      </w:r>
      <w:hyperlink r:id="rId17">
        <w:r w:rsidRPr="00D06B1C">
          <w:rPr>
            <w:rStyle w:val="Hyperlink"/>
            <w:sz w:val="16"/>
            <w:szCs w:val="16"/>
          </w:rPr>
          <w:t>https://presse.economie.gouv.fr/epargne-retraite-deploiement-du-per-plus-de-11-millions-de-titulaires-et-pres-de-119-milliards-dencours-au-troisieme-trimestre-2024/</w:t>
        </w:r>
      </w:hyperlink>
      <w:r w:rsidRPr="00D06B1C">
        <w:rPr>
          <w:sz w:val="16"/>
          <w:szCs w:val="16"/>
        </w:rPr>
        <w:t>). Encours PER tous types confondus : 118,9 Md€ ; 11,2 millions de titulaires ; encours moyen ~10 600 € (données au 3ᵉ trimestre 2024) — concentration sur les déciles supérieurs de revenu pour l’avantage fiscal à l’entrée.</w:t>
      </w:r>
    </w:p>
  </w:footnote>
  <w:footnote w:id="31">
    <w:p w14:paraId="596873B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2025</w:t>
      </w:r>
      <w:r w:rsidRPr="00D06B1C">
        <w:rPr>
          <w:sz w:val="16"/>
          <w:szCs w:val="16"/>
        </w:rPr>
        <w:t>, novembre 2025 (</w:t>
      </w:r>
      <w:hyperlink r:id="rId18">
        <w:r w:rsidRPr="00D06B1C">
          <w:rPr>
            <w:rStyle w:val="Hyperlink"/>
            <w:sz w:val="16"/>
            <w:szCs w:val="16"/>
          </w:rPr>
          <w:t>https://www.oecd.org/en/publications/2025/11/pensions-at-a-glance-2025_76510fe4.html</w:t>
        </w:r>
      </w:hyperlink>
      <w:r w:rsidRPr="00D06B1C">
        <w:rPr>
          <w:sz w:val="16"/>
          <w:szCs w:val="16"/>
        </w:rPr>
        <w:t xml:space="preserve">) : la dépense publique de pensions de la France représente de l’ordre de 14 % du PIB (14,2 % en 2022), l’une des plus élevées de l’OCDE, pour une moyenne OCDE d’environ 8 % du PIB. Selon le champ DREES/COR (dépenses de retraite tous régimes), le total s’établit à 13,4 % du PIB en 2023 (DREES, </w:t>
      </w:r>
      <w:r w:rsidRPr="00D06B1C">
        <w:rPr>
          <w:i/>
          <w:iCs/>
          <w:sz w:val="16"/>
          <w:szCs w:val="16"/>
        </w:rPr>
        <w:t>Les retraités et les retraites</w:t>
      </w:r>
      <w:r w:rsidRPr="00D06B1C">
        <w:rPr>
          <w:sz w:val="16"/>
          <w:szCs w:val="16"/>
        </w:rPr>
        <w:t>, édition 2025).</w:t>
      </w:r>
    </w:p>
  </w:footnote>
  <w:footnote w:id="32">
    <w:p w14:paraId="172C162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Aux Pays-Bas, la dépense publique de pensions représente 6,6 % du PIB en 2023, contre 14,1 % en France (OCDE, </w:t>
      </w:r>
      <w:r w:rsidRPr="00D06B1C">
        <w:rPr>
          <w:i/>
          <w:iCs/>
          <w:sz w:val="16"/>
          <w:szCs w:val="16"/>
        </w:rPr>
        <w:t>Pensions at a Glance 2025</w:t>
      </w:r>
      <w:r w:rsidRPr="00D06B1C">
        <w:rPr>
          <w:sz w:val="16"/>
          <w:szCs w:val="16"/>
        </w:rPr>
        <w:t xml:space="preserve">, Table 8.4, </w:t>
      </w:r>
      <w:r w:rsidRPr="00D06B1C">
        <w:rPr>
          <w:i/>
          <w:iCs/>
          <w:sz w:val="16"/>
          <w:szCs w:val="16"/>
        </w:rPr>
        <w:t>Projections of public expenditure on pensions</w:t>
      </w:r>
      <w:r w:rsidRPr="00D06B1C">
        <w:rPr>
          <w:sz w:val="16"/>
          <w:szCs w:val="16"/>
        </w:rPr>
        <w:t xml:space="preserve">) — soit moins de la moitié du niveau français. Le seul premier pilier public AOW pèse de l’ordre de 5 % du PIB ; le reste de la dépense publique néerlandaise correspond aux pensions du secteur public et aux prestations de survie. L’essentiel de la retraite néerlandaise est porté par les fonds de pension occupationnels quasi obligatoires (capitalisation, couverture d’environ 90 % des salariés), ce qui porte l’effort de cotisation </w:t>
      </w:r>
      <w:r w:rsidRPr="00D06B1C">
        <w:rPr>
          <w:i/>
          <w:iCs/>
          <w:sz w:val="16"/>
          <w:szCs w:val="16"/>
        </w:rPr>
        <w:t>total</w:t>
      </w:r>
      <w:r w:rsidRPr="00D06B1C">
        <w:rPr>
          <w:sz w:val="16"/>
          <w:szCs w:val="16"/>
        </w:rPr>
        <w:t xml:space="preserve"> à un niveau comparable à celui de la France — voir note [^13]. Le contraste porte donc sur la dépense </w:t>
      </w:r>
      <w:r w:rsidRPr="00D06B1C">
        <w:rPr>
          <w:i/>
          <w:iCs/>
          <w:sz w:val="16"/>
          <w:szCs w:val="16"/>
        </w:rPr>
        <w:t>publique</w:t>
      </w:r>
      <w:r w:rsidRPr="00D06B1C">
        <w:rPr>
          <w:sz w:val="16"/>
          <w:szCs w:val="16"/>
        </w:rPr>
        <w:t>, non sur l’effort contributif global.</w:t>
      </w:r>
    </w:p>
  </w:footnote>
  <w:footnote w:id="33">
    <w:p w14:paraId="115B053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de France, </w:t>
      </w:r>
      <w:r w:rsidRPr="00D06B1C">
        <w:rPr>
          <w:i/>
          <w:iCs/>
          <w:sz w:val="16"/>
          <w:szCs w:val="16"/>
        </w:rPr>
        <w:t>Épargne et patrimoine financiers des ménages — 4ᵉ trimestre 2024</w:t>
      </w:r>
      <w:r w:rsidRPr="00D06B1C">
        <w:rPr>
          <w:sz w:val="16"/>
          <w:szCs w:val="16"/>
        </w:rPr>
        <w:t>, juin 2025 (</w:t>
      </w:r>
      <w:hyperlink r:id="rId19">
        <w:r w:rsidRPr="00D06B1C">
          <w:rPr>
            <w:rStyle w:val="Hyperlink"/>
            <w:sz w:val="16"/>
            <w:szCs w:val="16"/>
          </w:rPr>
          <w:t>https://www.banque-france.fr/fr/statistiques/epargne-et-patrimoine-financier-des-menages</w:t>
        </w:r>
      </w:hyperlink>
      <w:r w:rsidRPr="00D06B1C">
        <w:rPr>
          <w:sz w:val="16"/>
          <w:szCs w:val="16"/>
        </w:rPr>
        <w:t>). Le stock de patrimoine financier des ménages s’établit à 6 356,4 Md€ à fin 2024 (+ 1,7 % sur un an). À distinguer de l’épargne brute au sens de la comptabilité nationale, qui désigne un flux annuel (~349 Md€ en 2024, soit ~18 % du revenu disponible brut). Le patrimoine financier net (après dettes) est de l’ordre de 5 000 Md€.</w:t>
      </w:r>
    </w:p>
  </w:footnote>
  <w:footnote w:id="34">
    <w:p w14:paraId="6BE35B5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Rendements des principaux produits d’épargne administrée fin 2025 : Livret A 1,7 % (puis 1,5 % au 1ᵉʳ février 2026), fonds en euros de l’assurance-vie ~2,65 % en moyenne (ACPR / France Assureurs), pour une inflation d’environ 0,8 % (INSEE) — soit un rendement réel légèrement positif mais très inférieur au rendement annualisé historique des marchés actions (de l’ordre de 6 à 8 % nominal sur vingt à quarante ans).</w:t>
      </w:r>
    </w:p>
  </w:footnote>
  <w:footnote w:id="35">
    <w:p w14:paraId="0C34862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Conseil d’orientation des retraites, </w:t>
      </w:r>
      <w:r w:rsidRPr="00D06B1C">
        <w:rPr>
          <w:i/>
          <w:iCs/>
          <w:sz w:val="16"/>
          <w:szCs w:val="16"/>
        </w:rPr>
        <w:t>Rapport annuel — Évolutions et perspectives des retraites en France</w:t>
      </w:r>
      <w:r w:rsidRPr="00D06B1C">
        <w:rPr>
          <w:sz w:val="16"/>
          <w:szCs w:val="16"/>
        </w:rPr>
        <w:t>, juin 2025 (</w:t>
      </w:r>
      <w:hyperlink r:id="rId20">
        <w:r w:rsidRPr="00D06B1C">
          <w:rPr>
            <w:rStyle w:val="Hyperlink"/>
            <w:sz w:val="16"/>
            <w:szCs w:val="16"/>
          </w:rPr>
          <w:t>https://www.cor-retraites.fr/rapports-du-cor/rapport-annuel-cor-juin-2025-evolutions-perspectives-retraites-france</w:t>
        </w:r>
      </w:hyperlink>
      <w:r w:rsidRPr="00D06B1C">
        <w:rPr>
          <w:sz w:val="16"/>
          <w:szCs w:val="16"/>
        </w:rPr>
        <w:t>). Le système de retraite reste en besoin de financement dans tous les scénarios de projection jusqu’à l’horizon 2070 : le solde se dégrade d’environ −0,2 % du PIB en 2030 (−6,6 Md€) à de l’ordre de −1,4 % du PIB en 2070 (scénario de référence ; entre −0,7 % et −2,2 % selon les hypothèses de productivité), la part des dépenses de retraite restant à peu près stable (≈ 14 % du PIB) tandis que les ressources reculent.</w:t>
      </w:r>
    </w:p>
  </w:footnote>
  <w:footnote w:id="36">
    <w:p w14:paraId="560A722F"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Conseil d’orientation des retraites, </w:t>
      </w:r>
      <w:r w:rsidRPr="00D06B1C">
        <w:rPr>
          <w:i/>
          <w:iCs/>
          <w:sz w:val="16"/>
          <w:szCs w:val="16"/>
        </w:rPr>
        <w:t>Évolutions et perspectives des retraites en France</w:t>
      </w:r>
      <w:r w:rsidRPr="00D06B1C">
        <w:rPr>
          <w:sz w:val="16"/>
          <w:szCs w:val="16"/>
        </w:rPr>
        <w:t xml:space="preserve">, rapport annuel, juin 2025. </w:t>
      </w:r>
      <w:proofErr w:type="gramStart"/>
      <w:r w:rsidRPr="00D06B1C">
        <w:rPr>
          <w:sz w:val="16"/>
          <w:szCs w:val="16"/>
          <w:lang w:val="en-GB"/>
        </w:rPr>
        <w:t>URL :</w:t>
      </w:r>
      <w:proofErr w:type="gramEnd"/>
      <w:r w:rsidRPr="00D06B1C">
        <w:rPr>
          <w:sz w:val="16"/>
          <w:szCs w:val="16"/>
          <w:lang w:val="en-GB"/>
        </w:rPr>
        <w:t xml:space="preserve"> https://www.cor-retraites.fr/rapports-du-cor/rapport-annuel-cor-juin-2025-evolutions-perspectives-retraites-france</w:t>
      </w:r>
    </w:p>
  </w:footnote>
  <w:footnote w:id="37">
    <w:p w14:paraId="69CB58E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Cour des comptes, </w:t>
      </w:r>
      <w:r w:rsidRPr="00D06B1C">
        <w:rPr>
          <w:i/>
          <w:iCs/>
          <w:sz w:val="16"/>
          <w:szCs w:val="16"/>
        </w:rPr>
        <w:t>La situation financière et les perspectives du système de retraites</w:t>
      </w:r>
      <w:r w:rsidRPr="00D06B1C">
        <w:rPr>
          <w:sz w:val="16"/>
          <w:szCs w:val="16"/>
        </w:rPr>
        <w:t>, communication remise au Premier ministre, 20 février 2025 (</w:t>
      </w:r>
      <w:hyperlink r:id="rId21">
        <w:r w:rsidRPr="00D06B1C">
          <w:rPr>
            <w:rStyle w:val="Hyperlink"/>
            <w:sz w:val="16"/>
            <w:szCs w:val="16"/>
          </w:rPr>
          <w:t>https://www.ccomptes.fr</w:t>
        </w:r>
      </w:hyperlink>
      <w:r w:rsidRPr="00D06B1C">
        <w:rPr>
          <w:sz w:val="16"/>
          <w:szCs w:val="16"/>
        </w:rPr>
        <w:t>). Déficit du système de retraite projeté à environ 6,6 Md€ en 2025, de l’ordre de 15 Md€ en 2035 et environ 30 Md€ par an en 2045.</w:t>
      </w:r>
    </w:p>
  </w:footnote>
  <w:footnote w:id="38">
    <w:p w14:paraId="391D877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Fonds monétaire international, </w:t>
      </w:r>
      <w:r w:rsidRPr="00D06B1C">
        <w:rPr>
          <w:i/>
          <w:iCs/>
          <w:sz w:val="16"/>
          <w:szCs w:val="16"/>
          <w:lang w:val="en-GB"/>
        </w:rPr>
        <w:t>France: Staff Concluding Statement of the 2025 Article IV Mission</w:t>
      </w:r>
      <w:r w:rsidRPr="00D06B1C">
        <w:rPr>
          <w:sz w:val="16"/>
          <w:szCs w:val="16"/>
          <w:lang w:val="en-GB"/>
        </w:rPr>
        <w:t xml:space="preserve">, 22 mai 2025 (https://www.imf.org/fr/news/articles/2025/05/22/cs-france-2025). </w:t>
      </w:r>
      <w:r w:rsidRPr="00D06B1C">
        <w:rPr>
          <w:sz w:val="16"/>
          <w:szCs w:val="16"/>
        </w:rPr>
        <w:t>La mission, conduite par Manuela Goretti, range les retraites parmi les chantiers prioritaires de consolidation budgétaire.</w:t>
      </w:r>
    </w:p>
  </w:footnote>
  <w:footnote w:id="39">
    <w:p w14:paraId="3CE3480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INSEE Première n° 2087, janvier 2026. URL : https://www.insee.fr/fr/statistiques/8719824. Naissances 2025 : 645 000 (−2,1 % vs 2024). Décès : 651 000 (+1,5 %, en partie liés à une épidémie hivernale de grippe particulièrement virulente début 2025). Solde naturel : −6 000, négatif « pour la première fois depuis la fin de la Seconde Guerre mondiale » (formulation INSEE). En 2024, ce solde s’était établi à +17 000, déjà au plus bas depuis 1945.</w:t>
      </w:r>
    </w:p>
  </w:footnote>
  <w:footnote w:id="40">
    <w:p w14:paraId="7650412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xml:space="preserve">, op. </w:t>
      </w:r>
      <w:proofErr w:type="gramStart"/>
      <w:r w:rsidRPr="00D06B1C">
        <w:rPr>
          <w:sz w:val="16"/>
          <w:szCs w:val="16"/>
        </w:rPr>
        <w:t>cit</w:t>
      </w:r>
      <w:proofErr w:type="gramEnd"/>
      <w:r w:rsidRPr="00D06B1C">
        <w:rPr>
          <w:sz w:val="16"/>
          <w:szCs w:val="16"/>
        </w:rPr>
        <w:t>. Solde migratoire 2025 (provisoire) : +176 000 personnes ; population au 1er janvier 2026 estimée à 69,1 millions (vs 68,6 millions au 1er janvier 2025).</w:t>
      </w:r>
    </w:p>
  </w:footnote>
  <w:footnote w:id="41">
    <w:p w14:paraId="7FDFC5C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xml:space="preserve">, op. </w:t>
      </w:r>
      <w:proofErr w:type="gramStart"/>
      <w:r w:rsidRPr="00D06B1C">
        <w:rPr>
          <w:sz w:val="16"/>
          <w:szCs w:val="16"/>
        </w:rPr>
        <w:t>cit</w:t>
      </w:r>
      <w:proofErr w:type="gramEnd"/>
      <w:r w:rsidRPr="00D06B1C">
        <w:rPr>
          <w:sz w:val="16"/>
          <w:szCs w:val="16"/>
        </w:rPr>
        <w:t>. Indice conjoncturel de fécondité (ICF) 2025 : 1,56 enfant par femme. Évolution récente : 2,00 en 2014, 1,80 en 2018, 1,84 en 2020, 1,65 en 2023, 1,61 en 2024, 1,56 en 2025. Âge moyen à la maternité : 31,2 ans en 2025 (vs 29,6 ans en 2005).</w:t>
      </w:r>
    </w:p>
  </w:footnote>
  <w:footnote w:id="42">
    <w:p w14:paraId="46B49E3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Eurostat, </w:t>
      </w:r>
      <w:r w:rsidRPr="00D06B1C">
        <w:rPr>
          <w:i/>
          <w:iCs/>
          <w:sz w:val="16"/>
          <w:szCs w:val="16"/>
          <w:lang w:val="en-GB"/>
        </w:rPr>
        <w:t>Total fertility rate by NUTS 2 region</w:t>
      </w:r>
      <w:r w:rsidRPr="00D06B1C">
        <w:rPr>
          <w:sz w:val="16"/>
          <w:szCs w:val="16"/>
          <w:lang w:val="en-GB"/>
        </w:rPr>
        <w:t xml:space="preserve">, données 2024. </w:t>
      </w:r>
      <w:proofErr w:type="gramStart"/>
      <w:r w:rsidRPr="00D06B1C">
        <w:rPr>
          <w:sz w:val="16"/>
          <w:szCs w:val="16"/>
          <w:lang w:val="en-GB"/>
        </w:rPr>
        <w:t>URL :</w:t>
      </w:r>
      <w:proofErr w:type="gramEnd"/>
      <w:r w:rsidRPr="00D06B1C">
        <w:rPr>
          <w:sz w:val="16"/>
          <w:szCs w:val="16"/>
          <w:lang w:val="en-GB"/>
        </w:rPr>
        <w:t xml:space="preserve"> https://ec.europa.eu/eurostat/databrowser/view/demo_r_find2/. </w:t>
      </w:r>
      <w:r w:rsidRPr="00D06B1C">
        <w:rPr>
          <w:sz w:val="16"/>
          <w:szCs w:val="16"/>
        </w:rPr>
        <w:t>ICF 2024 dans l’UE : France 1,61 ; Allemagne 1,36 ; Italie 1,18 ; Espagne 1,10 ; Pays-Bas 1,43 ; Suède 1,45 ; moyenne UE27 1,34.</w:t>
      </w:r>
    </w:p>
  </w:footnote>
  <w:footnote w:id="43">
    <w:p w14:paraId="1A25B1B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xml:space="preserve">, op. </w:t>
      </w:r>
      <w:proofErr w:type="gramStart"/>
      <w:r w:rsidRPr="00D06B1C">
        <w:rPr>
          <w:sz w:val="16"/>
          <w:szCs w:val="16"/>
        </w:rPr>
        <w:t>cit</w:t>
      </w:r>
      <w:proofErr w:type="gramEnd"/>
      <w:r w:rsidRPr="00D06B1C">
        <w:rPr>
          <w:sz w:val="16"/>
          <w:szCs w:val="16"/>
        </w:rPr>
        <w:t>. Espérance de vie à la naissance en 2025 : 85,9 ans (femmes), 80,3 ans (hommes). En 1950 : 69,2 ans (femmes), 63,4 ans (hommes). Gain cumulé : 16,7 ans (femmes), 16,9 ans (hommes).</w:t>
      </w:r>
    </w:p>
  </w:footnote>
  <w:footnote w:id="44">
    <w:p w14:paraId="331F933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les hypothèses démographiques sous-jacentes à l’architecture de 1945, voir Bruno Valat, Les retraites et la création de la Sécurité sociale en 1945 : révolution ou </w:t>
      </w:r>
      <w:proofErr w:type="gramStart"/>
      <w:r w:rsidRPr="00D06B1C">
        <w:rPr>
          <w:sz w:val="16"/>
          <w:szCs w:val="16"/>
        </w:rPr>
        <w:t>restauration ?,</w:t>
      </w:r>
      <w:proofErr w:type="gramEnd"/>
      <w:r w:rsidRPr="00D06B1C">
        <w:rPr>
          <w:sz w:val="16"/>
          <w:szCs w:val="16"/>
        </w:rPr>
        <w:t xml:space="preserve"> Revue d’histoire de la protection sociale, 2020/1 n° 13, p. 36-53 (repris par le COR comme document de séance en 2022) (https://www.cor-retraites.fr/sites/default/files/2022-12/Doc_10_Valat.pdf). À la Libération, l’espérance de vie résiduelle à 65 ans était de l’ordre d’une dizaine d’années pour les hommes et d’une quinzaine pour les femmes ; pour la génération atteignant 65 ans en 1965, elle est de 13 ans (hommes) et 18 ans (femmes), contre 20,0 et 23,6 ans en 2025 (INSEE, </w:t>
      </w:r>
      <w:r w:rsidRPr="00D06B1C">
        <w:rPr>
          <w:i/>
          <w:iCs/>
          <w:sz w:val="16"/>
          <w:szCs w:val="16"/>
        </w:rPr>
        <w:t>Espérance de vie à divers âges</w:t>
      </w:r>
      <w:r w:rsidRPr="00D06B1C">
        <w:rPr>
          <w:sz w:val="16"/>
          <w:szCs w:val="16"/>
        </w:rPr>
        <w:t>, https://www.insee.fr/fr/statistiques/2416631).</w:t>
      </w:r>
    </w:p>
  </w:footnote>
  <w:footnote w:id="45">
    <w:p w14:paraId="5D60A29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Tableau INSEE, </w:t>
      </w:r>
      <w:r w:rsidRPr="00D06B1C">
        <w:rPr>
          <w:i/>
          <w:iCs/>
          <w:sz w:val="16"/>
          <w:szCs w:val="16"/>
        </w:rPr>
        <w:t>Espérance de vie à divers âges</w:t>
      </w:r>
      <w:r w:rsidRPr="00D06B1C">
        <w:rPr>
          <w:sz w:val="16"/>
          <w:szCs w:val="16"/>
        </w:rPr>
        <w:t xml:space="preserve"> (https://www.insee.fr/fr/statistiques/2416631). À 65 ans en 2025 : femmes 23,6 ans, hommes 20,0 ans.</w:t>
      </w:r>
    </w:p>
  </w:footnote>
  <w:footnote w:id="46">
    <w:p w14:paraId="5F4A585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xml:space="preserve">, op. </w:t>
      </w:r>
      <w:proofErr w:type="gramStart"/>
      <w:r w:rsidRPr="00D06B1C">
        <w:rPr>
          <w:sz w:val="16"/>
          <w:szCs w:val="16"/>
        </w:rPr>
        <w:t>cit</w:t>
      </w:r>
      <w:proofErr w:type="gramEnd"/>
      <w:r w:rsidRPr="00D06B1C">
        <w:rPr>
          <w:sz w:val="16"/>
          <w:szCs w:val="16"/>
        </w:rPr>
        <w:t>. Population au 1er janvier 2026 : 69,1 millions. Part des 65 ans et plus : 22,2 % au 1er janvier 2026 (environ 22,0 % au 1er janvier 2025, 16,4 % en 2006, environ 13 % en 1986). Part des moins de 20 ans : 22,5 % au 1er janvier 2026.</w:t>
      </w:r>
    </w:p>
  </w:footnote>
  <w:footnote w:id="47">
    <w:p w14:paraId="422CDC0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Commission européenne, </w:t>
      </w:r>
      <w:r w:rsidRPr="00D06B1C">
        <w:rPr>
          <w:i/>
          <w:iCs/>
          <w:sz w:val="16"/>
          <w:szCs w:val="16"/>
        </w:rPr>
        <w:t>2024 Ageing Report</w:t>
      </w:r>
      <w:r w:rsidRPr="00D06B1C">
        <w:rPr>
          <w:sz w:val="16"/>
          <w:szCs w:val="16"/>
        </w:rPr>
        <w:t xml:space="preserve">, op. </w:t>
      </w:r>
      <w:proofErr w:type="gramStart"/>
      <w:r w:rsidRPr="00D06B1C">
        <w:rPr>
          <w:sz w:val="16"/>
          <w:szCs w:val="16"/>
        </w:rPr>
        <w:t>cit</w:t>
      </w:r>
      <w:proofErr w:type="gramEnd"/>
      <w:r w:rsidRPr="00D06B1C">
        <w:rPr>
          <w:sz w:val="16"/>
          <w:szCs w:val="16"/>
        </w:rPr>
        <w:t>. Ratio de dépendance des personnes âgées (population 65+ rapportée à la population en âge de travailler 20-64 ans) : 38,2 % en 2022, projection 57,8 % en 2070 - un bond de près de vingt points en cinquante ans, dans la moyenne haute européenne.</w:t>
      </w:r>
    </w:p>
  </w:footnote>
  <w:footnote w:id="48">
    <w:p w14:paraId="4E00BB4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Cotisants, retraités et rapport démographique tous régimes</w:t>
      </w:r>
      <w:r w:rsidRPr="00D06B1C">
        <w:rPr>
          <w:sz w:val="16"/>
          <w:szCs w:val="16"/>
        </w:rPr>
        <w:t>, séries longues. URL : https://www.insee.fr/fr/statistiques/2415121. Ratio 4,29 en 1965 (point haut historique).</w:t>
      </w:r>
    </w:p>
  </w:footnote>
  <w:footnote w:id="49">
    <w:p w14:paraId="0D1D4D0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ibid., données 2024 : 1,79 cotisant pour un retraité, tous régimes confondus.</w:t>
      </w:r>
    </w:p>
  </w:footnote>
  <w:footnote w:id="50">
    <w:p w14:paraId="38204B1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juin 2025, scénario central, projection 2070 : 1,40 cotisant pour un retraité.</w:t>
      </w:r>
    </w:p>
  </w:footnote>
  <w:footnote w:id="51">
    <w:p w14:paraId="49EDE43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DREES, </w:t>
      </w:r>
      <w:r w:rsidRPr="00D06B1C">
        <w:rPr>
          <w:i/>
          <w:iCs/>
          <w:sz w:val="16"/>
          <w:szCs w:val="16"/>
        </w:rPr>
        <w:t>Les retraités et les retraites</w:t>
      </w:r>
      <w:r w:rsidRPr="00D06B1C">
        <w:rPr>
          <w:sz w:val="16"/>
          <w:szCs w:val="16"/>
        </w:rPr>
        <w:t>, édition 2025 (données à fin 2023). Nombre de retraités de droit direct, tous régimes : environ 17,2 millions à fin 2023 (environ 16 millions en 2015). En 2023, 781 000 personnes ont liquidé une première pension de droit direct ; la hausse nette du stock (entrées moins sorties par décès) est de l’ordre de 220 000.</w:t>
      </w:r>
    </w:p>
  </w:footnote>
  <w:footnote w:id="52">
    <w:p w14:paraId="4658B53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juin 2025, hypothèses du scénario de référence (rapport complet, p. 47 environ) : productivité horaire +0,7 % par an à partir de 2040, chômage 7 % à partir de 2032, fécondité 1,80, solde migratoire +70 000/an.</w:t>
      </w:r>
    </w:p>
  </w:footnote>
  <w:footnote w:id="53">
    <w:p w14:paraId="542C273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Mission Pensions de l'État, projet annuel de performance (PAP) : contribution employeur de l'État au CAS Pensions de l’ordre de 52 Md€ (civils + militaires) — 51,7 Md€ pour 2024, 52,4 Md€ « versés actuellement » selon le rapport du Sénat sur le PLF 2026. La « cotisation employeur » est calculée au taux de 74,28 % des traitements indiciaires pour les fonctionnaires civils, contre ~16,5 % pour un employeur privé soumis au régime général. Sources : Bercy, annexe Mission Pensions ; Sénat, </w:t>
      </w:r>
      <w:r w:rsidRPr="00D06B1C">
        <w:rPr>
          <w:i/>
          <w:iCs/>
          <w:sz w:val="16"/>
          <w:szCs w:val="16"/>
        </w:rPr>
        <w:t>PLF 2026 — Régimes sociaux et de retraite et CAS Pensions</w:t>
      </w:r>
      <w:r w:rsidRPr="00D06B1C">
        <w:rPr>
          <w:sz w:val="16"/>
          <w:szCs w:val="16"/>
        </w:rPr>
        <w:t xml:space="preserve"> (https://www.senat.fr/rap/a25-142-3/a25-142-3_mono.html).</w:t>
      </w:r>
    </w:p>
  </w:footnote>
  <w:footnote w:id="54">
    <w:p w14:paraId="3CEA347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Décret n° 2025-61 du 22 janvier 2025 relevant le taux de la contribution employeur due au CAS « Pensions » au titre des fonctionnaires civils de l’État et des magistrats de 74,28 % à 78,28 % à compter du 1ᵉʳ janvier 2025 ; puis décret n° 2025-1341 du 26 décembre 2025 relevant ce taux à 82,28 % à compter du 1ᵉʳ janvier 2026. Le taux applicable aux militaires est très supérieur (de l’ordre de 126 %).</w:t>
      </w:r>
    </w:p>
  </w:footnote>
  <w:footnote w:id="55">
    <w:p w14:paraId="7FEB82E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Jean-Pascal Beaufret, </w:t>
      </w:r>
      <w:r w:rsidRPr="00D06B1C">
        <w:rPr>
          <w:i/>
          <w:iCs/>
          <w:sz w:val="16"/>
          <w:szCs w:val="16"/>
        </w:rPr>
        <w:t>Note pour les membres du COR</w:t>
      </w:r>
      <w:r w:rsidRPr="00D06B1C">
        <w:rPr>
          <w:sz w:val="16"/>
          <w:szCs w:val="16"/>
        </w:rPr>
        <w:t>, séance de septembre 2023, document n° 7 (</w:t>
      </w:r>
      <w:hyperlink r:id="rId22">
        <w:r w:rsidRPr="00D06B1C">
          <w:rPr>
            <w:rStyle w:val="Hyperlink"/>
            <w:sz w:val="16"/>
            <w:szCs w:val="16"/>
          </w:rPr>
          <w:t>https://www.cor-retraites.fr/sites/default/files/2023-09/Doc_07_Note%20J-P.%20Beaufret.pdf</w:t>
        </w:r>
      </w:hyperlink>
      <w:r w:rsidRPr="00D06B1C">
        <w:rPr>
          <w:sz w:val="16"/>
          <w:szCs w:val="16"/>
        </w:rPr>
        <w:t>). La subvention d’équilibre du régime des pensions civiles et militaires de l’État y est chiffrée à 34,8 Md€ en 2022 ; recalculé avec un taux de cotisation employeur aligné sur le privé, le solde consolidé des administrations « retraites » s’établirait à −29 Md€ en 2022 (au lieu du solde global publié par le COR, +4,4 Md€).</w:t>
      </w:r>
    </w:p>
  </w:footnote>
  <w:footnote w:id="56">
    <w:p w14:paraId="0909072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Jean-Pascal Beaufret, </w:t>
      </w:r>
      <w:r w:rsidRPr="00D06B1C">
        <w:rPr>
          <w:i/>
          <w:iCs/>
          <w:sz w:val="16"/>
          <w:szCs w:val="16"/>
        </w:rPr>
        <w:t>Contribution à la mission flash de clarification du financement des retraites</w:t>
      </w:r>
      <w:r w:rsidRPr="00D06B1C">
        <w:rPr>
          <w:sz w:val="16"/>
          <w:szCs w:val="16"/>
        </w:rPr>
        <w:t>, Fondation pour l’innovation politique, février 2025 (https://www.fondapol.org/etude/contribution-a-la-mission-flash-de-clarification-du-financement-des-retraites/). Méthode : agrégation des dépenses tous régimes confondus (412 Md€ en 2024), comparaison avec les prélèvements obligatoires dédiés (331 Md€), différence imputée à la subvention implicite de l’État (≈ 81 Md€). Pour 2023 : 389 Md€ de dépenses, 311 Md€ de prélèvements dédiés.</w:t>
      </w:r>
    </w:p>
  </w:footnote>
  <w:footnote w:id="57">
    <w:p w14:paraId="3A63F7A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À titre de comparaison (PLF 2025) : missions </w:t>
      </w:r>
      <w:r w:rsidRPr="00D06B1C">
        <w:rPr>
          <w:i/>
          <w:iCs/>
          <w:sz w:val="16"/>
          <w:szCs w:val="16"/>
        </w:rPr>
        <w:t>Sécurités</w:t>
      </w:r>
      <w:r w:rsidRPr="00D06B1C">
        <w:rPr>
          <w:sz w:val="16"/>
          <w:szCs w:val="16"/>
        </w:rPr>
        <w:t xml:space="preserve"> (police et gendarmerie, ≈ 25 Md€) et </w:t>
      </w:r>
      <w:r w:rsidRPr="00D06B1C">
        <w:rPr>
          <w:i/>
          <w:iCs/>
          <w:sz w:val="16"/>
          <w:szCs w:val="16"/>
        </w:rPr>
        <w:t>Justice</w:t>
      </w:r>
      <w:r w:rsidRPr="00D06B1C">
        <w:rPr>
          <w:sz w:val="16"/>
          <w:szCs w:val="16"/>
        </w:rPr>
        <w:t xml:space="preserve"> (≈ 12,5 Md€) cumulées ≈ 38 Md€ ; mission </w:t>
      </w:r>
      <w:r w:rsidRPr="00D06B1C">
        <w:rPr>
          <w:i/>
          <w:iCs/>
          <w:sz w:val="16"/>
          <w:szCs w:val="16"/>
        </w:rPr>
        <w:t>Défense</w:t>
      </w:r>
      <w:r w:rsidRPr="00D06B1C">
        <w:rPr>
          <w:sz w:val="16"/>
          <w:szCs w:val="16"/>
        </w:rPr>
        <w:t xml:space="preserve"> hors pensions ≈ 50,5 Md€. Le déficit consolidé de 81 Md€ représente ainsi plus du double du premier ensemble et dépasse le budget annuel de la défense. Sources : Sénat, rapports sur le PLF 2025 (missions Sécurités, Justice) ; ministère des Armées, PLF 2025.</w:t>
      </w:r>
    </w:p>
  </w:footnote>
  <w:footnote w:id="58">
    <w:p w14:paraId="281F7F2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Cour des comptes, </w:t>
      </w:r>
      <w:r w:rsidRPr="00D06B1C">
        <w:rPr>
          <w:i/>
          <w:iCs/>
          <w:sz w:val="16"/>
          <w:szCs w:val="16"/>
        </w:rPr>
        <w:t>Situation financière et perspectives du système de retraites</w:t>
      </w:r>
      <w:r w:rsidRPr="00D06B1C">
        <w:rPr>
          <w:sz w:val="16"/>
          <w:szCs w:val="16"/>
        </w:rPr>
        <w:t xml:space="preserve">, février 2025, op. </w:t>
      </w:r>
      <w:proofErr w:type="gramStart"/>
      <w:r w:rsidRPr="00D06B1C">
        <w:rPr>
          <w:sz w:val="16"/>
          <w:szCs w:val="16"/>
        </w:rPr>
        <w:t>cit</w:t>
      </w:r>
      <w:proofErr w:type="gramEnd"/>
      <w:r w:rsidRPr="00D06B1C">
        <w:rPr>
          <w:sz w:val="16"/>
          <w:szCs w:val="16"/>
        </w:rPr>
        <w:t>., section relative au périmètre et à la consolidation.</w:t>
      </w:r>
    </w:p>
  </w:footnote>
  <w:footnote w:id="59">
    <w:p w14:paraId="5B5DE6B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Pierre Moscovici, conférence de presse du 20 février 2025 lors de la remise du rapport thématique. Citations rapportées par </w:t>
      </w:r>
      <w:r w:rsidRPr="00D06B1C">
        <w:rPr>
          <w:i/>
          <w:iCs/>
          <w:sz w:val="16"/>
          <w:szCs w:val="16"/>
        </w:rPr>
        <w:t>Public Sénat</w:t>
      </w:r>
      <w:r w:rsidRPr="00D06B1C">
        <w:rPr>
          <w:sz w:val="16"/>
          <w:szCs w:val="16"/>
        </w:rPr>
        <w:t xml:space="preserve"> (https://www.publicsenat.fr/actualites/societe/retraites-un-deficit-qui-pourrait-atteindre-environ-30-milliards-deuros-dici-2045-selon-le-rapport-de-la-cour-des-comptes, consulté en mai 2026) et </w:t>
      </w:r>
      <w:r w:rsidRPr="00D06B1C">
        <w:rPr>
          <w:i/>
          <w:iCs/>
          <w:sz w:val="16"/>
          <w:szCs w:val="16"/>
        </w:rPr>
        <w:t>France Info</w:t>
      </w:r>
      <w:r w:rsidRPr="00D06B1C">
        <w:rPr>
          <w:sz w:val="16"/>
          <w:szCs w:val="16"/>
        </w:rPr>
        <w:t>. Moscovici a déclaré qu’il fallait « agir » et que « le statu quo n’est pas possible ».</w:t>
      </w:r>
    </w:p>
  </w:footnote>
  <w:footnote w:id="60">
    <w:p w14:paraId="3C67E0E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juin 2025, op. </w:t>
      </w:r>
      <w:proofErr w:type="gramStart"/>
      <w:r w:rsidRPr="00D06B1C">
        <w:rPr>
          <w:sz w:val="16"/>
          <w:szCs w:val="16"/>
        </w:rPr>
        <w:t>cit</w:t>
      </w:r>
      <w:proofErr w:type="gramEnd"/>
      <w:r w:rsidRPr="00D06B1C">
        <w:rPr>
          <w:sz w:val="16"/>
          <w:szCs w:val="16"/>
        </w:rPr>
        <w:t>., synthèse, conclusion.</w:t>
      </w:r>
    </w:p>
  </w:footnote>
  <w:footnote w:id="61">
    <w:p w14:paraId="782AE3A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Caisse de retraites (ou de rentes viagères) pour la vieillesse, créée par la loi du 18 juin 1850 et gérée par la Caisse des dépôts et consignations - elle-même établie par la loi du 28 avril 1816 : première institution publique de retraite par capitalisation, à adhésion facultative et ouverte à tous (salariés comme indépendants). Renommée Caisse nationale des retraites pour la vieillesse (CNRV) en 1886. À distinguer du régime des pensions civiles de l’État (loi du 9 juin 1853, dite « de budgétisation »), qui supprima les anciennes caisses de fonctionnaires et fit financer leurs pensions par le budget de l’État. Voir Pierre-Cyrille Hautcœur, </w:t>
      </w:r>
      <w:r w:rsidRPr="00D06B1C">
        <w:rPr>
          <w:i/>
          <w:iCs/>
          <w:sz w:val="16"/>
          <w:szCs w:val="16"/>
        </w:rPr>
        <w:t>Le Marché financier français au XIXe siècle</w:t>
      </w:r>
      <w:r w:rsidRPr="00D06B1C">
        <w:rPr>
          <w:sz w:val="16"/>
          <w:szCs w:val="16"/>
        </w:rPr>
        <w:t xml:space="preserve">, Publications de la Sorbonne, 2007 ; « Capitalisation et répartition dans l’histoire du système français des retraites avant 1945 », </w:t>
      </w:r>
      <w:r w:rsidRPr="00D06B1C">
        <w:rPr>
          <w:i/>
          <w:iCs/>
          <w:sz w:val="16"/>
          <w:szCs w:val="16"/>
        </w:rPr>
        <w:t>Revue d’histoire de la protection sociale</w:t>
      </w:r>
      <w:r w:rsidRPr="00D06B1C">
        <w:rPr>
          <w:sz w:val="16"/>
          <w:szCs w:val="16"/>
        </w:rPr>
        <w:t xml:space="preserve">, 2020 (https://shs.cairn.info/revue-d-histoire-de-la-protection-sociale-2020-1-page-23) ; et la fiche </w:t>
      </w:r>
      <w:r w:rsidRPr="00D06B1C">
        <w:rPr>
          <w:i/>
          <w:iCs/>
          <w:sz w:val="16"/>
          <w:szCs w:val="16"/>
        </w:rPr>
        <w:t>Histoire de la Caisse des Dépôts</w:t>
      </w:r>
      <w:r w:rsidRPr="00D06B1C">
        <w:rPr>
          <w:sz w:val="16"/>
          <w:szCs w:val="16"/>
        </w:rPr>
        <w:t xml:space="preserve"> (https://www.caissedesdepots.fr).</w:t>
      </w:r>
    </w:p>
  </w:footnote>
  <w:footnote w:id="62">
    <w:p w14:paraId="206BE47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Édit de Colbert du 19 avril 1670 instituant le système des classes (inscription maritime), assorti d’une promesse de secours aux marins invalides ; la Caisse des invalides de la Marine est formalisée par l’édit de Nancy du 23 septembre 1673, ancêtre de l’actuel Établissement national des invalides de la marine (ENIM). Régime confirmé et étendu tout au long de l’Ancien Régime.</w:t>
      </w:r>
    </w:p>
  </w:footnote>
  <w:footnote w:id="63">
    <w:p w14:paraId="66298E6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Lois du 5 avril 1928 et du 30 avril 1930 instaurant les assurances sociales obligatoires pour les salariés du commerce et de l’industrie dont le salaire annuel n’excédait pas un certain plafond (15 000 francs en 1930). Régime de retraite par capitalisation, géré par des caisses départementales et professionnelles. Voir « Capitalisation et répartition dans l’histoire du système français des retraites avant 1945 », </w:t>
      </w:r>
      <w:r w:rsidRPr="00D06B1C">
        <w:rPr>
          <w:i/>
          <w:iCs/>
          <w:sz w:val="16"/>
          <w:szCs w:val="16"/>
        </w:rPr>
        <w:t>Revue d’histoire de la protection sociale</w:t>
      </w:r>
      <w:r w:rsidRPr="00D06B1C">
        <w:rPr>
          <w:sz w:val="16"/>
          <w:szCs w:val="16"/>
        </w:rPr>
        <w:t xml:space="preserve">, 2020 (https://shs.cairn.info/revue-d-histoire-de-la-protection-sociale-2020-1-page-23) ; et Cercle de l’Épargne, </w:t>
      </w:r>
      <w:r w:rsidRPr="00D06B1C">
        <w:rPr>
          <w:i/>
          <w:iCs/>
          <w:sz w:val="16"/>
          <w:szCs w:val="16"/>
        </w:rPr>
        <w:t>Petit retour sur les fonds de pension en France</w:t>
      </w:r>
      <w:r w:rsidRPr="00D06B1C">
        <w:rPr>
          <w:sz w:val="16"/>
          <w:szCs w:val="16"/>
        </w:rPr>
        <w:t xml:space="preserve"> (https://cercledelepargne.com/petit-retour-fonds-de-pension-france).</w:t>
      </w:r>
    </w:p>
  </w:footnote>
  <w:footnote w:id="64">
    <w:p w14:paraId="63494DC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du 14 mars 1941 instituant l’Allocation aux vieux travailleurs salariés (AVTS), dans le cadre d’une réforme menée sous l’autorité du secrétaire d’État au Travail René Belin. Voir INA, </w:t>
      </w:r>
      <w:r w:rsidRPr="00D06B1C">
        <w:rPr>
          <w:i/>
          <w:iCs/>
          <w:sz w:val="16"/>
          <w:szCs w:val="16"/>
        </w:rPr>
        <w:t>1941 : le maréchal Pétain annonce les prémisses de la retraite par répartition</w:t>
      </w:r>
      <w:r w:rsidRPr="00D06B1C">
        <w:rPr>
          <w:sz w:val="16"/>
          <w:szCs w:val="16"/>
        </w:rPr>
        <w:t xml:space="preserve"> (https://www.ina.fr/ina-eclaire-actu/1941-lorsque-le-marechal-petain-annoncait-la-retraite-par-repartition) ; et Bertrand Valat, </w:t>
      </w:r>
      <w:r w:rsidRPr="00D06B1C">
        <w:rPr>
          <w:i/>
          <w:iCs/>
          <w:sz w:val="16"/>
          <w:szCs w:val="16"/>
        </w:rPr>
        <w:t xml:space="preserve">Les retraites et la création de la Sécurité sociale en 1945 : révolution ou </w:t>
      </w:r>
      <w:proofErr w:type="gramStart"/>
      <w:r w:rsidRPr="00D06B1C">
        <w:rPr>
          <w:i/>
          <w:iCs/>
          <w:sz w:val="16"/>
          <w:szCs w:val="16"/>
        </w:rPr>
        <w:t>restauration ?</w:t>
      </w:r>
      <w:r w:rsidRPr="00D06B1C">
        <w:rPr>
          <w:sz w:val="16"/>
          <w:szCs w:val="16"/>
        </w:rPr>
        <w:t>,</w:t>
      </w:r>
      <w:proofErr w:type="gramEnd"/>
      <w:r w:rsidRPr="00D06B1C">
        <w:rPr>
          <w:sz w:val="16"/>
          <w:szCs w:val="16"/>
        </w:rPr>
        <w:t xml:space="preserve"> document de travail pour le COR, 2022 (https://www.cor-retraites.fr/sites/default/files/2022-12/Doc_10_Valat.pdf).</w:t>
      </w:r>
    </w:p>
  </w:footnote>
  <w:footnote w:id="65">
    <w:p w14:paraId="0E3999E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Pierre Laroque (1907-1997), conseiller d’État, ancien membre du cabinet du ministre du Travail du Front populaire, exilé à Londres en 1942, rejoint la France libre. Nommé directeur général des assurances sociales en octobre 1944 par Alexandre Parodi (ministre du Travail du Gouvernement provisoire de la République française). Sur Laroque, Bruno Palier, </w:t>
      </w:r>
      <w:r w:rsidRPr="00D06B1C">
        <w:rPr>
          <w:i/>
          <w:iCs/>
          <w:sz w:val="16"/>
          <w:szCs w:val="16"/>
        </w:rPr>
        <w:t>Gouverner la Sécurité sociale</w:t>
      </w:r>
      <w:r w:rsidRPr="00D06B1C">
        <w:rPr>
          <w:sz w:val="16"/>
          <w:szCs w:val="16"/>
        </w:rPr>
        <w:t xml:space="preserve">, PUF, édition augmentée 2005, chap. 1. Voir aussi EN3S, </w:t>
      </w:r>
      <w:r w:rsidRPr="00D06B1C">
        <w:rPr>
          <w:i/>
          <w:iCs/>
          <w:sz w:val="16"/>
          <w:szCs w:val="16"/>
        </w:rPr>
        <w:t>Les valeurs portées par les fondateurs de la Sécurité sociale</w:t>
      </w:r>
      <w:r w:rsidRPr="00D06B1C">
        <w:rPr>
          <w:sz w:val="16"/>
          <w:szCs w:val="16"/>
        </w:rPr>
        <w:t xml:space="preserve"> (https://en3s.fr/articles-regards/34/LAROQUE.pdf). Ambroise Croizat (1901-1951), ouvrier métallurgiste, secrétaire général de la Fédération CGT des métaux, député communiste, ministre du Travail de novembre 1945 à mai 1947. Voir Michel Étiévent, </w:t>
      </w:r>
      <w:r w:rsidRPr="00D06B1C">
        <w:rPr>
          <w:i/>
          <w:iCs/>
          <w:sz w:val="16"/>
          <w:szCs w:val="16"/>
        </w:rPr>
        <w:t>Ambroise Croizat ou l’invention sociale</w:t>
      </w:r>
      <w:r w:rsidRPr="00D06B1C">
        <w:rPr>
          <w:sz w:val="16"/>
          <w:szCs w:val="16"/>
        </w:rPr>
        <w:t>, Éditions Gap, 1999.</w:t>
      </w:r>
    </w:p>
  </w:footnote>
  <w:footnote w:id="66">
    <w:p w14:paraId="52D1AE6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Ordonnance n° 45-2250 du 4 octobre 1945 portant organisation de la Sécurité sociale ; complétée par l’ordonnance n° 45-2454 du 19 octobre 1945 fixant le régime des assurances sociales applicable aux assurés des professions non agricoles. Texte intégral et historique : Legifrance et site de l’Assurance retraite (https://www.lassuranceretraite.fr).</w:t>
      </w:r>
    </w:p>
  </w:footnote>
  <w:footnote w:id="67">
    <w:p w14:paraId="511D42F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Synthèse de la position défendue par Pierre Laroque (formulation de l’auteur, non un verbatim) : la substitution de la répartition à la capitalisation permettait de servir immédiatement des pensions aux travailleurs âgés qui n’avaient pas pu se constituer un capital. Voir Bertrand Valat, </w:t>
      </w:r>
      <w:r w:rsidRPr="00D06B1C">
        <w:rPr>
          <w:i/>
          <w:iCs/>
          <w:sz w:val="16"/>
          <w:szCs w:val="16"/>
        </w:rPr>
        <w:t>Les retraites et la création de la Sécurité sociale en 1945</w:t>
      </w:r>
      <w:r w:rsidRPr="00D06B1C">
        <w:rPr>
          <w:sz w:val="16"/>
          <w:szCs w:val="16"/>
        </w:rPr>
        <w:t xml:space="preserve">, op. </w:t>
      </w:r>
      <w:proofErr w:type="gramStart"/>
      <w:r w:rsidRPr="00D06B1C">
        <w:rPr>
          <w:sz w:val="16"/>
          <w:szCs w:val="16"/>
        </w:rPr>
        <w:t>cit</w:t>
      </w:r>
      <w:proofErr w:type="gramEnd"/>
      <w:r w:rsidRPr="00D06B1C">
        <w:rPr>
          <w:sz w:val="16"/>
          <w:szCs w:val="16"/>
        </w:rPr>
        <w:t xml:space="preserve">. ; et Bruno Palier, </w:t>
      </w:r>
      <w:r w:rsidRPr="00D06B1C">
        <w:rPr>
          <w:i/>
          <w:iCs/>
          <w:sz w:val="16"/>
          <w:szCs w:val="16"/>
        </w:rPr>
        <w:t>Gouverner la Sécurité sociale</w:t>
      </w:r>
      <w:r w:rsidRPr="00D06B1C">
        <w:rPr>
          <w:sz w:val="16"/>
          <w:szCs w:val="16"/>
        </w:rPr>
        <w:t xml:space="preserve">, op. </w:t>
      </w:r>
      <w:proofErr w:type="gramStart"/>
      <w:r w:rsidRPr="00D06B1C">
        <w:rPr>
          <w:sz w:val="16"/>
          <w:szCs w:val="16"/>
        </w:rPr>
        <w:t>cit</w:t>
      </w:r>
      <w:proofErr w:type="gramEnd"/>
      <w:r w:rsidRPr="00D06B1C">
        <w:rPr>
          <w:sz w:val="16"/>
          <w:szCs w:val="16"/>
        </w:rPr>
        <w:t>.</w:t>
      </w:r>
    </w:p>
  </w:footnote>
  <w:footnote w:id="68">
    <w:p w14:paraId="6A9F06D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la croissance des Trente Glorieuses, INSEE, </w:t>
      </w:r>
      <w:r w:rsidRPr="00D06B1C">
        <w:rPr>
          <w:i/>
          <w:iCs/>
          <w:sz w:val="16"/>
          <w:szCs w:val="16"/>
        </w:rPr>
        <w:t>Les Trente Glorieuses (1949-1973)</w:t>
      </w:r>
      <w:r w:rsidRPr="00D06B1C">
        <w:rPr>
          <w:sz w:val="16"/>
          <w:szCs w:val="16"/>
        </w:rPr>
        <w:t xml:space="preserve"> (https://www.insee.fr/fr/statistiques) ; Jean Fourastié, </w:t>
      </w:r>
      <w:r w:rsidRPr="00D06B1C">
        <w:rPr>
          <w:i/>
          <w:iCs/>
          <w:sz w:val="16"/>
          <w:szCs w:val="16"/>
        </w:rPr>
        <w:t>Les Trente Glorieuses ou la révolution invisible de 1946 à 1975</w:t>
      </w:r>
      <w:r w:rsidRPr="00D06B1C">
        <w:rPr>
          <w:sz w:val="16"/>
          <w:szCs w:val="16"/>
        </w:rPr>
        <w:t>, Fayard, 1979. Croissance moyenne annuelle du PIB en France sur la période 1949-1973 : environ 5,3 %.</w:t>
      </w:r>
    </w:p>
  </w:footnote>
  <w:footnote w:id="69">
    <w:p w14:paraId="71D69C1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Ratio démographique du régime général (nombre de cotisants pour un retraité) : environ 4,3 en 1965 - chiffre parfois précisé à 4,29 -, point haut historique avant un déclin continu, sous l’effet de l’arrivée à la retraite des générations du baby-boom et de l’allongement de la durée de retraite. Source : direction de la Sécurité sociale, </w:t>
      </w:r>
      <w:r w:rsidRPr="00D06B1C">
        <w:rPr>
          <w:i/>
          <w:iCs/>
          <w:sz w:val="16"/>
          <w:szCs w:val="16"/>
        </w:rPr>
        <w:t>Ratio de dépendance démographique (cotisants/retraités)</w:t>
      </w:r>
      <w:r w:rsidRPr="00D06B1C">
        <w:rPr>
          <w:sz w:val="16"/>
          <w:szCs w:val="16"/>
        </w:rPr>
        <w:t xml:space="preserve"> (https://evaluation.securite-sociale.fr) ; CNAV, statistiques de cadrage.</w:t>
      </w:r>
    </w:p>
  </w:footnote>
  <w:footnote w:id="70">
    <w:p w14:paraId="512F998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Au milieu du XXe siècle, l’espérance de vie à 65 ans en France était de l’ordre de douze ans pour les hommes et quinze ans pour les femmes, contre environ vingt et vingt-quatre ans aujourd’hui (INSEE, 2025). Repère convergent : l’espérance de vie à 60 ans, tous sexes confondus, valait 16,7 ans en 1950 - COR, </w:t>
      </w:r>
      <w:r w:rsidRPr="00D06B1C">
        <w:rPr>
          <w:i/>
          <w:iCs/>
          <w:sz w:val="16"/>
          <w:szCs w:val="16"/>
        </w:rPr>
        <w:t>Espérance de vie instantanée et espérance de vie par génération</w:t>
      </w:r>
      <w:r w:rsidRPr="00D06B1C">
        <w:rPr>
          <w:sz w:val="16"/>
          <w:szCs w:val="16"/>
        </w:rPr>
        <w:t xml:space="preserve">, doc. </w:t>
      </w:r>
      <w:proofErr w:type="gramStart"/>
      <w:r w:rsidRPr="00D06B1C">
        <w:rPr>
          <w:sz w:val="16"/>
          <w:szCs w:val="16"/>
        </w:rPr>
        <w:t>n</w:t>
      </w:r>
      <w:proofErr w:type="gramEnd"/>
      <w:r w:rsidRPr="00D06B1C">
        <w:rPr>
          <w:sz w:val="16"/>
          <w:szCs w:val="16"/>
        </w:rPr>
        <w:t xml:space="preserve">° 4280, 2014 (https://www.cor-retraites.fr/sites/default/files/2019-06/doc-4280.pdf). Séries de mortalité : INSEE/INED, d’après J. Vallin et F. Meslé, </w:t>
      </w:r>
      <w:r w:rsidRPr="00D06B1C">
        <w:rPr>
          <w:i/>
          <w:iCs/>
          <w:sz w:val="16"/>
          <w:szCs w:val="16"/>
        </w:rPr>
        <w:t>Tables de mortalité françaises pour les XIXe et XXe siècles</w:t>
      </w:r>
      <w:r w:rsidRPr="00D06B1C">
        <w:rPr>
          <w:sz w:val="16"/>
          <w:szCs w:val="16"/>
        </w:rPr>
        <w:t>, INED, 2001.</w:t>
      </w:r>
    </w:p>
  </w:footnote>
  <w:footnote w:id="71">
    <w:p w14:paraId="2A21316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Convention collective nationale de prévoyance et de retraite des cadres du 14 mars 1947 instaurant l’AGIRC (Association générale des institutions de retraite des cadres). Le régime entre en fonction au 1er avril 1947. Voir « 14 mars 1947 : création de l’AGIRC », Les Clés du social (https://www.clesdusocial.com/14-mars-1947-creation-du-regime-de-retraite/) ; et </w:t>
      </w:r>
      <w:r w:rsidRPr="00D06B1C">
        <w:rPr>
          <w:i/>
          <w:iCs/>
          <w:sz w:val="16"/>
          <w:szCs w:val="16"/>
        </w:rPr>
        <w:t>Les Retraites complémentaires AGIRC-ARRCO</w:t>
      </w:r>
      <w:r w:rsidRPr="00D06B1C">
        <w:rPr>
          <w:sz w:val="16"/>
          <w:szCs w:val="16"/>
        </w:rPr>
        <w:t>, Cairn, 2022 (https://www.cairn.info/les-retraites-complementaires-agirc-arrco–9782130785569-page-13.htm).</w:t>
      </w:r>
    </w:p>
  </w:footnote>
  <w:footnote w:id="72">
    <w:p w14:paraId="5670E4B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Accord interprofessionnel du 8 décembre 1961 instituant l’ARRCO (Association des régimes de retraite complémentaires) pour les salariés non-cadres. Voir INA, </w:t>
      </w:r>
      <w:r w:rsidRPr="00D06B1C">
        <w:rPr>
          <w:i/>
          <w:iCs/>
          <w:sz w:val="16"/>
          <w:szCs w:val="16"/>
        </w:rPr>
        <w:t>Histoire des retraites</w:t>
      </w:r>
      <w:r w:rsidRPr="00D06B1C">
        <w:rPr>
          <w:sz w:val="16"/>
          <w:szCs w:val="16"/>
        </w:rPr>
        <w:t xml:space="preserve"> (https://fresques.ina.fr/securite-sociale/parcours/0004/la-retraite-en-france-de-1945-a-nos-jours.html). AGIRC et ARRCO fusionnent au 1er janvier 2019 en un régime unique (AGIRC-ARRCO) par l’accord national interprofessionnel du 17 novembre 2017.</w:t>
      </w:r>
    </w:p>
  </w:footnote>
  <w:footnote w:id="73">
    <w:p w14:paraId="4403A92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Ordonnance n° 82-270 du 26 mars 1982 relative à l’abaissement de l’âge de la retraite des assurés du régime général, prise par le gouvernement Mauroy sous la présidence de François Mitterrand. Ministre du Travail : Jean Auroux. Voir Pierre Mauroy, </w:t>
      </w:r>
      <w:r w:rsidRPr="00D06B1C">
        <w:rPr>
          <w:i/>
          <w:iCs/>
          <w:sz w:val="16"/>
          <w:szCs w:val="16"/>
        </w:rPr>
        <w:t>À gauche</w:t>
      </w:r>
      <w:r w:rsidRPr="00D06B1C">
        <w:rPr>
          <w:sz w:val="16"/>
          <w:szCs w:val="16"/>
        </w:rPr>
        <w:t>, Albin Michel, 2003.</w:t>
      </w:r>
    </w:p>
  </w:footnote>
  <w:footnote w:id="74">
    <w:p w14:paraId="5B7C56F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Yves Dubois et Anthony Marino, « Le taux de rendement interne du système de retraite français : quelle redistribution au sein d’une génération et quelle évolution entre générations ? », </w:t>
      </w:r>
      <w:r w:rsidRPr="00D06B1C">
        <w:rPr>
          <w:i/>
          <w:iCs/>
          <w:sz w:val="16"/>
          <w:szCs w:val="16"/>
        </w:rPr>
        <w:t>Économie et Statistique</w:t>
      </w:r>
      <w:r w:rsidRPr="00D06B1C">
        <w:rPr>
          <w:sz w:val="16"/>
          <w:szCs w:val="16"/>
        </w:rPr>
        <w:t xml:space="preserve"> n° 481-482, 2015 (https://www.insee.fr/fr/statistiques/1305193). Modèle de microsimulation Destinie 2 (champ : générations 1950-1985, salariés du privé, législation 2014). Le TRI avoisine 2,5 % pour la génération 1950 et se stabilise vers 1,75 % à compter de la génération 1970, convergeant vers le taux de croissance de l’économie (~1,4 %). Le rendement des toutes premières cohortes de cotisants, antérieures au champ de l’étude, était structurellement plus élevé (effet de démarrage d’un système par répartition).</w:t>
      </w:r>
    </w:p>
  </w:footnote>
  <w:footnote w:id="75">
    <w:p w14:paraId="4C2124D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séries longues de fécondité. ICF 1964 : 2,90 enfants par femme (point haut post-1945) ; 1975 : 1,93 ; 1985 : 1,81. URL : https://www.insee.fr/fr/statistiques/2381380.</w:t>
      </w:r>
    </w:p>
  </w:footnote>
  <w:footnote w:id="76">
    <w:p w14:paraId="2E8FF1A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Raoul Briet, </w:t>
      </w:r>
      <w:r w:rsidRPr="00D06B1C">
        <w:rPr>
          <w:i/>
          <w:iCs/>
          <w:sz w:val="16"/>
          <w:szCs w:val="16"/>
        </w:rPr>
        <w:t>Perspectives à long terme des retraites</w:t>
      </w:r>
      <w:r w:rsidRPr="00D06B1C">
        <w:rPr>
          <w:sz w:val="16"/>
          <w:szCs w:val="16"/>
        </w:rPr>
        <w:t xml:space="preserve">, rapport au Premier ministre, Commissariat général du Plan, juin 1995. Sur la genèse politique du rapport, voir Sénat, archives parlementaires 1995-1996, et Bruno Palier, </w:t>
      </w:r>
      <w:r w:rsidRPr="00D06B1C">
        <w:rPr>
          <w:i/>
          <w:iCs/>
          <w:sz w:val="16"/>
          <w:szCs w:val="16"/>
        </w:rPr>
        <w:t>Réformer les retraites</w:t>
      </w:r>
      <w:r w:rsidRPr="00D06B1C">
        <w:rPr>
          <w:sz w:val="16"/>
          <w:szCs w:val="16"/>
        </w:rPr>
        <w:t>, Presses de Sciences Po, 2021, chap. 3.</w:t>
      </w:r>
    </w:p>
  </w:footnote>
  <w:footnote w:id="77">
    <w:p w14:paraId="633746F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Jean-Michel Charpin, </w:t>
      </w:r>
      <w:r w:rsidRPr="00D06B1C">
        <w:rPr>
          <w:i/>
          <w:iCs/>
          <w:sz w:val="16"/>
          <w:szCs w:val="16"/>
        </w:rPr>
        <w:t>L’avenir de nos retraites</w:t>
      </w:r>
      <w:r w:rsidRPr="00D06B1C">
        <w:rPr>
          <w:sz w:val="16"/>
          <w:szCs w:val="16"/>
        </w:rPr>
        <w:t xml:space="preserve"> </w:t>
      </w:r>
      <w:r w:rsidRPr="00D06B1C">
        <w:rPr>
          <w:i/>
          <w:iCs/>
          <w:sz w:val="16"/>
          <w:szCs w:val="16"/>
        </w:rPr>
        <w:t>- Rapport au Premier ministre</w:t>
      </w:r>
      <w:r w:rsidRPr="00D06B1C">
        <w:rPr>
          <w:sz w:val="16"/>
          <w:szCs w:val="16"/>
        </w:rPr>
        <w:t xml:space="preserve">, Commissariat général du Plan, mai 1999, 264 pages (La Documentation française). Pour une mise en perspective critique, voir le débat </w:t>
      </w:r>
      <w:r w:rsidRPr="00D06B1C">
        <w:rPr>
          <w:i/>
          <w:iCs/>
          <w:sz w:val="16"/>
          <w:szCs w:val="16"/>
        </w:rPr>
        <w:t>Quarante remarques sur le rapport Charpin</w:t>
      </w:r>
      <w:r w:rsidRPr="00D06B1C">
        <w:rPr>
          <w:sz w:val="16"/>
          <w:szCs w:val="16"/>
        </w:rPr>
        <w:t>, Sciences Po, 2000 (https://sciencespo.hal.science/hal-01010827/).</w:t>
      </w:r>
    </w:p>
  </w:footnote>
  <w:footnote w:id="78">
    <w:p w14:paraId="5AA9AE9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93-936 du 22 juillet 1993 relative aux pensions de retraite et à la sauvegarde de la protection sociale. Texte sur Légifrance (https://www.legifrance.gouv.fr/loda/id/JORFTEXT000000545719/). Estimation des économies cumulées sur trente ans : AGIPI, </w:t>
      </w:r>
      <w:r w:rsidRPr="00D06B1C">
        <w:rPr>
          <w:i/>
          <w:iCs/>
          <w:sz w:val="16"/>
          <w:szCs w:val="16"/>
        </w:rPr>
        <w:t>Retraites en France : trente ans de réformes clés (1993-2023)</w:t>
      </w:r>
      <w:r w:rsidRPr="00D06B1C">
        <w:rPr>
          <w:sz w:val="16"/>
          <w:szCs w:val="16"/>
        </w:rPr>
        <w:t>, 2023 (https://www.agipi.com/offre/far-per/retraites-30-ans-de-reformes/).</w:t>
      </w:r>
    </w:p>
  </w:footnote>
  <w:footnote w:id="79">
    <w:p w14:paraId="3A9BE0A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2003-775 du 21 août 2003 portant réforme des retraites (loi Fillon). Texte sur Légifrance. Sur la mobilisation très limitée comparée aux précédents mouvements : Bruno Palier, </w:t>
      </w:r>
      <w:r w:rsidRPr="00D06B1C">
        <w:rPr>
          <w:i/>
          <w:iCs/>
          <w:sz w:val="16"/>
          <w:szCs w:val="16"/>
        </w:rPr>
        <w:t>Réformer les retraites</w:t>
      </w:r>
      <w:r w:rsidRPr="00D06B1C">
        <w:rPr>
          <w:sz w:val="16"/>
          <w:szCs w:val="16"/>
        </w:rPr>
        <w:t xml:space="preserve">, op. </w:t>
      </w:r>
      <w:proofErr w:type="gramStart"/>
      <w:r w:rsidRPr="00D06B1C">
        <w:rPr>
          <w:sz w:val="16"/>
          <w:szCs w:val="16"/>
        </w:rPr>
        <w:t>cit</w:t>
      </w:r>
      <w:proofErr w:type="gramEnd"/>
      <w:r w:rsidRPr="00D06B1C">
        <w:rPr>
          <w:sz w:val="16"/>
          <w:szCs w:val="16"/>
        </w:rPr>
        <w:t>.</w:t>
      </w:r>
    </w:p>
  </w:footnote>
  <w:footnote w:id="80">
    <w:p w14:paraId="09061B9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2010-1330 du 9 novembre 2010 portant réforme des retraites (loi Woerth). Mobilisation de l’automne 2010 : quatorze journées d’action nationale entre mars et novembre 2010, grèves reconductibles dans les raffineries - la quasi-totalité des raffineries de France métropolitaine à l’arrêt à la mi-octobre -, perturbations majeures dans les transports.</w:t>
      </w:r>
    </w:p>
  </w:footnote>
  <w:footnote w:id="81">
    <w:p w14:paraId="4A5C6CA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2014-40 du 20 janvier 2014 garantissant l’avenir et la justice du système de retraites (loi Touraine). Mobilisation limitée : la CFDT soutient le projet, la CGT et FO le contestent sans grève reconductible.</w:t>
      </w:r>
    </w:p>
  </w:footnote>
  <w:footnote w:id="82">
    <w:p w14:paraId="56C140D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France Info</w:t>
      </w:r>
      <w:r w:rsidRPr="00D06B1C">
        <w:rPr>
          <w:sz w:val="16"/>
          <w:szCs w:val="16"/>
        </w:rPr>
        <w:t xml:space="preserve">, </w:t>
      </w:r>
      <w:r w:rsidRPr="00D06B1C">
        <w:rPr>
          <w:i/>
          <w:iCs/>
          <w:sz w:val="16"/>
          <w:szCs w:val="16"/>
        </w:rPr>
        <w:t>Grève du 7 mars contre la réforme des retraites : 1,28 million de manifestants comptabilisés par le ministère de l’Intérieur, 3,5 millions selon la CGT</w:t>
      </w:r>
      <w:r w:rsidRPr="00D06B1C">
        <w:rPr>
          <w:sz w:val="16"/>
          <w:szCs w:val="16"/>
        </w:rPr>
        <w:t>, 7 mars 2023 (https://www.franceinfo.fr/economie/retraite/reforme-des-retraites/greve-du-7-mars-contre-la-reforme-des-retraites-1-28-million-de-manifestants-comptabilises-par-le-ministere-de-l-interieur-3-5-millions-selon-la-cgt_5698166.html). À Paris : 700 000 selon la CGT, 81 000 selon la préfecture de police.</w:t>
      </w:r>
    </w:p>
  </w:footnote>
  <w:footnote w:id="83">
    <w:p w14:paraId="4EE19A2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Sondage Elabe pour BFMTV, </w:t>
      </w:r>
      <w:r w:rsidRPr="00D06B1C">
        <w:rPr>
          <w:i/>
          <w:iCs/>
          <w:sz w:val="16"/>
          <w:szCs w:val="16"/>
        </w:rPr>
        <w:t>Les Français et la réforme des retraites</w:t>
      </w:r>
      <w:r w:rsidRPr="00D06B1C">
        <w:rPr>
          <w:sz w:val="16"/>
          <w:szCs w:val="16"/>
        </w:rPr>
        <w:t>, 11 janvier 2023 : 59 % des Français opposés à la réforme, 60 % soutenant les mobilisations syndicales. Réplication confirmée par les vagues OpinionWay et Ifop du premier trimestre 2023.</w:t>
      </w:r>
    </w:p>
  </w:footnote>
  <w:footnote w:id="84">
    <w:p w14:paraId="3FE485E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Suspension du calendrier de relèvement de l’âge légal annoncée par le Premier ministre Sébastien Lecornu (discours de politique générale du 14 octobre 2025), en échange de l’engagement du Parti socialiste à ne pas censurer le budget. L’âge d’ouverture des droits est gelé à 62 ans et 9 mois : aucun nouveau relèvement n’intervient pour les départs effectifs entre le 1er septembre 2026 et le 1er janvier 2028 (bénéficiaires principaux : générations 1964-1968). Mesure intégrée au PLFSS pour 2026, adopté définitivement. Voir LCP - Assemblée nationale, </w:t>
      </w:r>
      <w:r w:rsidRPr="00D06B1C">
        <w:rPr>
          <w:i/>
          <w:iCs/>
          <w:sz w:val="16"/>
          <w:szCs w:val="16"/>
        </w:rPr>
        <w:t>Suspension de la réforme des retraites : qui bénéficiera de la mesure ?</w:t>
      </w:r>
      <w:r w:rsidRPr="00D06B1C">
        <w:rPr>
          <w:sz w:val="16"/>
          <w:szCs w:val="16"/>
        </w:rPr>
        <w:t xml:space="preserve"> (</w:t>
      </w:r>
      <w:proofErr w:type="gramStart"/>
      <w:r w:rsidRPr="00D06B1C">
        <w:rPr>
          <w:sz w:val="16"/>
          <w:szCs w:val="16"/>
        </w:rPr>
        <w:t>https://lcp.fr</w:t>
      </w:r>
      <w:proofErr w:type="gramEnd"/>
      <w:r w:rsidRPr="00D06B1C">
        <w:rPr>
          <w:sz w:val="16"/>
          <w:szCs w:val="16"/>
        </w:rPr>
        <w:t xml:space="preserve">) ; MoneyVox, </w:t>
      </w:r>
      <w:r w:rsidRPr="00D06B1C">
        <w:rPr>
          <w:i/>
          <w:iCs/>
          <w:sz w:val="16"/>
          <w:szCs w:val="16"/>
        </w:rPr>
        <w:t>Retraites : le nouveau calendrier de l’âge légal de départ avec la suspension adoptée</w:t>
      </w:r>
      <w:r w:rsidRPr="00D06B1C">
        <w:rPr>
          <w:sz w:val="16"/>
          <w:szCs w:val="16"/>
        </w:rPr>
        <w:t xml:space="preserve">, 2025 ; et l’interview d’Olivier Faure (PS) à </w:t>
      </w:r>
      <w:r w:rsidRPr="00D06B1C">
        <w:rPr>
          <w:i/>
          <w:iCs/>
          <w:sz w:val="16"/>
          <w:szCs w:val="16"/>
        </w:rPr>
        <w:t>France Info</w:t>
      </w:r>
      <w:r w:rsidRPr="00D06B1C">
        <w:rPr>
          <w:sz w:val="16"/>
          <w:szCs w:val="16"/>
        </w:rPr>
        <w:t>, octobre 2025.</w:t>
      </w:r>
    </w:p>
  </w:footnote>
  <w:footnote w:id="85">
    <w:p w14:paraId="3CF24C7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Olivier Blanchard, ancien chef économiste du FMI, professeur émérite au MIT et senior fellow au Peterson Institute, et François Ecalle (Fipeco), entretien à </w:t>
      </w:r>
      <w:r w:rsidRPr="00D06B1C">
        <w:rPr>
          <w:i/>
          <w:iCs/>
          <w:sz w:val="16"/>
          <w:szCs w:val="16"/>
        </w:rPr>
        <w:t>Le Grand Continent</w:t>
      </w:r>
      <w:r w:rsidRPr="00D06B1C">
        <w:rPr>
          <w:sz w:val="16"/>
          <w:szCs w:val="16"/>
        </w:rPr>
        <w:t xml:space="preserve">, 14 décembre 2024, « La France face au mur de la dette ». Ils estiment à environ 120 Md€ (quatre points de PIB) le déficit primaire à résorber pour stabiliser la dette - porté à 150 Md€ (cinq points) en intégrant les besoins de défense et de transition ; un report d’un an de l’âge de la retraite représentant environ 15 Md€, soit environ un huitième de l’effort. Estimation cohérente avec les analyses du Haut Conseil des finances publiques et de la Commission européenne, </w:t>
      </w:r>
      <w:r w:rsidRPr="00D06B1C">
        <w:rPr>
          <w:i/>
          <w:iCs/>
          <w:sz w:val="16"/>
          <w:szCs w:val="16"/>
        </w:rPr>
        <w:t>Debt Sustainability Monitor 2025</w:t>
      </w:r>
      <w:r w:rsidRPr="00D06B1C">
        <w:rPr>
          <w:sz w:val="16"/>
          <w:szCs w:val="16"/>
        </w:rPr>
        <w:t>.</w:t>
      </w:r>
    </w:p>
  </w:footnote>
  <w:footnote w:id="86">
    <w:p w14:paraId="366CE8C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Yves Dubois et Anthony Marino, « Le taux de rendement interne du système de retraite français : quelle redistribution au sein d’une génération et quelle évolution entre générations ? », </w:t>
      </w:r>
      <w:r w:rsidRPr="00D06B1C">
        <w:rPr>
          <w:i/>
          <w:iCs/>
          <w:sz w:val="16"/>
          <w:szCs w:val="16"/>
        </w:rPr>
        <w:t>Économie et Statistique</w:t>
      </w:r>
      <w:r w:rsidRPr="00D06B1C">
        <w:rPr>
          <w:sz w:val="16"/>
          <w:szCs w:val="16"/>
        </w:rPr>
        <w:t xml:space="preserve"> n° 481-482, 2015 (https://www.insee.fr/fr/statistiques/1305193). Modèle de microsimulation Destinie 2 (figure I de l’article, champ générations 1950-1985, salariés du privé, législation 2014). Le taux de rendement interne avoisine 2,5 % pour la génération 1950 et se stabilise vers 1,75 % à compter de la génération 1970 (1,75 % pour la génération 1975 ; 2 % en ne retenant que les seules cotisations). Cette décroissance est propre au fonctionnement d’un système par répartition arrivé à maturité, le TRI convergeant vers le taux de croissance de l’économie (~1,4 %). Voir aussi Antoine Bozio, Simon Rabaté, Audrey Rain, </w:t>
      </w:r>
      <w:r w:rsidRPr="00D06B1C">
        <w:rPr>
          <w:i/>
          <w:iCs/>
          <w:sz w:val="16"/>
          <w:szCs w:val="16"/>
        </w:rPr>
        <w:t>Les notes de l’IPP</w:t>
      </w:r>
      <w:r w:rsidRPr="00D06B1C">
        <w:rPr>
          <w:sz w:val="16"/>
          <w:szCs w:val="16"/>
        </w:rPr>
        <w:t xml:space="preserve"> n° 42-43, juin 2019 (https://www.ipp.eu/thematiques/retraites/).</w:t>
      </w:r>
    </w:p>
  </w:footnote>
  <w:footnote w:id="87">
    <w:p w14:paraId="0B2B92F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Yves Dubois, Anthony Marino, « Évolution du rendement du système de retraite entre générations », </w:t>
      </w:r>
      <w:r w:rsidRPr="00D06B1C">
        <w:rPr>
          <w:i/>
          <w:iCs/>
          <w:sz w:val="16"/>
          <w:szCs w:val="16"/>
        </w:rPr>
        <w:t>Retraite et Société</w:t>
      </w:r>
      <w:r w:rsidRPr="00D06B1C">
        <w:rPr>
          <w:sz w:val="16"/>
          <w:szCs w:val="16"/>
        </w:rPr>
        <w:t xml:space="preserve"> n° 73, 2016 (https://shs.cairn.info/revue-retraite-et-societe-2016-1-page-19). Taux de récupération (cumul des pensions reçues rapporté au cumul des cotisations versées, financement total) : il passe de 159 % pour la génération 1950 à 117 % pour la génération 1980 (de 175 % à 127 % avec les seules cotisations), et la décroissance se poursuit pour les générations suivantes du champ étudié (1950-1985) : l’allongement de l’espérance de vie ne compense pas la baisse, les réformes ayant stabilisé la part de la vie passée en retraite.</w:t>
      </w:r>
    </w:p>
  </w:footnote>
  <w:footnote w:id="88">
    <w:p w14:paraId="21B27BD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Cleiss (Centre des liaisons européennes et internationales de sécurité sociale), </w:t>
      </w:r>
      <w:r w:rsidRPr="00D06B1C">
        <w:rPr>
          <w:i/>
          <w:iCs/>
          <w:sz w:val="16"/>
          <w:szCs w:val="16"/>
        </w:rPr>
        <w:t>Régime français de sécurité sociale</w:t>
      </w:r>
      <w:r w:rsidRPr="00D06B1C">
        <w:rPr>
          <w:sz w:val="16"/>
          <w:szCs w:val="16"/>
        </w:rPr>
        <w:t xml:space="preserve"> </w:t>
      </w:r>
      <w:r w:rsidRPr="00D06B1C">
        <w:rPr>
          <w:i/>
          <w:iCs/>
          <w:sz w:val="16"/>
          <w:szCs w:val="16"/>
        </w:rPr>
        <w:t>- Tableaux comparatifs</w:t>
      </w:r>
      <w:r w:rsidRPr="00D06B1C">
        <w:rPr>
          <w:sz w:val="16"/>
          <w:szCs w:val="16"/>
        </w:rPr>
        <w:t>, édition 2024 (https://www.cleiss.fr). Cotisations vieillesse salariales et patronales, plafonnées et déplafonnées, plus retraite complémentaire AGIRC-ARRCO. Évolution historique : ≈ 14 % pour la cohorte 1940-1950, 18-20 % en 1960-1970, 24-26 % en 1980-2000, 27,8 % aujourd’hui.</w:t>
      </w:r>
    </w:p>
  </w:footnote>
  <w:footnote w:id="89">
    <w:p w14:paraId="57463DC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w:t>
      </w:r>
      <w:r w:rsidRPr="00D06B1C">
        <w:rPr>
          <w:i/>
          <w:iCs/>
          <w:sz w:val="16"/>
          <w:szCs w:val="16"/>
        </w:rPr>
        <w:t>Évolutions et perspectives des retraites en France</w:t>
      </w:r>
      <w:r w:rsidRPr="00D06B1C">
        <w:rPr>
          <w:sz w:val="16"/>
          <w:szCs w:val="16"/>
        </w:rPr>
        <w:t xml:space="preserve">, rapport annuel juin 2025, scénario de référence (productivité 0,7 %/an à partir de 2040, chômage 7 %). La pension moyenne relative au revenu d’activité moyen passe de 52,3 % en 2023 à 45,1 % en 2070 (p. 53), conséquence de l’indexation des pensions sur les seuls prix - et non sur la productivité - et de la baisse du rendement des régimes complémentaires Agirc-Arrco. Le taux de remplacement net à la liquidation du cas-type de non-cadre du privé reste, lui, supérieur à 66,6 % pour </w:t>
      </w:r>
      <w:proofErr w:type="gramStart"/>
      <w:r w:rsidRPr="00D06B1C">
        <w:rPr>
          <w:sz w:val="16"/>
          <w:szCs w:val="16"/>
        </w:rPr>
        <w:t>les dix générations suivant</w:t>
      </w:r>
      <w:proofErr w:type="gramEnd"/>
      <w:r w:rsidRPr="00D06B1C">
        <w:rPr>
          <w:sz w:val="16"/>
          <w:szCs w:val="16"/>
        </w:rPr>
        <w:t xml:space="preserve"> celle de 1963.</w:t>
      </w:r>
    </w:p>
  </w:footnote>
  <w:footnote w:id="90">
    <w:p w14:paraId="3CBCBE2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juin 2025, op. </w:t>
      </w:r>
      <w:proofErr w:type="gramStart"/>
      <w:r w:rsidRPr="00D06B1C">
        <w:rPr>
          <w:sz w:val="16"/>
          <w:szCs w:val="16"/>
        </w:rPr>
        <w:t>cit</w:t>
      </w:r>
      <w:proofErr w:type="gramEnd"/>
      <w:r w:rsidRPr="00D06B1C">
        <w:rPr>
          <w:sz w:val="16"/>
          <w:szCs w:val="16"/>
        </w:rPr>
        <w:t>. Niveau de vie relatif des plus de 65 ans : 97 % du revenu moyen de la population en 2022, 87,5 % en 2070 (scénario central).</w:t>
      </w:r>
    </w:p>
  </w:footnote>
  <w:footnote w:id="91">
    <w:p w14:paraId="2FD6D2B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Jacques Friggit, </w:t>
      </w:r>
      <w:r w:rsidRPr="00D06B1C">
        <w:rPr>
          <w:i/>
          <w:iCs/>
          <w:sz w:val="16"/>
          <w:szCs w:val="16"/>
        </w:rPr>
        <w:t>Prix immobilier, loyers et revenu en France et à l’étranger</w:t>
      </w:r>
      <w:r w:rsidRPr="00D06B1C">
        <w:rPr>
          <w:sz w:val="16"/>
          <w:szCs w:val="16"/>
        </w:rPr>
        <w:t xml:space="preserve"> (mise à jour 2025, présentation CESER Île-de-France), IGEDD (ex-CGEDD), d’après les enquêtes Logement de l’INSEE. Le revenu par ménage des 20-29 ans, rapporté au revenu moyen de l’ensemble des ménages, passe de 102 % en 1970 à 60 % en 2013 ; celui des 70-79 ans, de 57 % à 86 % sur la même période. Friggit résume ce constat : « les jeunes se sont paupérisés par rapport à la moyenne ». La part de locataires parmi les ménages dont la personne de référence a moins de trente ans passe de 74 % (1970) à 81 % (2013). En ligne : igedd.developpement-durable.gouv.fr (rubrique « Prix immobilier - évolution à long terme »).</w:t>
      </w:r>
    </w:p>
  </w:footnote>
  <w:footnote w:id="92">
    <w:p w14:paraId="5F5F022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Jacques Friggit, IGEDD, série longue du prix des logements anciens rapporté au revenu disponible par ménage (base 2000 = 1) : quasi-stabilité de 1965 à 2000 (le « tunnel »), envolée de 2002 à 2007-2008, puis « lévitation » sur un plateau élevé maintenu depuis (« 17 ans de stabilité », que Friggit qualifie d</w:t>
      </w:r>
      <w:proofErr w:type="gramStart"/>
      <w:r w:rsidRPr="00D06B1C">
        <w:rPr>
          <w:sz w:val="16"/>
          <w:szCs w:val="16"/>
        </w:rPr>
        <w:t>’«</w:t>
      </w:r>
      <w:proofErr w:type="gramEnd"/>
      <w:r w:rsidRPr="00D06B1C">
        <w:rPr>
          <w:sz w:val="16"/>
          <w:szCs w:val="16"/>
        </w:rPr>
        <w:t xml:space="preserve"> exception française » par rapport à la correction observée aux États-Unis ou en Espagne). Même source que [^387].</w:t>
      </w:r>
    </w:p>
  </w:footnote>
  <w:footnote w:id="93">
    <w:p w14:paraId="5AE1C70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François Bayrou, alors Premier ministre, au journal de 20 heures de TF1 (entretien avec Gilles Bouleau), 27 août 2025 ; verbatim rapporté par </w:t>
      </w:r>
      <w:r w:rsidRPr="00D06B1C">
        <w:rPr>
          <w:i/>
          <w:iCs/>
          <w:sz w:val="16"/>
          <w:szCs w:val="16"/>
        </w:rPr>
        <w:t>Boursorama</w:t>
      </w:r>
      <w:r w:rsidRPr="00D06B1C">
        <w:rPr>
          <w:sz w:val="16"/>
          <w:szCs w:val="16"/>
        </w:rPr>
        <w:t xml:space="preserve">, 28 août 2025. Sur le phénomène « Nicolas qui paie » lui-même - expression virale en 2025, par ailleurs récupérée par une partie de la droite identitaire (dépôt de la marque par l’éditeur du média </w:t>
      </w:r>
      <w:r w:rsidRPr="00D06B1C">
        <w:rPr>
          <w:i/>
          <w:iCs/>
          <w:sz w:val="16"/>
          <w:szCs w:val="16"/>
        </w:rPr>
        <w:t>Frontières</w:t>
      </w:r>
      <w:r w:rsidRPr="00D06B1C">
        <w:rPr>
          <w:sz w:val="16"/>
          <w:szCs w:val="16"/>
        </w:rPr>
        <w:t>, 20 juin 2025) -, voir France Info, « “C’est Nicolas qui paie” : trois questions sur cette expression devenue virale et politique », 2025.</w:t>
      </w:r>
    </w:p>
  </w:footnote>
  <w:footnote w:id="94">
    <w:p w14:paraId="229CB72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Mercer CFA Institute, </w:t>
      </w:r>
      <w:r w:rsidRPr="00D06B1C">
        <w:rPr>
          <w:i/>
          <w:iCs/>
          <w:sz w:val="16"/>
          <w:szCs w:val="16"/>
        </w:rPr>
        <w:t>Global Pension Index 2025</w:t>
      </w:r>
      <w:r w:rsidRPr="00D06B1C">
        <w:rPr>
          <w:sz w:val="16"/>
          <w:szCs w:val="16"/>
        </w:rPr>
        <w:t>, novembre 2025 (https://www.mercer.com/insights/investments/market-outlook-and-trends/mercer-cfa-global-pension-index/), couvrant 52 systèmes de retraite (65 % de la population mondiale). Note globale de la France : 70,3/100 (catégorie B), décomposée en adéquation 85,2, viabilité 48,6 et intégrité 76,8. Sur le sous-indice « viabilité » : Pays-Bas 83,5 (note globale 85,4, 1er du classement), Danemark 85,0 (note globale 82,3), Allemagne 47,5. Tête du classement général 2025 (catégorie A) : Pays-Bas, Islande, Danemark, Israël, Singapour.</w:t>
      </w:r>
    </w:p>
  </w:footnote>
  <w:footnote w:id="95">
    <w:p w14:paraId="712C013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OCDE, </w:t>
      </w:r>
      <w:r w:rsidRPr="00D06B1C">
        <w:rPr>
          <w:i/>
          <w:iCs/>
          <w:sz w:val="16"/>
          <w:szCs w:val="16"/>
          <w:lang w:val="en-GB"/>
        </w:rPr>
        <w:t>Longevity gains and the internal rate of return of PAYG pension plans</w:t>
      </w:r>
      <w:r w:rsidRPr="00D06B1C">
        <w:rPr>
          <w:sz w:val="16"/>
          <w:szCs w:val="16"/>
          <w:lang w:val="en-GB"/>
        </w:rPr>
        <w:t xml:space="preserve"> </w:t>
      </w:r>
      <w:r w:rsidRPr="00D06B1C">
        <w:rPr>
          <w:i/>
          <w:iCs/>
          <w:sz w:val="16"/>
          <w:szCs w:val="16"/>
          <w:lang w:val="en-GB"/>
        </w:rPr>
        <w:t>- Evidence for 17 OECD countries</w:t>
      </w:r>
      <w:r w:rsidRPr="00D06B1C">
        <w:rPr>
          <w:sz w:val="16"/>
          <w:szCs w:val="16"/>
          <w:lang w:val="en-GB"/>
        </w:rPr>
        <w:t xml:space="preserve">, </w:t>
      </w:r>
      <w:r w:rsidRPr="00D06B1C">
        <w:rPr>
          <w:i/>
          <w:iCs/>
          <w:sz w:val="16"/>
          <w:szCs w:val="16"/>
          <w:lang w:val="en-GB"/>
        </w:rPr>
        <w:t>Journal of the Economics of Ageing</w:t>
      </w:r>
      <w:r w:rsidRPr="00D06B1C">
        <w:rPr>
          <w:sz w:val="16"/>
          <w:szCs w:val="16"/>
          <w:lang w:val="en-GB"/>
        </w:rPr>
        <w:t xml:space="preserve">, 2025 (https://www.sciencedirect.com/science/article/pii/S2212828X25000222). </w:t>
      </w:r>
      <w:r w:rsidRPr="00D06B1C">
        <w:rPr>
          <w:sz w:val="16"/>
          <w:szCs w:val="16"/>
        </w:rPr>
        <w:t>TRI moyen par pays pour les générations nées 1960-1970 : Suède 3,1 %, Pays-Bas 2,8 %, Australie 3,5 %, Canada 3,0 %, Allemagne 2,1 %, France 1,9 %, Italie 1,5 %.</w:t>
      </w:r>
    </w:p>
  </w:footnote>
  <w:footnote w:id="96">
    <w:p w14:paraId="4037092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Skatteverket (administration fiscale suédoise) et Pensionsmyndigheten (Autorité suédoise des retraites), données 2024. Cotisations totales suédoises (avgift) : 18,5 % pour le régime public obligatoire (16 % NDC + 2,5 % PPM capitalisée) plus 4 à 5 % pour les régimes complémentaires de branche obligatoires (ITP, SAF-LO, KAP-KL/PA16), soit un total autour de 22-23,5 %, contre 28 % en France (régime général + Agirc-Arrco). À titre de contexte, l’OCDE (</w:t>
      </w:r>
      <w:r w:rsidRPr="00D06B1C">
        <w:rPr>
          <w:i/>
          <w:iCs/>
          <w:sz w:val="16"/>
          <w:szCs w:val="16"/>
        </w:rPr>
        <w:t>Pensions at a Glance 2025</w:t>
      </w:r>
      <w:r w:rsidRPr="00D06B1C">
        <w:rPr>
          <w:sz w:val="16"/>
          <w:szCs w:val="16"/>
        </w:rPr>
        <w:t>, fiche pays) situe le taux de remplacement net de la Suède dans une fourchette de 60 à 65 % une fois les régimes de branche inclus ; celui de la France figure parmi les plus élevés de l’OCDE (de l’ordre de 70 %). La supériorité du modèle suédois mise en avant ici porte sur le couple rendement/cotisation, non sur le niveau de pension.</w:t>
      </w:r>
    </w:p>
  </w:footnote>
  <w:footnote w:id="97">
    <w:p w14:paraId="1A66C7CE"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Baromètre Odoxa-Groupama, </w:t>
      </w:r>
      <w:r w:rsidRPr="00D06B1C">
        <w:rPr>
          <w:i/>
          <w:iCs/>
          <w:sz w:val="16"/>
          <w:szCs w:val="16"/>
        </w:rPr>
        <w:t>Les Français et le système de retraite</w:t>
      </w:r>
      <w:r w:rsidRPr="00D06B1C">
        <w:rPr>
          <w:sz w:val="16"/>
          <w:szCs w:val="16"/>
        </w:rPr>
        <w:t xml:space="preserve">, vague 5, communiqué du 5 novembre 2025 (terrain août-octobre 2025). </w:t>
      </w:r>
      <w:r w:rsidRPr="00D06B1C">
        <w:rPr>
          <w:sz w:val="16"/>
          <w:szCs w:val="16"/>
          <w:lang w:val="en-GB"/>
        </w:rPr>
        <w:t>URL : https://www.odoxa.fr/wp-content/uploads/2025/11/CP-Groupama_barometre-retraite-Odoxa-05112025.pdf.</w:t>
      </w:r>
    </w:p>
  </w:footnote>
  <w:footnote w:id="98">
    <w:p w14:paraId="740BEAD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Cercle de l’Épargne, </w:t>
      </w:r>
      <w:r w:rsidRPr="00D06B1C">
        <w:rPr>
          <w:i/>
          <w:iCs/>
          <w:sz w:val="16"/>
          <w:szCs w:val="16"/>
        </w:rPr>
        <w:t>Baromètre Cercle de l’Épargne</w:t>
      </w:r>
      <w:r w:rsidRPr="00D06B1C">
        <w:rPr>
          <w:sz w:val="16"/>
          <w:szCs w:val="16"/>
        </w:rPr>
        <w:t xml:space="preserve"> </w:t>
      </w:r>
      <w:r w:rsidRPr="00D06B1C">
        <w:rPr>
          <w:i/>
          <w:iCs/>
          <w:sz w:val="16"/>
          <w:szCs w:val="16"/>
        </w:rPr>
        <w:t>- Amphitéa 2024</w:t>
      </w:r>
      <w:r w:rsidRPr="00D06B1C">
        <w:rPr>
          <w:sz w:val="16"/>
          <w:szCs w:val="16"/>
        </w:rPr>
        <w:t xml:space="preserve">, et Institut Montaigne / Harris Interactive, </w:t>
      </w:r>
      <w:r w:rsidRPr="00D06B1C">
        <w:rPr>
          <w:i/>
          <w:iCs/>
          <w:sz w:val="16"/>
          <w:szCs w:val="16"/>
        </w:rPr>
        <w:t>Les Français face à la retraite</w:t>
      </w:r>
      <w:r w:rsidRPr="00D06B1C">
        <w:rPr>
          <w:sz w:val="16"/>
          <w:szCs w:val="16"/>
        </w:rPr>
        <w:t>, 2025. Voir Observatoire Hexagone (https://observatoire-hexagone.org/) pour la synthèse comparée.</w:t>
      </w:r>
    </w:p>
  </w:footnote>
  <w:footnote w:id="99">
    <w:p w14:paraId="083E605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2024</w:t>
      </w:r>
      <w:r w:rsidRPr="00D06B1C">
        <w:rPr>
          <w:sz w:val="16"/>
          <w:szCs w:val="16"/>
        </w:rPr>
        <w:t>, novembre 2024. Âge légal de départ à la retraite dans les principaux pays comparables (cible 2030) : Allemagne 67, Italie 67, Suisse 65 (en transition vers 67), Royaume-Uni 67 (transition de 66 à 67 d’ici 2028), Danemark 67 (puis 68 en 2030, 69 en 2035), Pays-Bas 67 et 3 mois, France 64.</w:t>
      </w:r>
    </w:p>
  </w:footnote>
  <w:footnote w:id="100">
    <w:p w14:paraId="5C023EF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Emploi, chômage, revenus du travail</w:t>
      </w:r>
      <w:r w:rsidRPr="00D06B1C">
        <w:rPr>
          <w:sz w:val="16"/>
          <w:szCs w:val="16"/>
        </w:rPr>
        <w:t xml:space="preserve"> </w:t>
      </w:r>
      <w:r w:rsidRPr="00D06B1C">
        <w:rPr>
          <w:i/>
          <w:iCs/>
          <w:sz w:val="16"/>
          <w:szCs w:val="16"/>
        </w:rPr>
        <w:t>- Édition 2024</w:t>
      </w:r>
      <w:r w:rsidRPr="00D06B1C">
        <w:rPr>
          <w:sz w:val="16"/>
          <w:szCs w:val="16"/>
        </w:rPr>
        <w:t>, novembre 2024 (https://www.insee.fr/fr/statistiques/8351566). Taux d’emploi des 55-64 ans en 2024 : 60,4 %, dont 77,8 % pour les 55-59 ans et 42,4 % pour les 60-64 ans.</w:t>
      </w:r>
    </w:p>
  </w:footnote>
  <w:footnote w:id="101">
    <w:p w14:paraId="5D36A2B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Travail / APEC, </w:t>
      </w:r>
      <w:r w:rsidRPr="00D06B1C">
        <w:rPr>
          <w:i/>
          <w:iCs/>
          <w:sz w:val="16"/>
          <w:szCs w:val="16"/>
        </w:rPr>
        <w:t>26 % des cadres seniors en chômage de longue durée</w:t>
      </w:r>
      <w:r w:rsidRPr="00D06B1C">
        <w:rPr>
          <w:sz w:val="16"/>
          <w:szCs w:val="16"/>
        </w:rPr>
        <w:t>, communiqué et étude conjointe, 2026 (https://www.francetravail.org/accueil/communiques/2026/26-des-cadres-seniors-en-chomage-de-longue-duree-l-apec-et-france-travail-dressent-un-constat-et-proposent-des-solutions.html).</w:t>
      </w:r>
    </w:p>
  </w:footnote>
  <w:footnote w:id="102">
    <w:p w14:paraId="140DDCB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Frédéric Souillot, secrétaire général de Force ouvrière, interview à </w:t>
      </w:r>
      <w:r w:rsidRPr="00D06B1C">
        <w:rPr>
          <w:i/>
          <w:iCs/>
          <w:sz w:val="16"/>
          <w:szCs w:val="16"/>
        </w:rPr>
        <w:t>France Info</w:t>
      </w:r>
      <w:r w:rsidRPr="00D06B1C">
        <w:rPr>
          <w:sz w:val="16"/>
          <w:szCs w:val="16"/>
        </w:rPr>
        <w:t>, février 2023. Chiffre régulièrement réaffirmé par FO dans le débat sur le report de l’âge légal ; repris notamment dans CSE Matin, entretien Frédéric Souillot sur l’emploi des seniors, 2024 (https://www.csematin.com/dialogue-social/syndicats/un-accord-sur-l-emploi-des-seniors-la-priorite-absolue-frederic-souillot-fo.html).</w:t>
      </w:r>
    </w:p>
  </w:footnote>
  <w:footnote w:id="103">
    <w:p w14:paraId="72D8365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2024</w:t>
      </w:r>
      <w:r w:rsidRPr="00D06B1C">
        <w:rPr>
          <w:sz w:val="16"/>
          <w:szCs w:val="16"/>
        </w:rPr>
        <w:t xml:space="preserve">, op. </w:t>
      </w:r>
      <w:proofErr w:type="gramStart"/>
      <w:r w:rsidRPr="00D06B1C">
        <w:rPr>
          <w:sz w:val="16"/>
          <w:szCs w:val="16"/>
        </w:rPr>
        <w:t>cit</w:t>
      </w:r>
      <w:proofErr w:type="gramEnd"/>
      <w:r w:rsidRPr="00D06B1C">
        <w:rPr>
          <w:sz w:val="16"/>
          <w:szCs w:val="16"/>
        </w:rPr>
        <w:t>. Durée minimum requise pour le taux plein chez les principaux pays comparables : France 43 ans (génération 1965+), Belgique 45 ans, Allemagne 45 ans (mais avec un taux plein modulable), Italie 41 ans 10 mois (hommes) et 40 ans 10 mois (femmes), Royaume-Uni 35 ans (régime de base), Pays-Bas 50 ans en théorie pour le régime de base, mais sans condition de durée pour le pilier capitalisé.</w:t>
      </w:r>
    </w:p>
  </w:footnote>
  <w:footnote w:id="104">
    <w:p w14:paraId="6BA9586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Bruno Valat, « Les retraites et la création de la Sécurité sociale en 1945 : révolution ou restauration ? » et « Capitalisation et répartition dans l’histoire du système français des retraites avant 1945 », </w:t>
      </w:r>
      <w:r w:rsidRPr="00D06B1C">
        <w:rPr>
          <w:i/>
          <w:iCs/>
          <w:sz w:val="16"/>
          <w:szCs w:val="16"/>
        </w:rPr>
        <w:t>Revue d’histoire de la protection sociale</w:t>
      </w:r>
      <w:r w:rsidRPr="00D06B1C">
        <w:rPr>
          <w:sz w:val="16"/>
          <w:szCs w:val="16"/>
        </w:rPr>
        <w:t>, 2020/1 (Cairn) ; voir aussi le document de séance du COR (B. Valat). Les retraites instituées par les lois de 1910 et de 1928-1930 fonctionnaient par capitalisation ; la valeur réelle des capitaux constitués fut anéantie par l’inflation de la Première Guerre mondiale, des années 1930 et de la Seconde Guerre mondiale. La loi du 14 mars 1941, puis l’ordonnance du 4 octobre 1945 instituant la Sécurité sociale, substituent définitivement la répartition à la capitalisation.</w:t>
      </w:r>
    </w:p>
  </w:footnote>
  <w:footnote w:id="105">
    <w:p w14:paraId="5AB08B0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Définition standard mobilisée par l’ensemble des organismes internationaux. Voir OCDE, </w:t>
      </w:r>
      <w:r w:rsidRPr="00D06B1C">
        <w:rPr>
          <w:i/>
          <w:iCs/>
          <w:sz w:val="16"/>
          <w:szCs w:val="16"/>
        </w:rPr>
        <w:t>Pensions at a Glance 2025</w:t>
      </w:r>
      <w:r w:rsidRPr="00D06B1C">
        <w:rPr>
          <w:sz w:val="16"/>
          <w:szCs w:val="16"/>
        </w:rPr>
        <w:t xml:space="preserve">, novembre 2025, glossaire (https://www.oecd.org/en/publications/2025/11/pensions-at-a-glance-2025_76510fe4/). Pour une présentation francophone détaillée : Bertrand Martinot, </w:t>
      </w:r>
      <w:r w:rsidRPr="00D06B1C">
        <w:rPr>
          <w:i/>
          <w:iCs/>
          <w:sz w:val="16"/>
          <w:szCs w:val="16"/>
        </w:rPr>
        <w:t xml:space="preserve">La capitalisation, un moyen de sortir par le haut de la crise des </w:t>
      </w:r>
      <w:proofErr w:type="gramStart"/>
      <w:r w:rsidRPr="00D06B1C">
        <w:rPr>
          <w:i/>
          <w:iCs/>
          <w:sz w:val="16"/>
          <w:szCs w:val="16"/>
        </w:rPr>
        <w:t>retraites ?</w:t>
      </w:r>
      <w:r w:rsidRPr="00D06B1C">
        <w:rPr>
          <w:sz w:val="16"/>
          <w:szCs w:val="16"/>
        </w:rPr>
        <w:t>,</w:t>
      </w:r>
      <w:proofErr w:type="gramEnd"/>
      <w:r w:rsidRPr="00D06B1C">
        <w:rPr>
          <w:sz w:val="16"/>
          <w:szCs w:val="16"/>
        </w:rPr>
        <w:t xml:space="preserve"> Fondapol, note n°252, octobre 2024 (https://www.fondapol.org/etude/la-capitalisation-un-moyen-de-sortir-par-le-haut-de-la-crise-des-retraites/).</w:t>
      </w:r>
    </w:p>
  </w:footnote>
  <w:footnote w:id="106">
    <w:p w14:paraId="41D28D3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Le principe est inscrit à l’article L. 111-1 du Code de la sécurité sociale et structuré par les ordonnances du 4 octobre 1945. Voir Bruno Palier, </w:t>
      </w:r>
      <w:r w:rsidRPr="00D06B1C">
        <w:rPr>
          <w:i/>
          <w:iCs/>
          <w:sz w:val="16"/>
          <w:szCs w:val="16"/>
        </w:rPr>
        <w:t>Réformer les retraites</w:t>
      </w:r>
      <w:r w:rsidRPr="00D06B1C">
        <w:rPr>
          <w:sz w:val="16"/>
          <w:szCs w:val="16"/>
        </w:rPr>
        <w:t xml:space="preserve">, Presses de Sciences Po, 2021, pour une histoire institutionnelle complète. Sur la mécanique des flux : COR, </w:t>
      </w:r>
      <w:r w:rsidRPr="00D06B1C">
        <w:rPr>
          <w:i/>
          <w:iCs/>
          <w:sz w:val="16"/>
          <w:szCs w:val="16"/>
        </w:rPr>
        <w:t>Le système de retraite français</w:t>
      </w:r>
      <w:r w:rsidRPr="00D06B1C">
        <w:rPr>
          <w:sz w:val="16"/>
          <w:szCs w:val="16"/>
        </w:rPr>
        <w:t xml:space="preserve"> </w:t>
      </w:r>
      <w:r w:rsidRPr="00D06B1C">
        <w:rPr>
          <w:i/>
          <w:iCs/>
          <w:sz w:val="16"/>
          <w:szCs w:val="16"/>
        </w:rPr>
        <w:t>- Note de présentation</w:t>
      </w:r>
      <w:r w:rsidRPr="00D06B1C">
        <w:rPr>
          <w:sz w:val="16"/>
          <w:szCs w:val="16"/>
        </w:rPr>
        <w:t>, mise à jour 2025 (https://www.cor-retraites.fr).</w:t>
      </w:r>
    </w:p>
  </w:footnote>
  <w:footnote w:id="107">
    <w:p w14:paraId="45816D7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Estimation issue de Yves Dubois et Anthony Marino, </w:t>
      </w:r>
      <w:r w:rsidRPr="00D06B1C">
        <w:rPr>
          <w:i/>
          <w:iCs/>
          <w:sz w:val="16"/>
          <w:szCs w:val="16"/>
        </w:rPr>
        <w:t xml:space="preserve">Le taux de rendement interne du système de retraite français : quelle redistribution au sein d’une génération et quelle évolution entre </w:t>
      </w:r>
      <w:proofErr w:type="gramStart"/>
      <w:r w:rsidRPr="00D06B1C">
        <w:rPr>
          <w:i/>
          <w:iCs/>
          <w:sz w:val="16"/>
          <w:szCs w:val="16"/>
        </w:rPr>
        <w:t>générations ?</w:t>
      </w:r>
      <w:r w:rsidRPr="00D06B1C">
        <w:rPr>
          <w:sz w:val="16"/>
          <w:szCs w:val="16"/>
        </w:rPr>
        <w:t>,</w:t>
      </w:r>
      <w:proofErr w:type="gramEnd"/>
      <w:r w:rsidRPr="00D06B1C">
        <w:rPr>
          <w:sz w:val="16"/>
          <w:szCs w:val="16"/>
        </w:rPr>
        <w:t xml:space="preserve"> INSEE, </w:t>
      </w:r>
      <w:r w:rsidRPr="00D06B1C">
        <w:rPr>
          <w:i/>
          <w:iCs/>
          <w:sz w:val="16"/>
          <w:szCs w:val="16"/>
        </w:rPr>
        <w:t>Économie et Statistique</w:t>
      </w:r>
      <w:r w:rsidRPr="00D06B1C">
        <w:rPr>
          <w:sz w:val="16"/>
          <w:szCs w:val="16"/>
        </w:rPr>
        <w:t xml:space="preserve"> n°481-482, 2015 (https://www.insee.fr/fr/statistiques/1305193). Le TRI estimé décline de 2-3 % pour la génération 1946 à environ 1,5 % pour la génération 1963 et à 1-1,5 % pour les générations 1975 et au-delà, à législation actuelle. Le Conseil d’orientation des retraites confirme cet ordre de grandeur (</w:t>
      </w:r>
      <w:r w:rsidRPr="00D06B1C">
        <w:rPr>
          <w:i/>
          <w:iCs/>
          <w:sz w:val="16"/>
          <w:szCs w:val="16"/>
        </w:rPr>
        <w:t>Rapport annuel</w:t>
      </w:r>
      <w:r w:rsidRPr="00D06B1C">
        <w:rPr>
          <w:sz w:val="16"/>
          <w:szCs w:val="16"/>
        </w:rPr>
        <w:t>, juin 2025) : en actualisation selon les prix (Figure 3.A), le TRI de la génération 2000 s’échelonne d’environ 0,7 % pour les cadres à 2,5 % selon le profil (genre, nombre d’enfants), le cas non-cadre central ressortant autour de 1,5-1,7 % ; en actualisation selon le SMPT (Figure 3.7), il est de 0,5 % pour le cas non-cadre de référence (scénario de productivité 0,7 %).</w:t>
      </w:r>
    </w:p>
  </w:footnote>
  <w:footnote w:id="108">
    <w:p w14:paraId="11518EA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Allocation type d’un grand fonds de pension public. Voir Norges Bank Investment Management, </w:t>
      </w:r>
      <w:r w:rsidRPr="00D06B1C">
        <w:rPr>
          <w:i/>
          <w:iCs/>
          <w:sz w:val="16"/>
          <w:szCs w:val="16"/>
        </w:rPr>
        <w:t>Government Pension Fund Global</w:t>
      </w:r>
      <w:r w:rsidRPr="00D06B1C">
        <w:rPr>
          <w:sz w:val="16"/>
          <w:szCs w:val="16"/>
        </w:rPr>
        <w:t xml:space="preserve"> </w:t>
      </w:r>
      <w:r w:rsidRPr="00D06B1C">
        <w:rPr>
          <w:i/>
          <w:iCs/>
          <w:sz w:val="16"/>
          <w:szCs w:val="16"/>
        </w:rPr>
        <w:t>- Annual Report 2024</w:t>
      </w:r>
      <w:r w:rsidRPr="00D06B1C">
        <w:rPr>
          <w:sz w:val="16"/>
          <w:szCs w:val="16"/>
        </w:rPr>
        <w:t>, 2025 (https://www.nbim.no/en/news-and-insights/reports/2024/annual-report-2024/) : 71,4 % actions, 26,6 % obligations, 1,8 % immobilier, 0,1 % énergies renouvelables. Le GPFG investit dans environ 8 700 sociétés cotées à travers 71 pays.</w:t>
      </w:r>
    </w:p>
  </w:footnote>
  <w:footnote w:id="109">
    <w:p w14:paraId="00DA7264"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Calcul de référence. À 4 % réel annuel sur 40 ans, un capital initial est multiplié par (1,</w:t>
      </w:r>
      <w:proofErr w:type="gramStart"/>
      <w:r w:rsidRPr="00D06B1C">
        <w:rPr>
          <w:sz w:val="16"/>
          <w:szCs w:val="16"/>
        </w:rPr>
        <w:t>04)^</w:t>
      </w:r>
      <w:proofErr w:type="gramEnd"/>
      <w:r w:rsidRPr="00D06B1C">
        <w:rPr>
          <w:sz w:val="16"/>
          <w:szCs w:val="16"/>
        </w:rPr>
        <w:t xml:space="preserve">40 ≈ 4,80. À 3 %, par 3,26 ; à 5 %, par 7,04. La sensibilité de l’effet composé au taux et à la durée est la donnée centrale de ce chapitre - elle est documentée en détail dans la section 6 et l’annexe modélisation. </w:t>
      </w:r>
      <w:r w:rsidRPr="00D06B1C">
        <w:rPr>
          <w:sz w:val="16"/>
          <w:szCs w:val="16"/>
          <w:lang w:val="en-GB"/>
        </w:rPr>
        <w:t xml:space="preserve">Sources de rendement long terme : Elroy Dimson, Paul Marsh, Mike Staunton, </w:t>
      </w:r>
      <w:r w:rsidRPr="00D06B1C">
        <w:rPr>
          <w:i/>
          <w:iCs/>
          <w:sz w:val="16"/>
          <w:szCs w:val="16"/>
          <w:lang w:val="en-GB"/>
        </w:rPr>
        <w:t>Global Investment Returns Yearbook 2025</w:t>
      </w:r>
      <w:r w:rsidRPr="00D06B1C">
        <w:rPr>
          <w:sz w:val="16"/>
          <w:szCs w:val="16"/>
          <w:lang w:val="en-GB"/>
        </w:rPr>
        <w:t>, UBS / London Business School, 2025 (https://www.ubs.com/global/en/investment-bank/insights-and-data/2025/global-investment-returns-yearbook-2025.html).</w:t>
      </w:r>
    </w:p>
  </w:footnote>
  <w:footnote w:id="110">
    <w:p w14:paraId="5763120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Aucune trace primaire de cette citation n’a été retrouvée dans les écrits d’Albert Einstein. Selon Quote Investigator (« The Eighth Wonder of the World Is Compound Interest », 9 septembre 2019, https://quoteinvestigator.com/2019/09/09/interest/), la formule « huitième merveille du monde » appliquée à l’intérêt composé apparaît dès 1925 dans une publicité bancaire, et son attribution à Einstein ne surgit dans la presse qu’en 1983 - vingt-huit ans après la mort du physicien. Snopes, Quote Investigator et les biographes d’Einstein la classent comme apocryphe. Mieux vaut donc ne pas l’attribuer.</w:t>
      </w:r>
    </w:p>
  </w:footnote>
  <w:footnote w:id="111">
    <w:p w14:paraId="0EB6D2F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Valeurs (1,</w:t>
      </w:r>
      <w:proofErr w:type="gramStart"/>
      <w:r w:rsidRPr="00D06B1C">
        <w:rPr>
          <w:sz w:val="16"/>
          <w:szCs w:val="16"/>
        </w:rPr>
        <w:t>04)^</w:t>
      </w:r>
      <w:proofErr w:type="gramEnd"/>
      <w:r w:rsidRPr="00D06B1C">
        <w:rPr>
          <w:sz w:val="16"/>
          <w:szCs w:val="16"/>
        </w:rPr>
        <w:t xml:space="preserve">n : n=20 ⇒ 2,191 ; n=30 ⇒ 3,243 ; n=40 ⇒ 4,801 ; n=50 ⇒ 7,107. Pour une présentation pédagogique anglo-saxonne du même mécanisme appliqué aux retraites : Burton Malkiel, </w:t>
      </w:r>
      <w:r w:rsidRPr="00D06B1C">
        <w:rPr>
          <w:i/>
          <w:iCs/>
          <w:sz w:val="16"/>
          <w:szCs w:val="16"/>
        </w:rPr>
        <w:t>A Random Walk Down Wall Street</w:t>
      </w:r>
      <w:r w:rsidRPr="00D06B1C">
        <w:rPr>
          <w:sz w:val="16"/>
          <w:szCs w:val="16"/>
        </w:rPr>
        <w:t xml:space="preserve">, W. W. Norton, 12e éd. 2019, chap. 13 ; Charles Ellis, </w:t>
      </w:r>
      <w:r w:rsidRPr="00D06B1C">
        <w:rPr>
          <w:i/>
          <w:iCs/>
          <w:sz w:val="16"/>
          <w:szCs w:val="16"/>
        </w:rPr>
        <w:t>Winning the Loser’s Game</w:t>
      </w:r>
      <w:r w:rsidRPr="00D06B1C">
        <w:rPr>
          <w:sz w:val="16"/>
          <w:szCs w:val="16"/>
        </w:rPr>
        <w:t>, McGraw-Hill, 8e éd. 2021.</w:t>
      </w:r>
    </w:p>
  </w:footnote>
  <w:footnote w:id="112">
    <w:p w14:paraId="16C7EC7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Calcul illustratif, 4 % de rendement réel. Une cotisation placée à 25 ans fructifie pendant quarante ans : elle est multipliée par (1,04) puissance 40, soit environ 4,80. La même cotisation placée à 55 ans ne fructifie que dix ans : (1,04) puissance 10, soit environ 1,48. Le rapport est donc de 4,80 / 1,48 ≈ 3,2 — la cotisation précoce vaut un peu plus de trois fois la tardive, à montant et taux identiques. Ce constat fonde l’importance de la durée d’exposition au capital ; voir Burton Malkiel, </w:t>
      </w:r>
      <w:r w:rsidRPr="00D06B1C">
        <w:rPr>
          <w:i/>
          <w:iCs/>
          <w:sz w:val="16"/>
          <w:szCs w:val="16"/>
        </w:rPr>
        <w:t>A Random Walk Down Wall Street</w:t>
      </w:r>
      <w:r w:rsidRPr="00D06B1C">
        <w:rPr>
          <w:sz w:val="16"/>
          <w:szCs w:val="16"/>
        </w:rPr>
        <w:t>, W. W. Norton, 12ᵉ éd. 2019, chap. 13.</w:t>
      </w:r>
    </w:p>
  </w:footnote>
  <w:footnote w:id="113">
    <w:p w14:paraId="0EC6E3C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Thomas Piketty, </w:t>
      </w:r>
      <w:r w:rsidRPr="00D06B1C">
        <w:rPr>
          <w:i/>
          <w:iCs/>
          <w:sz w:val="16"/>
          <w:szCs w:val="16"/>
        </w:rPr>
        <w:t>Le capital au XXIe siècle</w:t>
      </w:r>
      <w:r w:rsidRPr="00D06B1C">
        <w:rPr>
          <w:sz w:val="16"/>
          <w:szCs w:val="16"/>
        </w:rPr>
        <w:t>, Seuil, 2013, formulation centrale de l’ouvrage (introduction du concept dans les premières pages de la première partie ; développement central en partie 3). L’utilisation mobilisée ici est strictement technique : Piketty plaide pour la redistribution du capital, pas pour la capitalisation des retraites. La logique mathématique sur le rendement long du capital reste néanmoins l’argument central qui distingue capitalisation et répartition.</w:t>
      </w:r>
    </w:p>
  </w:footnote>
  <w:footnote w:id="114">
    <w:p w14:paraId="7F1C0CC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Elroy Dimson, Paul Marsh, Mike Staunton, </w:t>
      </w:r>
      <w:r w:rsidRPr="00D06B1C">
        <w:rPr>
          <w:i/>
          <w:iCs/>
          <w:sz w:val="16"/>
          <w:szCs w:val="16"/>
          <w:lang w:val="en-GB"/>
        </w:rPr>
        <w:t>Global Investment Returns Yearbook 2025</w:t>
      </w:r>
      <w:r w:rsidRPr="00D06B1C">
        <w:rPr>
          <w:sz w:val="16"/>
          <w:szCs w:val="16"/>
          <w:lang w:val="en-GB"/>
        </w:rPr>
        <w:t xml:space="preserve">, UBS Investment Bank / London Business School, 2025 (https://www.ubs.com/global/en/investment-bank/insights-and-data/2025/global-investment-returns-yearbook-2025.html). </w:t>
      </w:r>
      <w:r w:rsidRPr="00D06B1C">
        <w:rPr>
          <w:sz w:val="16"/>
          <w:szCs w:val="16"/>
        </w:rPr>
        <w:t>Rendements réels annualisés mondiaux 1900-2024 : actions 5,2 %, obligations 1,7 %, bons du Trésor 0,5 %. Sur la période 2000-2024, actions mondiales 3,5 % réel ; prime de risque actions sur cash 4,3 points annualisés.</w:t>
      </w:r>
    </w:p>
  </w:footnote>
  <w:footnote w:id="115">
    <w:p w14:paraId="7222E17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Voir les règles de conversion en rente du </w:t>
      </w:r>
      <w:r w:rsidRPr="00D06B1C">
        <w:rPr>
          <w:i/>
          <w:iCs/>
          <w:sz w:val="16"/>
          <w:szCs w:val="16"/>
        </w:rPr>
        <w:t>Premiepension</w:t>
      </w:r>
      <w:r w:rsidRPr="00D06B1C">
        <w:rPr>
          <w:sz w:val="16"/>
          <w:szCs w:val="16"/>
        </w:rPr>
        <w:t xml:space="preserve"> suédois (Pensionsmyndigheten) et du deuxième pilier néerlandais (ABP, PFZW). En Suède, le capital PPM est converti en rente viagère à la retraite et n’est pas transmissible. Aux Pays-Bas, les régimes prévoient une réversion au conjoint. L’Australie autorise des sorties en capital partiel - d’où des débats internes sur la « </w:t>
      </w:r>
      <w:r w:rsidRPr="00D06B1C">
        <w:rPr>
          <w:i/>
          <w:iCs/>
          <w:sz w:val="16"/>
          <w:szCs w:val="16"/>
        </w:rPr>
        <w:t>retirement income covenant</w:t>
      </w:r>
      <w:r w:rsidRPr="00D06B1C">
        <w:rPr>
          <w:sz w:val="16"/>
          <w:szCs w:val="16"/>
        </w:rPr>
        <w:t xml:space="preserve"> » (APRA, </w:t>
      </w:r>
      <w:r w:rsidRPr="00D06B1C">
        <w:rPr>
          <w:i/>
          <w:iCs/>
          <w:sz w:val="16"/>
          <w:szCs w:val="16"/>
        </w:rPr>
        <w:t>Quarterly superannuation performance statistics</w:t>
      </w:r>
      <w:r w:rsidRPr="00D06B1C">
        <w:rPr>
          <w:sz w:val="16"/>
          <w:szCs w:val="16"/>
        </w:rPr>
        <w:t>, 2025).</w:t>
      </w:r>
    </w:p>
  </w:footnote>
  <w:footnote w:id="116">
    <w:p w14:paraId="3F3094D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AP7, « AP7 Såfa » et « Investment strategy », ap7.se : modèle de gestion en cycle de vie. Jusqu’à 55 ans, l’épargne est investie à 100 % dans le fonds actions AP7, lequel recourt à un effet de levier par dérivés (multiplicateur d’environ 1,25). De 56 à 75 ans, l’allocation bascule chaque année vers le fonds obligataire, jusqu’à atteindre un tiers d’actions et deux tiers d’obligations à 75 ans.</w:t>
      </w:r>
    </w:p>
  </w:footnote>
  <w:footnote w:id="117">
    <w:p w14:paraId="45CA79E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Pensionsmyndigheten, </w:t>
      </w:r>
      <w:r w:rsidRPr="00D06B1C">
        <w:rPr>
          <w:i/>
          <w:iCs/>
          <w:sz w:val="16"/>
          <w:szCs w:val="16"/>
        </w:rPr>
        <w:t>Det svenska pensionssystemet</w:t>
      </w:r>
      <w:r w:rsidRPr="00D06B1C">
        <w:rPr>
          <w:sz w:val="16"/>
          <w:szCs w:val="16"/>
        </w:rPr>
        <w:t xml:space="preserve">, 2024 (https://www.pensionsmyndigheten.se). Premier pilier suédois : 16 % de cotisation sur la pension </w:t>
      </w:r>
      <w:r w:rsidRPr="00D06B1C">
        <w:rPr>
          <w:i/>
          <w:iCs/>
          <w:sz w:val="16"/>
          <w:szCs w:val="16"/>
        </w:rPr>
        <w:t>NDC</w:t>
      </w:r>
      <w:r w:rsidRPr="00D06B1C">
        <w:rPr>
          <w:sz w:val="16"/>
          <w:szCs w:val="16"/>
        </w:rPr>
        <w:t xml:space="preserve"> à comptes notionnels (</w:t>
      </w:r>
      <w:r w:rsidRPr="00D06B1C">
        <w:rPr>
          <w:i/>
          <w:iCs/>
          <w:sz w:val="16"/>
          <w:szCs w:val="16"/>
        </w:rPr>
        <w:t>inkomstpension</w:t>
      </w:r>
      <w:r w:rsidRPr="00D06B1C">
        <w:rPr>
          <w:sz w:val="16"/>
          <w:szCs w:val="16"/>
        </w:rPr>
        <w:t xml:space="preserve">) et 2,5 % sur la </w:t>
      </w:r>
      <w:r w:rsidRPr="00D06B1C">
        <w:rPr>
          <w:i/>
          <w:iCs/>
          <w:sz w:val="16"/>
          <w:szCs w:val="16"/>
        </w:rPr>
        <w:t>Premiepension</w:t>
      </w:r>
      <w:r w:rsidRPr="00D06B1C">
        <w:rPr>
          <w:sz w:val="16"/>
          <w:szCs w:val="16"/>
        </w:rPr>
        <w:t xml:space="preserve"> capitalisée à comptes individuels, soit 18,5 % au total. Pour le détail des accords professionnels (ITP, SAF-LO, KAP-KL) : Collectum et Alecta, rapports 2024.</w:t>
      </w:r>
    </w:p>
  </w:footnote>
  <w:footnote w:id="118">
    <w:p w14:paraId="03B4956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la couverture du deuxième pilier néerlandais et la transition Pensioenwet 2023 : ministère néerlandais des Affaires sociales et de l’Emploi, </w:t>
      </w:r>
      <w:r w:rsidRPr="00D06B1C">
        <w:rPr>
          <w:i/>
          <w:iCs/>
          <w:sz w:val="16"/>
          <w:szCs w:val="16"/>
        </w:rPr>
        <w:t>De nieuwe pensioenwet</w:t>
      </w:r>
      <w:r w:rsidRPr="00D06B1C">
        <w:rPr>
          <w:sz w:val="16"/>
          <w:szCs w:val="16"/>
        </w:rPr>
        <w:t xml:space="preserve">, 2023 ; Bruno Palier, </w:t>
      </w:r>
      <w:r w:rsidRPr="00D06B1C">
        <w:rPr>
          <w:i/>
          <w:iCs/>
          <w:sz w:val="16"/>
          <w:szCs w:val="16"/>
        </w:rPr>
        <w:t>Réformer les retraites</w:t>
      </w:r>
      <w:r w:rsidRPr="00D06B1C">
        <w:rPr>
          <w:sz w:val="16"/>
          <w:szCs w:val="16"/>
        </w:rPr>
        <w:t xml:space="preserve">, Presses de Sciences Po, 2021, chap. 5. Le deuxième pilier néerlandais couvre environ 85 % des salariés du secteur privé via les fonds sectoriels obligatoires (ABP, PFZW, PMT, </w:t>
      </w:r>
      <w:r w:rsidRPr="00D06B1C">
        <w:rPr>
          <w:i/>
          <w:iCs/>
          <w:sz w:val="16"/>
          <w:szCs w:val="16"/>
        </w:rPr>
        <w:t>Bedrijfstakpensioenfondsen</w:t>
      </w:r>
      <w:r w:rsidRPr="00D06B1C">
        <w:rPr>
          <w:sz w:val="16"/>
          <w:szCs w:val="16"/>
        </w:rPr>
        <w:t>).</w:t>
      </w:r>
    </w:p>
  </w:footnote>
  <w:footnote w:id="119">
    <w:p w14:paraId="41D4402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Données comparatives Thinking Ahead Institute, </w:t>
      </w:r>
      <w:r w:rsidRPr="00D06B1C">
        <w:rPr>
          <w:i/>
          <w:iCs/>
          <w:sz w:val="16"/>
          <w:szCs w:val="16"/>
          <w:lang w:val="en-GB"/>
        </w:rPr>
        <w:t>Global Pension Assets Study 2025</w:t>
      </w:r>
      <w:r w:rsidRPr="00D06B1C">
        <w:rPr>
          <w:sz w:val="16"/>
          <w:szCs w:val="16"/>
          <w:lang w:val="en-GB"/>
        </w:rPr>
        <w:t xml:space="preserve">, 2025 (https://www.thinkingaheadinstitute.org/research-papers/global-pension-assets-study-2025/). </w:t>
      </w:r>
      <w:r w:rsidRPr="00D06B1C">
        <w:rPr>
          <w:sz w:val="16"/>
          <w:szCs w:val="16"/>
        </w:rPr>
        <w:t xml:space="preserve">Pour la </w:t>
      </w:r>
      <w:r w:rsidRPr="00D06B1C">
        <w:rPr>
          <w:i/>
          <w:iCs/>
          <w:sz w:val="16"/>
          <w:szCs w:val="16"/>
        </w:rPr>
        <w:t>Superannuation Guarantee</w:t>
      </w:r>
      <w:r w:rsidRPr="00D06B1C">
        <w:rPr>
          <w:sz w:val="16"/>
          <w:szCs w:val="16"/>
        </w:rPr>
        <w:t xml:space="preserve"> australienne : Australian Taxation Office, taux 11,5 % à compter du 1er juillet 2024, 12 % depuis le 1er juillet 2025.</w:t>
      </w:r>
    </w:p>
  </w:footnote>
  <w:footnote w:id="120">
    <w:p w14:paraId="06ADC05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Autorité de contrôle prudentiel et de résolution, </w:t>
      </w:r>
      <w:r w:rsidRPr="00D06B1C">
        <w:rPr>
          <w:i/>
          <w:iCs/>
          <w:sz w:val="16"/>
          <w:szCs w:val="16"/>
        </w:rPr>
        <w:t>Le marché de l’assurance-vie en 2024</w:t>
      </w:r>
      <w:r w:rsidRPr="00D06B1C">
        <w:rPr>
          <w:sz w:val="16"/>
          <w:szCs w:val="16"/>
        </w:rPr>
        <w:t>, analyse n°170, mars 2025 (https://acpr.banque-france.fr/fr/publications-et-statistiques/publications/ndeg-170-le-marche-de-lassurance-vie-en-2024). Total assurance-vie environ 1 989 Md€ fin 2024 ; 1 178 Md€ en provisions mathématiques des fonds euros individuels.</w:t>
      </w:r>
    </w:p>
  </w:footnote>
  <w:footnote w:id="121">
    <w:p w14:paraId="52B83E2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Allocation typique des fonds euros : environ 70 % d’obligations souveraines (dont une part majoritaire de dette française et zone euro), 15-20 % de corporate investment grade, 5-10 % d’immobilier, marginal en actions. Voir ACPR, </w:t>
      </w:r>
      <w:r w:rsidRPr="00D06B1C">
        <w:rPr>
          <w:i/>
          <w:iCs/>
          <w:sz w:val="16"/>
          <w:szCs w:val="16"/>
        </w:rPr>
        <w:t>Le marché de l’assurance-vie en 2024</w:t>
      </w:r>
      <w:r w:rsidRPr="00D06B1C">
        <w:rPr>
          <w:sz w:val="16"/>
          <w:szCs w:val="16"/>
        </w:rPr>
        <w:t>, n°170, mars 2025.</w:t>
      </w:r>
    </w:p>
  </w:footnote>
  <w:footnote w:id="122">
    <w:p w14:paraId="0134CCF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ACPR / Banque de France, </w:t>
      </w:r>
      <w:r w:rsidRPr="00D06B1C">
        <w:rPr>
          <w:i/>
          <w:iCs/>
          <w:sz w:val="16"/>
          <w:szCs w:val="16"/>
        </w:rPr>
        <w:t>Revalorisation 2024 des contrats d’assurance-vie et de capitalisation</w:t>
      </w:r>
      <w:r w:rsidRPr="00D06B1C">
        <w:rPr>
          <w:sz w:val="16"/>
          <w:szCs w:val="16"/>
        </w:rPr>
        <w:t>, analyse et synthèse n°175, août 2025 (https://acpr.banque-france.fr/system/files/2025-08/20250804_AS175_Revalorisation_contrats_assurance_vie_2024.pdf). Rendement brut moyen de 2,63 % pour les contrats individuels, avant prélèvements sociaux.</w:t>
      </w:r>
    </w:p>
  </w:footnote>
  <w:footnote w:id="123">
    <w:p w14:paraId="61A6CF3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Inflation France 2024 : 2,0 % (INSEE, indice des prix à la consommation, moyenne annuelle 2024). Avec 2,63 % brut, 17,2 % de prélèvements sociaux et une inflation de 2,0 %, le rendement réel net d’un fonds euros moyen ressort à environ 0,2 % en 2024. Sur la période 2014-2024, le rendement réel net cumulé reste proche de zéro pour les fonds euros moyens. Voir Banque de France, </w:t>
      </w:r>
      <w:r w:rsidRPr="00D06B1C">
        <w:rPr>
          <w:i/>
          <w:iCs/>
          <w:sz w:val="16"/>
          <w:szCs w:val="16"/>
        </w:rPr>
        <w:t>L’épargne réglementée</w:t>
      </w:r>
      <w:r w:rsidRPr="00D06B1C">
        <w:rPr>
          <w:sz w:val="16"/>
          <w:szCs w:val="16"/>
        </w:rPr>
        <w:t xml:space="preserve"> </w:t>
      </w:r>
      <w:r w:rsidRPr="00D06B1C">
        <w:rPr>
          <w:i/>
          <w:iCs/>
          <w:sz w:val="16"/>
          <w:szCs w:val="16"/>
        </w:rPr>
        <w:t>- Rapport annuel 2024</w:t>
      </w:r>
      <w:r w:rsidRPr="00D06B1C">
        <w:rPr>
          <w:sz w:val="16"/>
          <w:szCs w:val="16"/>
        </w:rPr>
        <w:t>, 2025.</w:t>
      </w:r>
    </w:p>
  </w:footnote>
  <w:footnote w:id="124">
    <w:p w14:paraId="5767EAB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Ministère de l’Économie, </w:t>
      </w:r>
      <w:r w:rsidRPr="00D06B1C">
        <w:rPr>
          <w:i/>
          <w:iCs/>
          <w:sz w:val="16"/>
          <w:szCs w:val="16"/>
        </w:rPr>
        <w:t>Épargne retraite : déploiement du PER, plus de 11 millions de titulaires et près de 119 milliards d’encours au troisième trimestre 2024</w:t>
      </w:r>
      <w:r w:rsidRPr="00D06B1C">
        <w:rPr>
          <w:sz w:val="16"/>
          <w:szCs w:val="16"/>
        </w:rPr>
        <w:t>, communiqué de presse, février 2025 (https://presse.economie.gouv.fr/epargne-retraite-deploiement-du-per-plus-de-11-millions-de-titulaires-et-pres-de-119-milliards-dencours-au-troisieme-trimestre-2024/). Décomposition : PER individuel 68,1 Md€, PER collectif d’entreprise 27,2 Md€, PER obligatoire 23,6 Md€.</w:t>
      </w:r>
    </w:p>
  </w:footnote>
  <w:footnote w:id="125">
    <w:p w14:paraId="48A33D5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Pour les comparaisons : APRA (Australie), </w:t>
      </w:r>
      <w:r w:rsidRPr="00D06B1C">
        <w:rPr>
          <w:i/>
          <w:iCs/>
          <w:sz w:val="16"/>
          <w:szCs w:val="16"/>
        </w:rPr>
        <w:t>Quarterly superannuation performance statistics</w:t>
      </w:r>
      <w:r w:rsidRPr="00D06B1C">
        <w:rPr>
          <w:sz w:val="16"/>
          <w:szCs w:val="16"/>
        </w:rPr>
        <w:t xml:space="preserve">, décembre 2024 - 4,2 trillions AUD d’actifs ; National Employment Savings Trust (Royaume-Uni), </w:t>
      </w:r>
      <w:r w:rsidRPr="00D06B1C">
        <w:rPr>
          <w:i/>
          <w:iCs/>
          <w:sz w:val="16"/>
          <w:szCs w:val="16"/>
        </w:rPr>
        <w:t>Annual Report and Accounts 2024-25</w:t>
      </w:r>
      <w:r w:rsidRPr="00D06B1C">
        <w:rPr>
          <w:sz w:val="16"/>
          <w:szCs w:val="16"/>
        </w:rPr>
        <w:t xml:space="preserve">, 13,8 M membres et 49,7 Md GBP d’actifs au 31 mars 2025 ; ABP (Pays-Bas), </w:t>
      </w:r>
      <w:r w:rsidRPr="00D06B1C">
        <w:rPr>
          <w:i/>
          <w:iCs/>
          <w:sz w:val="16"/>
          <w:szCs w:val="16"/>
        </w:rPr>
        <w:t>Annual Report 2024</w:t>
      </w:r>
      <w:r w:rsidRPr="00D06B1C">
        <w:rPr>
          <w:sz w:val="16"/>
          <w:szCs w:val="16"/>
        </w:rPr>
        <w:t>, 542 Md€ d’actifs (https://www.abp.nl).</w:t>
      </w:r>
    </w:p>
  </w:footnote>
  <w:footnote w:id="126">
    <w:p w14:paraId="3975704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Taux du Livret A abaissé à 1,5 % au 1er février 2026 (economie.gouv.fr, </w:t>
      </w:r>
      <w:r w:rsidRPr="00D06B1C">
        <w:rPr>
          <w:i/>
          <w:iCs/>
          <w:sz w:val="16"/>
          <w:szCs w:val="16"/>
        </w:rPr>
        <w:t>Épargne réglementée : de nouveaux taux au 1er février 2026</w:t>
      </w:r>
      <w:r w:rsidRPr="00D06B1C">
        <w:rPr>
          <w:sz w:val="16"/>
          <w:szCs w:val="16"/>
        </w:rPr>
        <w:t>). Au printemps 2026, l’inflation française repasse au-dessus de 2 % (INSEE : +2,2 % sur un an en avril 2026, en accélération), portant le rendement réel du Livret A en territoire négatif.</w:t>
      </w:r>
    </w:p>
  </w:footnote>
  <w:footnote w:id="127">
    <w:p w14:paraId="696016D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Le GPFG norvégien détient des participations dans environ 8 700 entreprises cotées à travers 70 pays (NBIM, </w:t>
      </w:r>
      <w:r w:rsidRPr="00D06B1C">
        <w:rPr>
          <w:i/>
          <w:iCs/>
          <w:sz w:val="16"/>
          <w:szCs w:val="16"/>
        </w:rPr>
        <w:t>Annual Report 2024</w:t>
      </w:r>
      <w:r w:rsidRPr="00D06B1C">
        <w:rPr>
          <w:sz w:val="16"/>
          <w:szCs w:val="16"/>
        </w:rPr>
        <w:t xml:space="preserve">, 2025). Les fonds publics et paritaires modernes détiennent typiquement plusieurs milliers de lignes individuelles, complétées par des fonds indiciels qui multiplient l’exposition diversifiée. Voir Thinking Ahead Institute, </w:t>
      </w:r>
      <w:r w:rsidRPr="00D06B1C">
        <w:rPr>
          <w:i/>
          <w:iCs/>
          <w:sz w:val="16"/>
          <w:szCs w:val="16"/>
        </w:rPr>
        <w:t>Global Pension Assets Study 2025</w:t>
      </w:r>
      <w:r w:rsidRPr="00D06B1C">
        <w:rPr>
          <w:sz w:val="16"/>
          <w:szCs w:val="16"/>
        </w:rPr>
        <w:t>, 2025, sur la diversification typique des grands fonds publics.</w:t>
      </w:r>
    </w:p>
  </w:footnote>
  <w:footnote w:id="128">
    <w:p w14:paraId="265872B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Cadre réglementaire de référence : De Nederlandsche Bank (Pays-Bas), funding ratio minimum 105 %, plan de redressement à dix ans en cas de dérive (https://www.dnb.nl/en/current-economic-issues/pensions/) ; The Pensions Regulator (Royaume-Uni, https://www.thepensionsregulator.gov.uk/) ; Australian Prudential Regulation Authority (Australie, https://www.apra.gov.au/industries/superannuation).</w:t>
      </w:r>
    </w:p>
  </w:footnote>
  <w:footnote w:id="129">
    <w:p w14:paraId="2A36D7EA"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AP7, </w:t>
      </w:r>
      <w:r w:rsidRPr="00D06B1C">
        <w:rPr>
          <w:i/>
          <w:iCs/>
          <w:sz w:val="16"/>
          <w:szCs w:val="16"/>
          <w:lang w:val="en-GB"/>
        </w:rPr>
        <w:t>Annual and Sustainability Report 2024</w:t>
      </w:r>
      <w:r w:rsidRPr="00D06B1C">
        <w:rPr>
          <w:sz w:val="16"/>
          <w:szCs w:val="16"/>
          <w:lang w:val="en-GB"/>
        </w:rPr>
        <w:t xml:space="preserve">, 2025 (https://www.ap7.se). Frais de gestion : 0,05 % pour AP7 Equity Fund, 0,04 % pour AP7 Fixed Income Fund. Pour la NBIM : Norges Bank Investment Management, </w:t>
      </w:r>
      <w:r w:rsidRPr="00D06B1C">
        <w:rPr>
          <w:i/>
          <w:iCs/>
          <w:sz w:val="16"/>
          <w:szCs w:val="16"/>
          <w:lang w:val="en-GB"/>
        </w:rPr>
        <w:t>Annual Report 2024</w:t>
      </w:r>
      <w:r w:rsidRPr="00D06B1C">
        <w:rPr>
          <w:sz w:val="16"/>
          <w:szCs w:val="16"/>
          <w:lang w:val="en-GB"/>
        </w:rPr>
        <w:t>, 2025 (https://www.nbim.no).</w:t>
      </w:r>
    </w:p>
  </w:footnote>
  <w:footnote w:id="130">
    <w:p w14:paraId="1505ED4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Première, « Les écarts d’espérance de vie entre cadres et ouvriers : 5 ans chez les hommes, 3 ans chez les femmes » (juillet 2024, conditions de mortalité 2020-2022). À 35 ans, l’espérance de vie des hommes cadres atteint 48,9 ans, contre 43,6 ans pour les ouvriers, soit un écart de 5,3 ans ; l’écart est de 3,4 ans chez les femmes.</w:t>
      </w:r>
    </w:p>
  </w:footnote>
  <w:footnote w:id="131">
    <w:p w14:paraId="1F6C51E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communiqué de presse « Pour ses vingt ans, le RAFP s’affirme comme un régime performant », 2024 (</w:t>
      </w:r>
      <w:hyperlink r:id="rId23">
        <w:r w:rsidRPr="00D06B1C">
          <w:rPr>
            <w:rStyle w:val="Hyperlink"/>
            <w:sz w:val="16"/>
            <w:szCs w:val="16"/>
          </w:rPr>
          <w:t>https://www.rafp.fr/en/actualites/presse/pour-ses-vingt-ans-regime-additionnel-fonction-publique-saffirme-comme-regime-performant</w:t>
        </w:r>
      </w:hyperlink>
      <w:r w:rsidRPr="00D06B1C">
        <w:rPr>
          <w:sz w:val="16"/>
          <w:szCs w:val="16"/>
        </w:rPr>
        <w:t>) ; rapport d’activité ERAFP 2024 (</w:t>
      </w:r>
      <w:hyperlink r:id="rId24">
        <w:r w:rsidRPr="00D06B1C">
          <w:rPr>
            <w:rStyle w:val="Hyperlink"/>
            <w:sz w:val="16"/>
            <w:szCs w:val="16"/>
          </w:rPr>
          <w:t>https://rafp-ra2024.fr/</w:t>
        </w:r>
      </w:hyperlink>
      <w:r w:rsidRPr="00D06B1C">
        <w:rPr>
          <w:sz w:val="16"/>
          <w:szCs w:val="16"/>
        </w:rPr>
        <w:t>). Encours total : 47,8 Md€ au 31/12/2024. TRI annualisé depuis l’inception (2005) : 4,3 % en valeur économique.</w:t>
      </w:r>
    </w:p>
  </w:footnote>
  <w:footnote w:id="132">
    <w:p w14:paraId="198FAD1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communiqué de presse « Pour ses vingt ans, le RAFP s’affirme comme un régime performant », 2024 (</w:t>
      </w:r>
      <w:hyperlink r:id="rId25">
        <w:r w:rsidRPr="00D06B1C">
          <w:rPr>
            <w:rStyle w:val="Hyperlink"/>
            <w:sz w:val="16"/>
            <w:szCs w:val="16"/>
          </w:rPr>
          <w:t>https://www.rafp.fr/en/actualites/presse/pour-ses-vingt-ans-regime-additionnel-fonction-publique-saffirme-comme-regime-performant</w:t>
        </w:r>
      </w:hyperlink>
      <w:r w:rsidRPr="00D06B1C">
        <w:rPr>
          <w:sz w:val="16"/>
          <w:szCs w:val="16"/>
        </w:rPr>
        <w:t>) ; rapport d’activité ERAFP 2024 (</w:t>
      </w:r>
      <w:hyperlink r:id="rId26">
        <w:r w:rsidRPr="00D06B1C">
          <w:rPr>
            <w:rStyle w:val="Hyperlink"/>
            <w:sz w:val="16"/>
            <w:szCs w:val="16"/>
          </w:rPr>
          <w:t>https://rafp-ra2024.fr/</w:t>
        </w:r>
      </w:hyperlink>
      <w:r w:rsidRPr="00D06B1C">
        <w:rPr>
          <w:sz w:val="16"/>
          <w:szCs w:val="16"/>
        </w:rPr>
        <w:t>). Encours total : 47,8 Md€ au 31/12/2024. TRI annualisé depuis l’inception (2005) : 4,3 % en valeur économique.</w:t>
      </w:r>
    </w:p>
  </w:footnote>
  <w:footnote w:id="133">
    <w:p w14:paraId="37F11E5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(Établissement de retraite additionnelle de la fonction publique), </w:t>
      </w:r>
      <w:r w:rsidRPr="00D06B1C">
        <w:rPr>
          <w:i/>
          <w:iCs/>
          <w:sz w:val="16"/>
          <w:szCs w:val="16"/>
        </w:rPr>
        <w:t>Public Report 2024</w:t>
      </w:r>
      <w:r w:rsidRPr="00D06B1C">
        <w:rPr>
          <w:sz w:val="16"/>
          <w:szCs w:val="16"/>
        </w:rPr>
        <w:t xml:space="preserve"> / Rapport public 2024, media.rafp.fr. Au 31 décembre 2024 : portefeuille de 47,8 Md€ ; 4,4 millions de cotisants actifs et 605 602 bénéficiaires ; cotisations encaissées de 2,25 Md€ en 2024 ; taux de rendement interne de 5,9 % en 2024 et de 4,3 % annualisé depuis l’origine ; taux de couverture des engagements de 117,3 % en valeur comptable et 135,8 % en valeur économique ; conseil d’administration de 19 membres à représentation paritaire (8 représentants des cotisants, 8 des employeurs publics, 3 personnalités qualifiées) ; frais de gestion de l’ordre de 0,18 % à 0,20 % de l’encours.</w:t>
      </w:r>
    </w:p>
  </w:footnote>
  <w:footnote w:id="134">
    <w:p w14:paraId="382572D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ERAFP (Établissement de retraite additionnelle de la fonction publique), </w:t>
      </w:r>
      <w:r w:rsidRPr="00D06B1C">
        <w:rPr>
          <w:i/>
          <w:iCs/>
          <w:sz w:val="16"/>
          <w:szCs w:val="16"/>
        </w:rPr>
        <w:t>Public Report 2024</w:t>
      </w:r>
      <w:r w:rsidRPr="00D06B1C">
        <w:rPr>
          <w:sz w:val="16"/>
          <w:szCs w:val="16"/>
        </w:rPr>
        <w:t xml:space="preserve"> / Rapport public 2024, media.rafp.fr. Au 31 décembre 2024 : portefeuille de 47,8 Md€ ; 4,4 millions de cotisants actifs et 605 602 bénéficiaires ; cotisations encaissées de 2,25 Md€ en 2024 ; taux de rendement interne de 5,9 % en 2024 et de 4,3 % annualisé depuis l’origine ; taux de couverture des engagements de 117,3 % en valeur comptable et 135,8 % en valeur économique ; conseil d’administration de 19 membres à représentation paritaire (8 représentants des cotisants, 8 des employeurs publics, 3 personnalités qualifiées) ; frais de gestion de l’ordre de 0,18 % à 0,20 % de l’encours.</w:t>
      </w:r>
    </w:p>
  </w:footnote>
  <w:footnote w:id="135">
    <w:p w14:paraId="0FB3019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Le RAFP est, depuis sa création, intégralement géré selon une charte d’investissement socialement responsable appliquée à 100 % de ses actifs — l’un des tout premiers fonds publics au monde dans ce cas. Source : ERAFP, </w:t>
      </w:r>
      <w:r w:rsidRPr="00D06B1C">
        <w:rPr>
          <w:i/>
          <w:iCs/>
          <w:sz w:val="16"/>
          <w:szCs w:val="16"/>
        </w:rPr>
        <w:t>Public Report 2024</w:t>
      </w:r>
      <w:r w:rsidRPr="00D06B1C">
        <w:rPr>
          <w:sz w:val="16"/>
          <w:szCs w:val="16"/>
        </w:rPr>
        <w:t xml:space="preserve"> (rafp.fr). Pour la genèse du régime (article 76 de la loi n° 2003-775 du 21 août 2003, assiette des cotisations, statut de « répartition provisionnée »), voir la section « La capitalisation existe déjà chez nous : le RAFP » de l’introduction et ses notes.</w:t>
      </w:r>
    </w:p>
  </w:footnote>
  <w:footnote w:id="136">
    <w:p w14:paraId="6150B7C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Salaire moyen brut en France : le salaire moyen en équivalent temps plein dans le secteur privé s’établit à environ 41 000 € par an (INSEE, </w:t>
      </w:r>
      <w:r w:rsidRPr="00D06B1C">
        <w:rPr>
          <w:i/>
          <w:iCs/>
          <w:sz w:val="16"/>
          <w:szCs w:val="16"/>
        </w:rPr>
        <w:t>Les salaires dans le secteur privé en 2024</w:t>
      </w:r>
      <w:r w:rsidRPr="00D06B1C">
        <w:rPr>
          <w:sz w:val="16"/>
          <w:szCs w:val="16"/>
        </w:rPr>
        <w:t>, oct. 2025 : 3 602 €/mois brut EQTP) ; le salaire médian brut est nettement plus bas, de l’ordre de 34 000 à 35 000 €. Le choix de 35 000 € pour le cas-type correspond donc à un salaire proche du médian. Hypothèses détaillées dans la modélisation accompagnant ce chapitre.</w:t>
      </w:r>
    </w:p>
  </w:footnote>
  <w:footnote w:id="137">
    <w:p w14:paraId="70A7106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Direction de la sécurité sociale, </w:t>
      </w:r>
      <w:r w:rsidRPr="00D06B1C">
        <w:rPr>
          <w:i/>
          <w:iCs/>
          <w:sz w:val="16"/>
          <w:szCs w:val="16"/>
        </w:rPr>
        <w:t>Compte de la protection sociale 2024</w:t>
      </w:r>
      <w:r w:rsidRPr="00D06B1C">
        <w:rPr>
          <w:sz w:val="16"/>
          <w:szCs w:val="16"/>
        </w:rPr>
        <w:t xml:space="preserve">, 2025. Cotisation vieillesse globale (régime général 16,9 % + AGIRC-ARRCO en moyenne 7,7 % + autres composantes) approximée à 28 % du brut. Hypothèse de croissance salariale réelle à 0,5 % par an : COR, </w:t>
      </w:r>
      <w:r w:rsidRPr="00D06B1C">
        <w:rPr>
          <w:i/>
          <w:iCs/>
          <w:sz w:val="16"/>
          <w:szCs w:val="16"/>
        </w:rPr>
        <w:t>Rapport annuel 2025</w:t>
      </w:r>
      <w:r w:rsidRPr="00D06B1C">
        <w:rPr>
          <w:sz w:val="16"/>
          <w:szCs w:val="16"/>
        </w:rPr>
        <w:t>, juin 2025, p. 42 (scénario médian 1 % de croissance de la masse salariale).</w:t>
      </w:r>
    </w:p>
  </w:footnote>
  <w:footnote w:id="138">
    <w:p w14:paraId="542E1C3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Taux de remplacement net retenu : 70 % du dernier salaire net, valeur de référence de l’OCDE (</w:t>
      </w:r>
      <w:r w:rsidRPr="00D06B1C">
        <w:rPr>
          <w:i/>
          <w:iCs/>
          <w:sz w:val="16"/>
          <w:szCs w:val="16"/>
        </w:rPr>
        <w:t>Pensions at a Glance 2025</w:t>
      </w:r>
      <w:r w:rsidRPr="00D06B1C">
        <w:rPr>
          <w:sz w:val="16"/>
          <w:szCs w:val="16"/>
        </w:rPr>
        <w:t>, Table 4.4) pour un salarié moyen français en carrière complète sous la législation en vigueur - soit la situation d’un actif entrant aujourd’hui sur le marché du travail, comme notre cas-type né en 1996. Ce choix est plus juste que le taux de la génération 1963 (de l’ordre de 74 %) : le COR projette une baisse continue du taux de remplacement au fil des générations (</w:t>
      </w:r>
      <w:r w:rsidRPr="00D06B1C">
        <w:rPr>
          <w:i/>
          <w:iCs/>
          <w:sz w:val="16"/>
          <w:szCs w:val="16"/>
        </w:rPr>
        <w:t>Évolutions et perspectives des retraites en France - Rapport annuel 2025</w:t>
      </w:r>
      <w:r w:rsidRPr="00D06B1C">
        <w:rPr>
          <w:sz w:val="16"/>
          <w:szCs w:val="16"/>
        </w:rPr>
        <w:t>, juin 2025), si bien que le né-1996 connaîtra un taux inférieur à celui des cohortes proches de la retraite. Retenir 70 % est donc une hypothèse plutôt prudente pour la répartition - et donc conservatrice pour le gain de la capitalisation.</w:t>
      </w:r>
    </w:p>
  </w:footnote>
  <w:footnote w:id="139">
    <w:p w14:paraId="07FD0BC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Départ à taux plein à 64 ans (âge légal après la réforme de 2023, carrière complète de 43 annuités). La durée de retraite retenue, 24 ans, correspond à l’espérance de vie résiduelle de cohorte projetée pour un actif né en 1996 partant vers 2060 (INSEE, projections de mortalité par génération, de l’ordre de 24 à 26 ans). À titre de repère, l’espérance de vie résiduelle period actuelle à 65 ans est d’environ 20 ans pour les hommes et 24 ans pour les femmes (cf. §1.1a). Cette durée de 24 ans, identique pour les scénarios A, B et C, rend les montants rigoureusement comparables entre eux.</w:t>
      </w:r>
    </w:p>
  </w:footnote>
  <w:footnote w:id="140">
    <w:p w14:paraId="11B981B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Hypothèse de frais de gestion : 0,30 % par an. À comparer aux 0,07 % d’AP7 (Suède, fonds par défaut public) et aux environ 0,25 % d’ABP (Pays-Bas). Voir AP7, </w:t>
      </w:r>
      <w:r w:rsidRPr="00D06B1C">
        <w:rPr>
          <w:i/>
          <w:iCs/>
          <w:sz w:val="16"/>
          <w:szCs w:val="16"/>
        </w:rPr>
        <w:t>Annual Report 2024</w:t>
      </w:r>
      <w:r w:rsidRPr="00D06B1C">
        <w:rPr>
          <w:sz w:val="16"/>
          <w:szCs w:val="16"/>
        </w:rPr>
        <w:t xml:space="preserve">, 2025 ; et ABP, </w:t>
      </w:r>
      <w:r w:rsidRPr="00D06B1C">
        <w:rPr>
          <w:i/>
          <w:iCs/>
          <w:sz w:val="16"/>
          <w:szCs w:val="16"/>
        </w:rPr>
        <w:t>Annual Report 2024</w:t>
      </w:r>
      <w:r w:rsidRPr="00D06B1C">
        <w:rPr>
          <w:sz w:val="16"/>
          <w:szCs w:val="16"/>
        </w:rPr>
        <w:t>, 2025. L’hypothèse retenue ici est délibérément prudente - elle conduit à un rendement réel net de 3,7 % au lieu de 4 % réel brut.</w:t>
      </w:r>
    </w:p>
  </w:footnote>
  <w:footnote w:id="141">
    <w:p w14:paraId="14B1708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Cohérence des ordres de grandeur avec la littérature publiée. Voir Bertrand Martinot, </w:t>
      </w:r>
      <w:r w:rsidRPr="00D06B1C">
        <w:rPr>
          <w:i/>
          <w:iCs/>
          <w:sz w:val="16"/>
          <w:szCs w:val="16"/>
        </w:rPr>
        <w:t xml:space="preserve">La capitalisation, un moyen de sortir par le haut de la crise des </w:t>
      </w:r>
      <w:proofErr w:type="gramStart"/>
      <w:r w:rsidRPr="00D06B1C">
        <w:rPr>
          <w:i/>
          <w:iCs/>
          <w:sz w:val="16"/>
          <w:szCs w:val="16"/>
        </w:rPr>
        <w:t>retraites ?</w:t>
      </w:r>
      <w:r w:rsidRPr="00D06B1C">
        <w:rPr>
          <w:sz w:val="16"/>
          <w:szCs w:val="16"/>
        </w:rPr>
        <w:t>,</w:t>
      </w:r>
      <w:proofErr w:type="gramEnd"/>
      <w:r w:rsidRPr="00D06B1C">
        <w:rPr>
          <w:sz w:val="16"/>
          <w:szCs w:val="16"/>
        </w:rPr>
        <w:t xml:space="preserve"> Fondapol, note n°252, octobre 2024 ; et Bertrand Martinot, Pierre Gravier, Romain Muret, </w:t>
      </w:r>
      <w:r w:rsidRPr="00D06B1C">
        <w:rPr>
          <w:i/>
          <w:iCs/>
          <w:sz w:val="16"/>
          <w:szCs w:val="16"/>
        </w:rPr>
        <w:t>Retraites : optimiser les dépenses, introduire une part de capitalisation</w:t>
      </w:r>
      <w:r w:rsidRPr="00D06B1C">
        <w:rPr>
          <w:sz w:val="16"/>
          <w:szCs w:val="16"/>
        </w:rPr>
        <w:t>, Fondapol, note n°260, mars 2025 (https://www.fondapol.org). Pour le scénario à 4 % de cotisation capitalisée, Martinot projette un capital d’environ 200 k€. Nos chiffres (capital de 216 k€, rente de 953 €/mois sur vingt-quatre ans dans le scénario B) sont du même ordre de grandeur, à hypothèses légèrement distinctes (5,6 % au lieu de 4 % de cotisation capitalisée).</w:t>
      </w:r>
    </w:p>
  </w:footnote>
  <w:footnote w:id="142">
    <w:p w14:paraId="7637470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Cumul de cotisations capitalisées en scénario B sur 43 ans, en euros constants 2026, croissance salariale 0,5 % par an : 1 960 € × </w:t>
      </w:r>
      <w:proofErr w:type="gramStart"/>
      <w:r w:rsidRPr="00D06B1C">
        <w:rPr>
          <w:sz w:val="16"/>
          <w:szCs w:val="16"/>
        </w:rPr>
        <w:t>Σ(1,005)^</w:t>
      </w:r>
      <w:proofErr w:type="gramEnd"/>
      <w:r w:rsidRPr="00D06B1C">
        <w:rPr>
          <w:sz w:val="16"/>
          <w:szCs w:val="16"/>
        </w:rPr>
        <w:t xml:space="preserve">k pour k allant de 0 à 42, soit environ 93 766 €. Modélisation détaillée dans </w:t>
      </w:r>
      <w:r w:rsidRPr="00D06B1C">
        <w:rPr>
          <w:i/>
          <w:iCs/>
          <w:sz w:val="16"/>
          <w:szCs w:val="16"/>
        </w:rPr>
        <w:t>Modélisation Ch. 2</w:t>
      </w:r>
      <w:r w:rsidRPr="00D06B1C">
        <w:rPr>
          <w:sz w:val="16"/>
          <w:szCs w:val="16"/>
        </w:rPr>
        <w:t xml:space="preserve"> </w:t>
      </w:r>
      <w:r w:rsidRPr="00D06B1C">
        <w:rPr>
          <w:i/>
          <w:iCs/>
          <w:sz w:val="16"/>
          <w:szCs w:val="16"/>
        </w:rPr>
        <w:t>- Capitalisons</w:t>
      </w:r>
      <w:r w:rsidRPr="00D06B1C">
        <w:rPr>
          <w:sz w:val="16"/>
          <w:szCs w:val="16"/>
        </w:rPr>
        <w:t>, fichier annexe ch2_rapport_modelisation.md, 2026.</w:t>
      </w:r>
    </w:p>
  </w:footnote>
  <w:footnote w:id="143">
    <w:p w14:paraId="41ACE32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Rendements de référence : GPFG 4,1 % réel net annualisé sur 1998-2024 (NBIM, </w:t>
      </w:r>
      <w:r w:rsidRPr="00D06B1C">
        <w:rPr>
          <w:i/>
          <w:iCs/>
          <w:sz w:val="16"/>
          <w:szCs w:val="16"/>
        </w:rPr>
        <w:t>Annual Report 2024</w:t>
      </w:r>
      <w:r w:rsidRPr="00D06B1C">
        <w:rPr>
          <w:sz w:val="16"/>
          <w:szCs w:val="16"/>
        </w:rPr>
        <w:t>) ; CPPIB 8,3 % net annualisé sur 10 ans au 31 mars 2025 (</w:t>
      </w:r>
      <w:r w:rsidRPr="00D06B1C">
        <w:rPr>
          <w:i/>
          <w:iCs/>
          <w:sz w:val="16"/>
          <w:szCs w:val="16"/>
        </w:rPr>
        <w:t>Fiscal 2025 Annual Report</w:t>
      </w:r>
      <w:r w:rsidRPr="00D06B1C">
        <w:rPr>
          <w:sz w:val="16"/>
          <w:szCs w:val="16"/>
        </w:rPr>
        <w:t>) ; AustralianSuper 7,94 % net annualisé sur 10 ans au 30 juin 2025 (</w:t>
      </w:r>
      <w:r w:rsidRPr="00D06B1C">
        <w:rPr>
          <w:i/>
          <w:iCs/>
          <w:sz w:val="16"/>
          <w:szCs w:val="16"/>
        </w:rPr>
        <w:t>Annual Report 2025</w:t>
      </w:r>
      <w:r w:rsidRPr="00D06B1C">
        <w:rPr>
          <w:sz w:val="16"/>
          <w:szCs w:val="16"/>
        </w:rPr>
        <w:t>) ; AP7 environ 14 % nominal annualisé depuis mai 2010 (sources European Pensions, AP7 officiel).</w:t>
      </w:r>
    </w:p>
  </w:footnote>
  <w:footnote w:id="144">
    <w:p w14:paraId="2092787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Taux de cotisation vieillesse (part salariale + patronale cumulées). France : environ 28 % du salaire brut, régime de base CNAV plus complémentaire AGIRC-ARRCO (Cleiss, </w:t>
      </w:r>
      <w:r w:rsidRPr="00D06B1C">
        <w:rPr>
          <w:i/>
          <w:iCs/>
          <w:sz w:val="16"/>
          <w:szCs w:val="16"/>
        </w:rPr>
        <w:t>Le régime français de sécurité sociale</w:t>
      </w:r>
      <w:r w:rsidRPr="00D06B1C">
        <w:rPr>
          <w:sz w:val="16"/>
          <w:szCs w:val="16"/>
        </w:rPr>
        <w:t>, 2025). Suède : 18,5 % pour le régime public d’assurance vieillesse (16 % à l’inkomstpension en répartition, 2,5 % à la premiepension capitalisée), soit environ 17,2 % du salaire brut, auxquels s’ajoutent les régimes de branche quasi obligatoires (tjänstepension, ~4,5 %), pour un total d’environ 22 % (Pensionsmyndigheten). Pays-Bas : premier pilier AOW et fonds de pension occupationnels obligatoires, total de l’ordre de 26 % du salaire. Australie : Superannuation Guarantee à 12 % (cotisation patronale, capitalisation) depuis le 1ᵉʳ juillet 2025, complétée par l’Age Pension publique financée par l’impôt (APRA / ATO).</w:t>
      </w:r>
    </w:p>
  </w:footnote>
  <w:footnote w:id="145">
    <w:p w14:paraId="2E24B41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Ordre de grandeur. L’assiette des cotisations vieillesse en France représente environ 1 350 Md€ (dépenses de retraite d’environ 380 Md€ rapportées au taux de cotisation d’environ 28 %). Un point de cotisation vaut donc de l’ordre de 13 à 14 Md€, et une réduction de trois points environ 40 Md€ par an - un ordre de grandeur comparable au budget annuel de la mission Défense (environ 50 Md€ hors pensions, PLF 2025). Une telle baisse ne serait envisageable qu’une fois le pilier capitalisé arrivé à maturité, soit trente à quarante ans après son démarrage.</w:t>
      </w:r>
    </w:p>
  </w:footnote>
  <w:footnote w:id="146">
    <w:p w14:paraId="511DB30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Bertrand Martinot, Philippe Gravier, Renan Muret, « Vers un système de retraite mixte : répartition et capitalisation », Fondation pour l’innovation politique (Fondapol), novembre 2025. Selon les scénarios, la baisse du taux de cotisation global atteindrait jusqu’à 4 points en 2070 (scénario « Face Nord ») et « dépasserait 6 points à long terme » ; le taux ne repasse sous son niveau actuel qu’à partir des années 2050, une première baisse (de l’ordre de 1 point, soit environ 7 Md€) pouvant intervenir dès la cinquième année. Voir aussi la note antérieure de B. Martinot pour la Fondapol, mars 2025.</w:t>
      </w:r>
    </w:p>
  </w:footnote>
  <w:footnote w:id="147">
    <w:p w14:paraId="7B6A7AE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(Conseil d’orientation des retraites), </w:t>
      </w:r>
      <w:r w:rsidRPr="00D06B1C">
        <w:rPr>
          <w:i/>
          <w:iCs/>
          <w:sz w:val="16"/>
          <w:szCs w:val="16"/>
        </w:rPr>
        <w:t>Rapport annuel 2025</w:t>
      </w:r>
      <w:r w:rsidRPr="00D06B1C">
        <w:rPr>
          <w:sz w:val="16"/>
          <w:szCs w:val="16"/>
        </w:rPr>
        <w:t>, juin 2025. Le rapport entre le nombre de cotisants et le nombre de retraités de droit direct passe de 1,8 en 2023 à environ 1,4 à l’horizon 2070 (scénario de référence). À titre de repère, la dépense de retraite y représente 13,9 % du PIB en 2024 (407 Md€) et 14,2 % en 2070 ; le solde du système passe de −0,1 % du PIB en 2024 à −1,4 % en 2070.</w:t>
      </w:r>
    </w:p>
  </w:footnote>
  <w:footnote w:id="148">
    <w:p w14:paraId="3EFA85F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NBIM, </w:t>
      </w:r>
      <w:r w:rsidRPr="00D06B1C">
        <w:rPr>
          <w:i/>
          <w:iCs/>
          <w:sz w:val="16"/>
          <w:szCs w:val="16"/>
          <w:lang w:val="en-GB"/>
        </w:rPr>
        <w:t>Annual Report 2024</w:t>
      </w:r>
      <w:r w:rsidRPr="00D06B1C">
        <w:rPr>
          <w:sz w:val="16"/>
          <w:szCs w:val="16"/>
          <w:lang w:val="en-GB"/>
        </w:rPr>
        <w:t xml:space="preserve">, 2025. Rendement 2024 : 13,1 % (record). </w:t>
      </w:r>
      <w:r w:rsidRPr="00D06B1C">
        <w:rPr>
          <w:sz w:val="16"/>
          <w:szCs w:val="16"/>
        </w:rPr>
        <w:t>Allocation : 71,4 % actions, 26,6 % obligations, 1,8 % immobilier, 0,1 % énergies renouvelables. Le rendement réel net 4,1 % est mesuré après inflation et frais sur l’ensemble de la période 1998-2024.</w:t>
      </w:r>
    </w:p>
  </w:footnote>
  <w:footnote w:id="149">
    <w:p w14:paraId="2BF2A45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Caisse de dépôt et placement du Québec, </w:t>
      </w:r>
      <w:r w:rsidRPr="00D06B1C">
        <w:rPr>
          <w:i/>
          <w:iCs/>
          <w:sz w:val="16"/>
          <w:szCs w:val="16"/>
        </w:rPr>
        <w:t>Rapport annuel 2024</w:t>
      </w:r>
      <w:r w:rsidRPr="00D06B1C">
        <w:rPr>
          <w:sz w:val="16"/>
          <w:szCs w:val="16"/>
        </w:rPr>
        <w:t>, 2025 (https://www.cdpq.com/en/performance/annual-reports/2024). Rendement 2024 : 9,4 % ; 5 ans : 6,2 % annualisé ; 10 ans : 7,1 % annualisé.</w:t>
      </w:r>
    </w:p>
  </w:footnote>
  <w:footnote w:id="150">
    <w:p w14:paraId="16981D6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AP-fonderna (Suède), </w:t>
      </w:r>
      <w:r w:rsidRPr="00D06B1C">
        <w:rPr>
          <w:i/>
          <w:iCs/>
          <w:sz w:val="16"/>
          <w:szCs w:val="16"/>
        </w:rPr>
        <w:t>Joint communiqué - résultats 2024</w:t>
      </w:r>
      <w:r w:rsidRPr="00D06B1C">
        <w:rPr>
          <w:sz w:val="16"/>
          <w:szCs w:val="16"/>
        </w:rPr>
        <w:t>, mars 2025 (https://www.ap3.se). Actifs combinés AP1-AP4 et AP6 : environ 2 100 milliards SEK fin 2024 ; rendement moyen annualisé 7,6 % sur 10 ans pour AP1-AP4.</w:t>
      </w:r>
    </w:p>
  </w:footnote>
  <w:footnote w:id="151">
    <w:p w14:paraId="64AD23A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CPP Investments, </w:t>
      </w:r>
      <w:r w:rsidRPr="00D06B1C">
        <w:rPr>
          <w:i/>
          <w:iCs/>
          <w:sz w:val="16"/>
          <w:szCs w:val="16"/>
          <w:lang w:val="en-GB"/>
        </w:rPr>
        <w:t>Fiscal 2025 Annual Report</w:t>
      </w:r>
      <w:r w:rsidRPr="00D06B1C">
        <w:rPr>
          <w:sz w:val="16"/>
          <w:szCs w:val="16"/>
          <w:lang w:val="en-GB"/>
        </w:rPr>
        <w:t xml:space="preserve">, 2025 (https://www.cppinvestments.com). </w:t>
      </w:r>
      <w:r w:rsidRPr="00D06B1C">
        <w:rPr>
          <w:sz w:val="16"/>
          <w:szCs w:val="16"/>
        </w:rPr>
        <w:t>Actifs : 714,4 Md CAD au 31 mars 2025 ; rendement net annualisé sur 10 ans : 8,3 %.</w:t>
      </w:r>
    </w:p>
  </w:footnote>
  <w:footnote w:id="152">
    <w:p w14:paraId="613CB33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European Pensions, </w:t>
      </w:r>
      <w:r w:rsidRPr="00D06B1C">
        <w:rPr>
          <w:i/>
          <w:iCs/>
          <w:sz w:val="16"/>
          <w:szCs w:val="16"/>
          <w:lang w:val="en-GB"/>
        </w:rPr>
        <w:t>Dutch pension fund ABP achieves 8.6 per cent investment return in 2024</w:t>
      </w:r>
      <w:r w:rsidRPr="00D06B1C">
        <w:rPr>
          <w:sz w:val="16"/>
          <w:szCs w:val="16"/>
          <w:lang w:val="en-GB"/>
        </w:rPr>
        <w:t xml:space="preserve">, 2025 (https://www.europeanpensions.net) et </w:t>
      </w:r>
      <w:r w:rsidRPr="00D06B1C">
        <w:rPr>
          <w:i/>
          <w:iCs/>
          <w:sz w:val="16"/>
          <w:szCs w:val="16"/>
          <w:lang w:val="en-GB"/>
        </w:rPr>
        <w:t>Dutch pension giants post solid 2024 returns despite bond market headwinds</w:t>
      </w:r>
      <w:r w:rsidRPr="00D06B1C">
        <w:rPr>
          <w:sz w:val="16"/>
          <w:szCs w:val="16"/>
          <w:lang w:val="en-GB"/>
        </w:rPr>
        <w:t xml:space="preserve">, 2025. </w:t>
      </w:r>
      <w:r w:rsidRPr="00D06B1C">
        <w:rPr>
          <w:sz w:val="16"/>
          <w:szCs w:val="16"/>
        </w:rPr>
        <w:t xml:space="preserve">Pour PFZW : </w:t>
      </w:r>
      <w:r w:rsidRPr="00D06B1C">
        <w:rPr>
          <w:i/>
          <w:iCs/>
          <w:sz w:val="16"/>
          <w:szCs w:val="16"/>
        </w:rPr>
        <w:t>Annual Report 2024</w:t>
      </w:r>
      <w:r w:rsidRPr="00D06B1C">
        <w:rPr>
          <w:sz w:val="16"/>
          <w:szCs w:val="16"/>
        </w:rPr>
        <w:t>, 8 % de rendement, 259 Md€ d’actifs, 2 949 600 affiliés au total fin 2024 (dont ~1,42 million de cotisants actifs et ~893 000 affiliés différés) (https://www.pfzw.nl).</w:t>
      </w:r>
    </w:p>
  </w:footnote>
  <w:footnote w:id="153">
    <w:p w14:paraId="70B391F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Industriens Pension, </w:t>
      </w:r>
      <w:r w:rsidRPr="00D06B1C">
        <w:rPr>
          <w:i/>
          <w:iCs/>
          <w:sz w:val="16"/>
          <w:szCs w:val="16"/>
        </w:rPr>
        <w:t>Annual Report 2024</w:t>
      </w:r>
      <w:r w:rsidRPr="00D06B1C">
        <w:rPr>
          <w:sz w:val="16"/>
          <w:szCs w:val="16"/>
        </w:rPr>
        <w:t>, 2025 (https://www.industrienspension.dk). Actifs : 255 Md DKK ; rendement 2024 : 6,3 % (équivalent à 14,4 Md DKK de profit) ; 447 000 membres.</w:t>
      </w:r>
    </w:p>
  </w:footnote>
  <w:footnote w:id="154">
    <w:p w14:paraId="33F3231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Mercer CFA Institute, </w:t>
      </w:r>
      <w:r w:rsidRPr="00D06B1C">
        <w:rPr>
          <w:i/>
          <w:iCs/>
          <w:sz w:val="16"/>
          <w:szCs w:val="16"/>
        </w:rPr>
        <w:t>Global Pension Index 2025</w:t>
      </w:r>
      <w:r w:rsidRPr="00D06B1C">
        <w:rPr>
          <w:sz w:val="16"/>
          <w:szCs w:val="16"/>
        </w:rPr>
        <w:t>, octobre 2025 (https://www.mercer.com/insights/investments/market-outlook-and-trends/mercer-cfa-global-pension-index/). Grade A : Pays-Bas, Islande, Danemark, Israël, Singapour. La France est en grade B avec un score global de 70,3 ; sous-indices : adéquation 85,2, viabilité 48,6, intégrité 76,8. Le sous-indice viabilité particulièrement faible révèle la fragilité du système à long terme.</w:t>
      </w:r>
    </w:p>
  </w:footnote>
  <w:footnote w:id="155">
    <w:p w14:paraId="11962750"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Department for Work and Pensions (Royaume-Uni), </w:t>
      </w:r>
      <w:r w:rsidRPr="00D06B1C">
        <w:rPr>
          <w:i/>
          <w:iCs/>
          <w:sz w:val="16"/>
          <w:szCs w:val="16"/>
          <w:lang w:val="en-GB"/>
        </w:rPr>
        <w:t>Workplace pensions: participation and savings trends 2024</w:t>
      </w:r>
      <w:r w:rsidRPr="00D06B1C">
        <w:rPr>
          <w:sz w:val="16"/>
          <w:szCs w:val="16"/>
          <w:lang w:val="en-GB"/>
        </w:rPr>
        <w:t xml:space="preserve">, 2024 (https://www.gov.uk). Taux de maintien dans l’auto-enrolment proche de 90 % depuis 2015 ; corroborated par DWP, </w:t>
      </w:r>
      <w:r w:rsidRPr="00D06B1C">
        <w:rPr>
          <w:i/>
          <w:iCs/>
          <w:sz w:val="16"/>
          <w:szCs w:val="16"/>
          <w:lang w:val="en-GB"/>
        </w:rPr>
        <w:t>Ten years of automatic enrolment in workplace pensions</w:t>
      </w:r>
      <w:r w:rsidRPr="00D06B1C">
        <w:rPr>
          <w:sz w:val="16"/>
          <w:szCs w:val="16"/>
          <w:lang w:val="en-GB"/>
        </w:rPr>
        <w:t>, 2022.</w:t>
      </w:r>
    </w:p>
  </w:footnote>
  <w:footnote w:id="156">
    <w:p w14:paraId="486EE88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NEST, </w:t>
      </w:r>
      <w:r w:rsidRPr="00D06B1C">
        <w:rPr>
          <w:i/>
          <w:iCs/>
          <w:sz w:val="16"/>
          <w:szCs w:val="16"/>
          <w:lang w:val="en-GB"/>
        </w:rPr>
        <w:t>Annual Report and Accounts 2024-25</w:t>
      </w:r>
      <w:r w:rsidRPr="00D06B1C">
        <w:rPr>
          <w:sz w:val="16"/>
          <w:szCs w:val="16"/>
          <w:lang w:val="en-GB"/>
        </w:rPr>
        <w:t xml:space="preserve">, 2025 (https://www.nestpensions.org.uk). </w:t>
      </w:r>
      <w:r w:rsidRPr="00D06B1C">
        <w:rPr>
          <w:sz w:val="16"/>
          <w:szCs w:val="16"/>
        </w:rPr>
        <w:t>Actifs : 49,7 Md GBP au 31 mars 2025 ; membres : 13,8 M ; contributions mensuelles moyennes : 663 M GBP ; rendement du fonds 2045 par défaut : 9,9 % annualisés sur cinq ans.</w:t>
      </w:r>
    </w:p>
  </w:footnote>
  <w:footnote w:id="157">
    <w:p w14:paraId="61DA586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APRA, </w:t>
      </w:r>
      <w:r w:rsidRPr="00D06B1C">
        <w:rPr>
          <w:i/>
          <w:iCs/>
          <w:sz w:val="16"/>
          <w:szCs w:val="16"/>
        </w:rPr>
        <w:t>Quarterly superannuation performance statistics</w:t>
      </w:r>
      <w:r w:rsidRPr="00D06B1C">
        <w:rPr>
          <w:sz w:val="16"/>
          <w:szCs w:val="16"/>
        </w:rPr>
        <w:t xml:space="preserve">, T4 2024, 2025 (https://www.apra.gov.au/industries/superannuation). Actifs totaux </w:t>
      </w:r>
      <w:r w:rsidRPr="00D06B1C">
        <w:rPr>
          <w:i/>
          <w:iCs/>
          <w:sz w:val="16"/>
          <w:szCs w:val="16"/>
        </w:rPr>
        <w:t>Superannuation</w:t>
      </w:r>
      <w:r w:rsidRPr="00D06B1C">
        <w:rPr>
          <w:sz w:val="16"/>
          <w:szCs w:val="16"/>
        </w:rPr>
        <w:t xml:space="preserve"> : 4,2 trillions AUD fin 2024 ; environ 16 millions de comptes actifs. Pour la trajectoire historique de la </w:t>
      </w:r>
      <w:r w:rsidRPr="00D06B1C">
        <w:rPr>
          <w:i/>
          <w:iCs/>
          <w:sz w:val="16"/>
          <w:szCs w:val="16"/>
        </w:rPr>
        <w:t>Superannuation Guarantee</w:t>
      </w:r>
      <w:r w:rsidRPr="00D06B1C">
        <w:rPr>
          <w:sz w:val="16"/>
          <w:szCs w:val="16"/>
        </w:rPr>
        <w:t xml:space="preserve"> (3 % en 1992 à 12 % en 2025) : Australian Government, </w:t>
      </w:r>
      <w:r w:rsidRPr="00D06B1C">
        <w:rPr>
          <w:i/>
          <w:iCs/>
          <w:sz w:val="16"/>
          <w:szCs w:val="16"/>
        </w:rPr>
        <w:t>Superannuation Guarantee</w:t>
      </w:r>
      <w:r w:rsidRPr="00D06B1C">
        <w:rPr>
          <w:sz w:val="16"/>
          <w:szCs w:val="16"/>
        </w:rPr>
        <w:t>, données historiques 2024-2025.</w:t>
      </w:r>
    </w:p>
  </w:footnote>
  <w:footnote w:id="158">
    <w:p w14:paraId="107F5D5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AustralianSuper, </w:t>
      </w:r>
      <w:r w:rsidRPr="00D06B1C">
        <w:rPr>
          <w:i/>
          <w:iCs/>
          <w:sz w:val="16"/>
          <w:szCs w:val="16"/>
          <w:lang w:val="en-GB"/>
        </w:rPr>
        <w:t>Annual Report 2025</w:t>
      </w:r>
      <w:r w:rsidRPr="00D06B1C">
        <w:rPr>
          <w:sz w:val="16"/>
          <w:szCs w:val="16"/>
          <w:lang w:val="en-GB"/>
        </w:rPr>
        <w:t xml:space="preserve">, 2025 (https://www.australiansuper.com). </w:t>
      </w:r>
      <w:r w:rsidRPr="00D06B1C">
        <w:rPr>
          <w:sz w:val="16"/>
          <w:szCs w:val="16"/>
        </w:rPr>
        <w:t xml:space="preserve">Rendement Balanced Option net de frais : 7,94 % sur 10 ans au 30 juin 2025. Pour KiwiSaver : Financial Markets Authority, </w:t>
      </w:r>
      <w:r w:rsidRPr="00D06B1C">
        <w:rPr>
          <w:i/>
          <w:iCs/>
          <w:sz w:val="16"/>
          <w:szCs w:val="16"/>
        </w:rPr>
        <w:t>KiwiSaver Annual Report 2024</w:t>
      </w:r>
      <w:r w:rsidRPr="00D06B1C">
        <w:rPr>
          <w:sz w:val="16"/>
          <w:szCs w:val="16"/>
        </w:rPr>
        <w:t>, et Retirement Commission Te Ara Ahunga Ora, données 2024-2025 (https://retirement.govt.nz) : plus de 3 millions de membres ; environ 80 % de la population en emploi y cotise (et près de 90 % des salariés éligibles).</w:t>
      </w:r>
    </w:p>
  </w:footnote>
  <w:footnote w:id="159">
    <w:p w14:paraId="012B886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la robustesse des piliers capitalisés matures (Suède, Royaume-Uni, Pays-Bas, Australie, Canada), voir Bruno Palier, </w:t>
      </w:r>
      <w:r w:rsidRPr="00D06B1C">
        <w:rPr>
          <w:i/>
          <w:iCs/>
          <w:sz w:val="16"/>
          <w:szCs w:val="16"/>
        </w:rPr>
        <w:t>Réformer les retraites</w:t>
      </w:r>
      <w:r w:rsidRPr="00D06B1C">
        <w:rPr>
          <w:sz w:val="16"/>
          <w:szCs w:val="16"/>
        </w:rPr>
        <w:t xml:space="preserve">, Presses de Sciences Po, 2021 ; et Conseil d’orientation des retraites, fiches comparatives par pays publiées entre 2017 et 2023 (https://www.cor-retraites.fr) : les ajustements paramétriques (ratio cible, allocation par défaut, plafonds de frais) y sont fréquents, mais le retour au monopilier répartition n’y est jamais survenu. Les seules réversions concernent les régimes par </w:t>
      </w:r>
      <w:r w:rsidRPr="00D06B1C">
        <w:rPr>
          <w:i/>
          <w:iCs/>
          <w:sz w:val="16"/>
          <w:szCs w:val="16"/>
        </w:rPr>
        <w:t>carve-out</w:t>
      </w:r>
      <w:r w:rsidRPr="00D06B1C">
        <w:rPr>
          <w:sz w:val="16"/>
          <w:szCs w:val="16"/>
        </w:rPr>
        <w:t xml:space="preserve"> d’Europe centrale : Hongrie (renationalisation de fait du deuxième pilier obligatoire, 2010-2011 ; voir A. Simonovits, « The mandatory private pension pillar in Hungary: an obituary », </w:t>
      </w:r>
      <w:r w:rsidRPr="00D06B1C">
        <w:rPr>
          <w:i/>
          <w:iCs/>
          <w:sz w:val="16"/>
          <w:szCs w:val="16"/>
        </w:rPr>
        <w:t>International Social Security Review</w:t>
      </w:r>
      <w:r w:rsidRPr="00D06B1C">
        <w:rPr>
          <w:sz w:val="16"/>
          <w:szCs w:val="16"/>
        </w:rPr>
        <w:t xml:space="preserve">, 2011), Pologne (transfert de la poche obligataire des OFE à l’État et passage au volontariat, 2013-2014), avec des réductions analogues en Lettonie, Slovaquie et Roumanie (voir E. Fultz, « The retrenchment of second-tier pensions in Hungary and Poland », </w:t>
      </w:r>
      <w:r w:rsidRPr="00D06B1C">
        <w:rPr>
          <w:i/>
          <w:iCs/>
          <w:sz w:val="16"/>
          <w:szCs w:val="16"/>
        </w:rPr>
        <w:t>International Social Security Review</w:t>
      </w:r>
      <w:r w:rsidRPr="00D06B1C">
        <w:rPr>
          <w:sz w:val="16"/>
          <w:szCs w:val="16"/>
        </w:rPr>
        <w:t>, 2012). Ces régimes finançaient le pilier capitalisé en détournant des cotisations de répartition, sans ressource nouvelle - un schéma distinct de l’adjonction d’un étage financé étudiée dans ce livre.</w:t>
      </w:r>
    </w:p>
  </w:footnote>
  <w:footnote w:id="160">
    <w:p w14:paraId="7E1B9B3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Comptes nationaux trimestriels</w:t>
      </w:r>
      <w:r w:rsidRPr="00D06B1C">
        <w:rPr>
          <w:sz w:val="16"/>
          <w:szCs w:val="16"/>
        </w:rPr>
        <w:t xml:space="preserve"> </w:t>
      </w:r>
      <w:r w:rsidRPr="00D06B1C">
        <w:rPr>
          <w:i/>
          <w:iCs/>
          <w:sz w:val="16"/>
          <w:szCs w:val="16"/>
        </w:rPr>
        <w:t>- T2 2025</w:t>
      </w:r>
      <w:r w:rsidRPr="00D06B1C">
        <w:rPr>
          <w:sz w:val="16"/>
          <w:szCs w:val="16"/>
        </w:rPr>
        <w:t xml:space="preserve">, septembre 2025. Le taux d’épargne brute des ménages a atteint 18,9 % du revenu disponible au deuxième trimestre 2025, un record depuis les années 1970 hors épisode covid. Voir aussi Banque de France, </w:t>
      </w:r>
      <w:r w:rsidRPr="00D06B1C">
        <w:rPr>
          <w:i/>
          <w:iCs/>
          <w:sz w:val="16"/>
          <w:szCs w:val="16"/>
        </w:rPr>
        <w:t>Épargne des ménages</w:t>
      </w:r>
      <w:r w:rsidRPr="00D06B1C">
        <w:rPr>
          <w:sz w:val="16"/>
          <w:szCs w:val="16"/>
        </w:rPr>
        <w:t xml:space="preserve"> </w:t>
      </w:r>
      <w:r w:rsidRPr="00D06B1C">
        <w:rPr>
          <w:i/>
          <w:iCs/>
          <w:sz w:val="16"/>
          <w:szCs w:val="16"/>
        </w:rPr>
        <w:t>- T4 2024</w:t>
      </w:r>
      <w:r w:rsidRPr="00D06B1C">
        <w:rPr>
          <w:sz w:val="16"/>
          <w:szCs w:val="16"/>
        </w:rPr>
        <w:t>, mars 2025. Le taux moyen annuel 2024 s’établit à 18,2 % (INSEE, comptes nationaux annuels), contre 15,3 % pour la moyenne de la zone euro (Eurostat).</w:t>
      </w:r>
    </w:p>
  </w:footnote>
  <w:footnote w:id="161">
    <w:p w14:paraId="041DC29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Cible 25 ans : 50 % du PIB, soit environ 1 500 Md€ pour un PIB français de ~3 000 Md€. Cible 50 ans (régime stationnaire) : ~100 % du PIB, soit ~3 000 Md€ - au-dessus de la moyenne des vingt-deux plus grands marchés de pension (~76 % du PIB en 2024) mais en deçà des leaders. Source : OCDE, </w:t>
      </w:r>
      <w:r w:rsidRPr="00D06B1C">
        <w:rPr>
          <w:i/>
          <w:iCs/>
          <w:sz w:val="16"/>
          <w:szCs w:val="16"/>
        </w:rPr>
        <w:t>Pension Markets in Focus 2025</w:t>
      </w:r>
      <w:r w:rsidRPr="00D06B1C">
        <w:rPr>
          <w:sz w:val="16"/>
          <w:szCs w:val="16"/>
        </w:rPr>
        <w:t xml:space="preserve"> (cf. note [^7]). Voir aussi Institut Montaigne, </w:t>
      </w:r>
      <w:r w:rsidRPr="00D06B1C">
        <w:rPr>
          <w:i/>
          <w:iCs/>
          <w:sz w:val="16"/>
          <w:szCs w:val="16"/>
        </w:rPr>
        <w:t>Les fonds de pension et le financement du long terme en France</w:t>
      </w:r>
      <w:r w:rsidRPr="00D06B1C">
        <w:rPr>
          <w:sz w:val="16"/>
          <w:szCs w:val="16"/>
        </w:rPr>
        <w:t>, 2024. À titre de comparaison (actifs de pension / PIB, fin 2024) : Danemark ~204 %, Suisse ~165 %, Canada ~158 %, Pays-Bas ~150 %, États-Unis ~147 %, Australie ~135 %, Suède ~115 %, Royaume-Uni ~78 % ; France actuelle ~13 %.</w:t>
      </w:r>
    </w:p>
  </w:footnote>
  <w:footnote w:id="162">
    <w:p w14:paraId="04BE7EE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de France, </w:t>
      </w:r>
      <w:r w:rsidRPr="00D06B1C">
        <w:rPr>
          <w:i/>
          <w:iCs/>
          <w:sz w:val="16"/>
          <w:szCs w:val="16"/>
        </w:rPr>
        <w:t>Épargne des ménages</w:t>
      </w:r>
      <w:r w:rsidRPr="00D06B1C">
        <w:rPr>
          <w:sz w:val="16"/>
          <w:szCs w:val="16"/>
        </w:rPr>
        <w:t xml:space="preserve"> </w:t>
      </w:r>
      <w:r w:rsidRPr="00D06B1C">
        <w:rPr>
          <w:i/>
          <w:iCs/>
          <w:sz w:val="16"/>
          <w:szCs w:val="16"/>
        </w:rPr>
        <w:t>- Statistiques T4 2024</w:t>
      </w:r>
      <w:r w:rsidRPr="00D06B1C">
        <w:rPr>
          <w:sz w:val="16"/>
          <w:szCs w:val="16"/>
        </w:rPr>
        <w:t>, mars 2025 (https://www.banque-france.fr/fr/statistiques/epargne/epargne-des-menages-2024-q4). Le patrimoine financier brut s’élève à 6 356,4 Md€ fin 2024 ; les flux nets de l’année représentent +112,8 Md€.</w:t>
      </w:r>
    </w:p>
  </w:footnote>
  <w:footnote w:id="163">
    <w:p w14:paraId="1B176DA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ACPR, </w:t>
      </w:r>
      <w:r w:rsidRPr="00D06B1C">
        <w:rPr>
          <w:i/>
          <w:iCs/>
          <w:sz w:val="16"/>
          <w:szCs w:val="16"/>
        </w:rPr>
        <w:t>Le marché de l’assurance-vie en 2024</w:t>
      </w:r>
      <w:r w:rsidRPr="00D06B1C">
        <w:rPr>
          <w:sz w:val="16"/>
          <w:szCs w:val="16"/>
        </w:rPr>
        <w:t>, analyse et synthèse n°170, mars 2025 (https://acpr.banque-france.fr/system/files/2025-03/20250327_AS170_assurance_vie_2024.pdf). Encours total assurance-vie 1 988,8 Md€ ; provisions mathématiques fonds euros individuels 1 178 Md€ ; reste en unités de compte et fonds euros collectifs.</w:t>
      </w:r>
    </w:p>
  </w:footnote>
  <w:footnote w:id="164">
    <w:p w14:paraId="6CD5DA8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Décomposition Banque de France et AFG (Association française de la gestion financière), </w:t>
      </w:r>
      <w:r w:rsidRPr="00D06B1C">
        <w:rPr>
          <w:i/>
          <w:iCs/>
          <w:sz w:val="16"/>
          <w:szCs w:val="16"/>
        </w:rPr>
        <w:t>Indice de performance de l’épargne financière des ménages français</w:t>
      </w:r>
      <w:r w:rsidRPr="00D06B1C">
        <w:rPr>
          <w:sz w:val="16"/>
          <w:szCs w:val="16"/>
        </w:rPr>
        <w:t>, T4 2024. Détail : dépôts à vue ~2 100 Md€, assurance-vie 1 988 Md€, actions et OPC actions ~1 715 Md€, livrets réglementés (Livret A + LDDS + LEP) 695 Md€ début 2026, PEA 114 Md€, PER 119 Md€, épargne logement et autres ~270 Md€.</w:t>
      </w:r>
    </w:p>
  </w:footnote>
  <w:footnote w:id="165">
    <w:p w14:paraId="632C945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ACPR, </w:t>
      </w:r>
      <w:r w:rsidRPr="00D06B1C">
        <w:rPr>
          <w:i/>
          <w:iCs/>
          <w:sz w:val="16"/>
          <w:szCs w:val="16"/>
        </w:rPr>
        <w:t>Revalorisation 2024 des contrats d’assurance-vie et de capitalisation</w:t>
      </w:r>
      <w:r w:rsidRPr="00D06B1C">
        <w:rPr>
          <w:sz w:val="16"/>
          <w:szCs w:val="16"/>
        </w:rPr>
        <w:t>, analyse et synthèse n°175, août 2025 (https://acpr.banque-france.fr/system/files/2025-08/20250804_AS175_Revalorisation_contrats_assurance_vie_2024.pdf). Rendement brut moyen 2,63 % pour les contrats individuels en 2024.</w:t>
      </w:r>
    </w:p>
  </w:footnote>
  <w:footnote w:id="166">
    <w:p w14:paraId="404331F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Assureurs, </w:t>
      </w:r>
      <w:r w:rsidRPr="00D06B1C">
        <w:rPr>
          <w:i/>
          <w:iCs/>
          <w:sz w:val="16"/>
          <w:szCs w:val="16"/>
        </w:rPr>
        <w:t>Bilan 2024 du marché de l’assurance-vie</w:t>
      </w:r>
      <w:r w:rsidRPr="00D06B1C">
        <w:rPr>
          <w:sz w:val="16"/>
          <w:szCs w:val="16"/>
        </w:rPr>
        <w:t>, communiqué du 31 janvier 2025 (https://www.franceassureurs.fr/espace-presse/les-communiques-de-presse/assurance-vie-attractivite-2024/). Primes brutes 2024 : 61,8 % vers les supports en euros, 38,2 % vers les unités de compte. Collecte nette 2024 : −5,0 Md€ sur les fonds euros (première décollecte nette annuelle de la décennie), +34,4 Md€ sur les unités de compte, soit une collecte nette totale de +29,4 Md€. Les encours fin 2024 demeurent dominés par les fonds euros (1 178 Md€ d’encours individuels selon ACPR AS170/AS175 contre environ 825 Md€ en unités de compte).</w:t>
      </w:r>
    </w:p>
  </w:footnote>
  <w:footnote w:id="167">
    <w:p w14:paraId="6CE05CD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Données historiques composites : indice MSCI World en euros (rendement total réinvesti), indices obligataires Bloomberg Euro Aggregate et rendement annuel moyen pondéré des fonds euros publié par France Assureurs. Voir aussi BNP Paribas Wealth Management, </w:t>
      </w:r>
      <w:r w:rsidRPr="00D06B1C">
        <w:rPr>
          <w:i/>
          <w:iCs/>
          <w:sz w:val="16"/>
          <w:szCs w:val="16"/>
        </w:rPr>
        <w:t>Rendements long-terme attendus par classe d’actifs</w:t>
      </w:r>
      <w:r w:rsidRPr="00D06B1C">
        <w:rPr>
          <w:sz w:val="16"/>
          <w:szCs w:val="16"/>
        </w:rPr>
        <w:t>, novembre 2023.</w:t>
      </w:r>
    </w:p>
  </w:footnote>
  <w:footnote w:id="168">
    <w:p w14:paraId="76579AD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ACPR, </w:t>
      </w:r>
      <w:r w:rsidRPr="00D06B1C">
        <w:rPr>
          <w:i/>
          <w:iCs/>
          <w:sz w:val="16"/>
          <w:szCs w:val="16"/>
        </w:rPr>
        <w:t>Le marché de l’assurance-vie en 2024</w:t>
      </w:r>
      <w:r w:rsidRPr="00D06B1C">
        <w:rPr>
          <w:sz w:val="16"/>
          <w:szCs w:val="16"/>
        </w:rPr>
        <w:t>, n°170, mars 2025. Allocation typique des fonds euros : 35-45 % en obligations souveraines, 15-25 % en obligations corporate investment grade, 5-15 % en immobilier et diversification, exposition marginale aux actions cotées.</w:t>
      </w:r>
    </w:p>
  </w:footnote>
  <w:footnote w:id="169">
    <w:p w14:paraId="19DB52F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Cercle de l’Épargne, </w:t>
      </w:r>
      <w:r w:rsidRPr="00D06B1C">
        <w:rPr>
          <w:i/>
          <w:iCs/>
          <w:sz w:val="16"/>
          <w:szCs w:val="16"/>
        </w:rPr>
        <w:t>Le Livret A : 200 ans d’histoire bien remplie</w:t>
      </w:r>
      <w:r w:rsidRPr="00D06B1C">
        <w:rPr>
          <w:sz w:val="16"/>
          <w:szCs w:val="16"/>
        </w:rPr>
        <w:t>, dossier mars 2018. La caisse d’épargne et de prévoyance fondée le 22 mai 1818 est officialisée par l’ordonnance royale du 29 juillet 1818.</w:t>
      </w:r>
    </w:p>
  </w:footnote>
  <w:footnote w:id="170">
    <w:p w14:paraId="0E0A9E2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Elroy Dimson, Paul Marsh, Mike Staunton, </w:t>
      </w:r>
      <w:r w:rsidRPr="00D06B1C">
        <w:rPr>
          <w:i/>
          <w:iCs/>
          <w:sz w:val="16"/>
          <w:szCs w:val="16"/>
          <w:lang w:val="en-GB"/>
        </w:rPr>
        <w:t>Global Investment Returns Yearbook 2025</w:t>
      </w:r>
      <w:r w:rsidRPr="00D06B1C">
        <w:rPr>
          <w:sz w:val="16"/>
          <w:szCs w:val="16"/>
          <w:lang w:val="en-GB"/>
        </w:rPr>
        <w:t xml:space="preserve">, UBS Investment Bank et London Business School, 2025. </w:t>
      </w:r>
      <w:r w:rsidRPr="00D06B1C">
        <w:rPr>
          <w:sz w:val="16"/>
          <w:szCs w:val="16"/>
        </w:rPr>
        <w:t>Rendements réels mondiaux annualisés 1900-2024 : actions 5,2 %, obligations 1,7 %, bons du Trésor 0,5 %. La probabilité de perte réelle décroît rapidement avec l’horizon : 30 % à 1 an, &lt; 5 % à 20 ans pour un portefeuille diversifié.</w:t>
      </w:r>
    </w:p>
  </w:footnote>
  <w:footnote w:id="171">
    <w:p w14:paraId="48612E0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mondiale, </w:t>
      </w:r>
      <w:r w:rsidRPr="00D06B1C">
        <w:rPr>
          <w:i/>
          <w:iCs/>
          <w:sz w:val="16"/>
          <w:szCs w:val="16"/>
        </w:rPr>
        <w:t>Market capitalization of listed domestic companies (% of GDP)</w:t>
      </w:r>
      <w:r w:rsidRPr="00D06B1C">
        <w:rPr>
          <w:sz w:val="16"/>
          <w:szCs w:val="16"/>
        </w:rPr>
        <w:t xml:space="preserve">, indicateur CM.MKT.LCAP.GD.ZS, données 2023 actualisées 2024 ; OCDE, </w:t>
      </w:r>
      <w:r w:rsidRPr="00D06B1C">
        <w:rPr>
          <w:i/>
          <w:iCs/>
          <w:sz w:val="16"/>
          <w:szCs w:val="16"/>
        </w:rPr>
        <w:t>Panorama de la gouvernance d’entreprise 2025</w:t>
      </w:r>
      <w:r w:rsidRPr="00D06B1C">
        <w:rPr>
          <w:sz w:val="16"/>
          <w:szCs w:val="16"/>
        </w:rPr>
        <w:t>. Les ratios oscillent fortement avec les valorisations annuelles - la fourchette 103-124 % pour la France 2024 reflète cette amplitude. Aux Pays-Bas, la capitalisation rapportée au PIB dépasse régulièrement 200 %.</w:t>
      </w:r>
    </w:p>
  </w:footnote>
  <w:footnote w:id="172">
    <w:p w14:paraId="532ECA4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EY, </w:t>
      </w:r>
      <w:r w:rsidRPr="00D06B1C">
        <w:rPr>
          <w:i/>
          <w:iCs/>
          <w:sz w:val="16"/>
          <w:szCs w:val="16"/>
        </w:rPr>
        <w:t>Observatoire des opérations de marché 2024-2025</w:t>
      </w:r>
      <w:r w:rsidRPr="00D06B1C">
        <w:rPr>
          <w:sz w:val="16"/>
          <w:szCs w:val="16"/>
        </w:rPr>
        <w:t xml:space="preserve">, février 2025 ; Euronext, </w:t>
      </w:r>
      <w:r w:rsidRPr="00D06B1C">
        <w:rPr>
          <w:i/>
          <w:iCs/>
          <w:sz w:val="16"/>
          <w:szCs w:val="16"/>
        </w:rPr>
        <w:t>Annual Statistics 2024-2025</w:t>
      </w:r>
      <w:r w:rsidRPr="00D06B1C">
        <w:rPr>
          <w:sz w:val="16"/>
          <w:szCs w:val="16"/>
        </w:rPr>
        <w:t>. Le décompte 2024 inclut les transferts depuis Euronext Access et les introductions d’Euronext Growth (32 sur 47).</w:t>
      </w:r>
    </w:p>
  </w:footnote>
  <w:footnote w:id="173">
    <w:p w14:paraId="451317E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Vivendi, </w:t>
      </w:r>
      <w:r w:rsidRPr="00D06B1C">
        <w:rPr>
          <w:i/>
          <w:iCs/>
          <w:sz w:val="16"/>
          <w:szCs w:val="16"/>
        </w:rPr>
        <w:t>Communiqué sur l’approbation du projet de scission</w:t>
      </w:r>
      <w:r w:rsidRPr="00D06B1C">
        <w:rPr>
          <w:sz w:val="16"/>
          <w:szCs w:val="16"/>
        </w:rPr>
        <w:t xml:space="preserve">, 9 décembre 2024. Iliad : </w:t>
      </w:r>
      <w:r w:rsidRPr="00D06B1C">
        <w:rPr>
          <w:i/>
          <w:iCs/>
          <w:sz w:val="16"/>
          <w:szCs w:val="16"/>
        </w:rPr>
        <w:t>Communiqué OPA de retrait juillet 2021</w:t>
      </w:r>
      <w:r w:rsidRPr="00D06B1C">
        <w:rPr>
          <w:sz w:val="16"/>
          <w:szCs w:val="16"/>
        </w:rPr>
        <w:t xml:space="preserve"> ; </w:t>
      </w:r>
      <w:r w:rsidRPr="00D06B1C">
        <w:rPr>
          <w:i/>
          <w:iCs/>
          <w:sz w:val="16"/>
          <w:szCs w:val="16"/>
        </w:rPr>
        <w:t>Le Monde Informatique</w:t>
      </w:r>
      <w:r w:rsidRPr="00D06B1C">
        <w:rPr>
          <w:sz w:val="16"/>
          <w:szCs w:val="16"/>
        </w:rPr>
        <w:t xml:space="preserve">, </w:t>
      </w:r>
      <w:r w:rsidRPr="00D06B1C">
        <w:rPr>
          <w:i/>
          <w:iCs/>
          <w:sz w:val="16"/>
          <w:szCs w:val="16"/>
        </w:rPr>
        <w:t>Iliad rachète ses actions pour se retirer de la Bourse</w:t>
      </w:r>
      <w:r w:rsidRPr="00D06B1C">
        <w:rPr>
          <w:sz w:val="16"/>
          <w:szCs w:val="16"/>
        </w:rPr>
        <w:t>, juillet 2021.</w:t>
      </w:r>
    </w:p>
  </w:footnote>
  <w:footnote w:id="174">
    <w:p w14:paraId="0888DA67"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Euronext, </w:t>
      </w:r>
      <w:r w:rsidRPr="00D06B1C">
        <w:rPr>
          <w:i/>
          <w:iCs/>
          <w:sz w:val="16"/>
          <w:szCs w:val="16"/>
        </w:rPr>
        <w:t>Market overview Paris</w:t>
      </w:r>
      <w:r w:rsidRPr="00D06B1C">
        <w:rPr>
          <w:sz w:val="16"/>
          <w:szCs w:val="16"/>
        </w:rPr>
        <w:t xml:space="preserve">, 2025. Décompte par compartiment fin 2024 : marché réglementé 318 sociétés, Euronext Growth 384, Euronext Access et autres une trentaine. </w:t>
      </w:r>
      <w:r w:rsidRPr="00D06B1C">
        <w:rPr>
          <w:sz w:val="16"/>
          <w:szCs w:val="16"/>
          <w:lang w:val="en-GB"/>
        </w:rPr>
        <w:t>Comparaisons : NYSE 2 400+, Nasdaq 3 200+, London Stock Exchange 1 900 (World Federation of Exchanges, 2024).</w:t>
      </w:r>
    </w:p>
  </w:footnote>
  <w:footnote w:id="175">
    <w:p w14:paraId="052F60F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Patrimoine des ménages 2024</w:t>
      </w:r>
      <w:r w:rsidRPr="00D06B1C">
        <w:rPr>
          <w:sz w:val="16"/>
          <w:szCs w:val="16"/>
        </w:rPr>
        <w:t xml:space="preserve"> </w:t>
      </w:r>
      <w:r w:rsidRPr="00D06B1C">
        <w:rPr>
          <w:i/>
          <w:iCs/>
          <w:sz w:val="16"/>
          <w:szCs w:val="16"/>
        </w:rPr>
        <w:t>- Focus n°354</w:t>
      </w:r>
      <w:r w:rsidRPr="00D06B1C">
        <w:rPr>
          <w:sz w:val="16"/>
          <w:szCs w:val="16"/>
        </w:rPr>
        <w:t xml:space="preserve">, mai 2025. En 2024, 17,4 % des ménages français détiennent des valeurs mobilières, dont 9,8 % en PEA et 9,6 % en compte-titres ordinaire ; la détention d’actions cotées en direct progresse depuis 6,9 % en 2020 vers environ 12,5 % en 2024. BCE, </w:t>
      </w:r>
      <w:r w:rsidRPr="00D06B1C">
        <w:rPr>
          <w:i/>
          <w:iCs/>
          <w:sz w:val="16"/>
          <w:szCs w:val="16"/>
        </w:rPr>
        <w:t>Household Finance and Consumption Survey Wave 4</w:t>
      </w:r>
      <w:r w:rsidRPr="00D06B1C">
        <w:rPr>
          <w:sz w:val="16"/>
          <w:szCs w:val="16"/>
        </w:rPr>
        <w:t xml:space="preserve">, données 2021 publiées 2023, pour la comparaison européenne ; Federal Reserve, </w:t>
      </w:r>
      <w:r w:rsidRPr="00D06B1C">
        <w:rPr>
          <w:i/>
          <w:iCs/>
          <w:sz w:val="16"/>
          <w:szCs w:val="16"/>
        </w:rPr>
        <w:t>Survey of Consumer Finances 2022</w:t>
      </w:r>
      <w:r w:rsidRPr="00D06B1C">
        <w:rPr>
          <w:sz w:val="16"/>
          <w:szCs w:val="16"/>
        </w:rPr>
        <w:t>, octobre 2023, pour les États-Unis.</w:t>
      </w:r>
    </w:p>
  </w:footnote>
  <w:footnote w:id="176">
    <w:p w14:paraId="05A7720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Calcul OVLA. Population France 2024 : 68,1 millions d’habitants (INSEE). Population Suède 2024 : 10,5 millions (Statistiska Centralbyrån). Encours actions et OPC actions Suède : estimation 400-440 Md€ sur la base d’un patrimoine financier brut suédois d’environ 1 100 Md€ × 38 %.</w:t>
      </w:r>
    </w:p>
  </w:footnote>
  <w:footnote w:id="177">
    <w:p w14:paraId="03CEDE1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Bpifrance Le Lab (en partenariat avec CCI France, CMA France et le CRA), </w:t>
      </w:r>
      <w:r w:rsidRPr="00D06B1C">
        <w:rPr>
          <w:i/>
          <w:iCs/>
          <w:sz w:val="16"/>
          <w:szCs w:val="16"/>
        </w:rPr>
        <w:t>Transmission en France : un marché de 370 000 entreprises d’ici 2030</w:t>
      </w:r>
      <w:r w:rsidRPr="00D06B1C">
        <w:rPr>
          <w:sz w:val="16"/>
          <w:szCs w:val="16"/>
        </w:rPr>
        <w:t>, étude publiée le 27 novembre 2025 (https://lelab.bpifrance.fr/Etudes/transmission-en-france-un-marche-de-370-000-entreprises-d-ici-2030), enquête auprès de près de 5 000 dirigeants de TPE-PME-ETI. 40 % des dirigeants envisagent de céder dans les cinq ans, soit 370 000 entreprises (décomposition : 310 000 TPE, 58 000 PME, 1 200 ETI), trois millions d’emplois concernés.</w:t>
      </w:r>
    </w:p>
  </w:footnote>
  <w:footnote w:id="178">
    <w:p w14:paraId="322A3CB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Bpifrance Le Lab, </w:t>
      </w:r>
      <w:r w:rsidRPr="00D06B1C">
        <w:rPr>
          <w:i/>
          <w:iCs/>
          <w:sz w:val="16"/>
          <w:szCs w:val="16"/>
        </w:rPr>
        <w:t>Transmission en France</w:t>
      </w:r>
      <w:r w:rsidRPr="00D06B1C">
        <w:rPr>
          <w:sz w:val="16"/>
          <w:szCs w:val="16"/>
        </w:rPr>
        <w:t xml:space="preserve">, op. </w:t>
      </w:r>
      <w:proofErr w:type="gramStart"/>
      <w:r w:rsidRPr="00D06B1C">
        <w:rPr>
          <w:sz w:val="16"/>
          <w:szCs w:val="16"/>
        </w:rPr>
        <w:t>cit</w:t>
      </w:r>
      <w:proofErr w:type="gramEnd"/>
      <w:r w:rsidRPr="00D06B1C">
        <w:rPr>
          <w:sz w:val="16"/>
          <w:szCs w:val="16"/>
        </w:rPr>
        <w:t xml:space="preserve">. (2025). En 2024, 26 000 entreprises d’au moins un salarié </w:t>
      </w:r>
      <w:proofErr w:type="gramStart"/>
      <w:r w:rsidRPr="00D06B1C">
        <w:rPr>
          <w:sz w:val="16"/>
          <w:szCs w:val="16"/>
        </w:rPr>
        <w:t>ont</w:t>
      </w:r>
      <w:proofErr w:type="gramEnd"/>
      <w:r w:rsidRPr="00D06B1C">
        <w:rPr>
          <w:sz w:val="16"/>
          <w:szCs w:val="16"/>
        </w:rPr>
        <w:t xml:space="preserve"> été effectivement transmises, alors que le marché pourrait en absorber environ 74 000 par an ; au rythme actuel, seules ~130 000 le seraient sur cinq ans, soit un potentiel près de trois fois supérieur aux transactions observées.</w:t>
      </w:r>
    </w:p>
  </w:footnote>
  <w:footnote w:id="179">
    <w:p w14:paraId="1968331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Bpifrance Le Lab, </w:t>
      </w:r>
      <w:r w:rsidRPr="00D06B1C">
        <w:rPr>
          <w:i/>
          <w:iCs/>
          <w:sz w:val="16"/>
          <w:szCs w:val="16"/>
        </w:rPr>
        <w:t>Transmission en France</w:t>
      </w:r>
      <w:r w:rsidRPr="00D06B1C">
        <w:rPr>
          <w:sz w:val="16"/>
          <w:szCs w:val="16"/>
        </w:rPr>
        <w:t xml:space="preserve">, op. </w:t>
      </w:r>
      <w:proofErr w:type="gramStart"/>
      <w:r w:rsidRPr="00D06B1C">
        <w:rPr>
          <w:sz w:val="16"/>
          <w:szCs w:val="16"/>
        </w:rPr>
        <w:t>cit</w:t>
      </w:r>
      <w:proofErr w:type="gramEnd"/>
      <w:r w:rsidRPr="00D06B1C">
        <w:rPr>
          <w:sz w:val="16"/>
          <w:szCs w:val="16"/>
        </w:rPr>
        <w:t>. (2025) : 60 % des repreneurs déclarent avoir rencontré des obstacles significatifs ; la difficulté de financement est le frein principal, citée par 30 % des repreneurs et par 44 % des repreneurs anciens salariés de l’entreprise.</w:t>
      </w:r>
    </w:p>
  </w:footnote>
  <w:footnote w:id="180">
    <w:p w14:paraId="4D7BCCF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Bpifrance Le Lab, </w:t>
      </w:r>
      <w:r w:rsidRPr="00D06B1C">
        <w:rPr>
          <w:i/>
          <w:iCs/>
          <w:sz w:val="16"/>
          <w:szCs w:val="16"/>
        </w:rPr>
        <w:t>Transmission en France</w:t>
      </w:r>
      <w:r w:rsidRPr="00D06B1C">
        <w:rPr>
          <w:sz w:val="16"/>
          <w:szCs w:val="16"/>
        </w:rPr>
        <w:t xml:space="preserve">, op. </w:t>
      </w:r>
      <w:proofErr w:type="gramStart"/>
      <w:r w:rsidRPr="00D06B1C">
        <w:rPr>
          <w:sz w:val="16"/>
          <w:szCs w:val="16"/>
        </w:rPr>
        <w:t>cit</w:t>
      </w:r>
      <w:proofErr w:type="gramEnd"/>
      <w:r w:rsidRPr="00D06B1C">
        <w:rPr>
          <w:sz w:val="16"/>
          <w:szCs w:val="16"/>
        </w:rPr>
        <w:t>. (2025) : 26 % des repreneurs jugent, a posteriori, avoir payé leur acquisition à un prix trop élevé. La valorisation reste l’un des principaux points de friction entre cédants et repreneurs.</w:t>
      </w:r>
    </w:p>
  </w:footnote>
  <w:footnote w:id="181">
    <w:p w14:paraId="21723B7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Bpifrance Le Lab, </w:t>
      </w:r>
      <w:r w:rsidRPr="00D06B1C">
        <w:rPr>
          <w:i/>
          <w:iCs/>
          <w:sz w:val="16"/>
          <w:szCs w:val="16"/>
        </w:rPr>
        <w:t>Transmission en France</w:t>
      </w:r>
      <w:r w:rsidRPr="00D06B1C">
        <w:rPr>
          <w:sz w:val="16"/>
          <w:szCs w:val="16"/>
        </w:rPr>
        <w:t xml:space="preserve">, op. </w:t>
      </w:r>
      <w:proofErr w:type="gramStart"/>
      <w:r w:rsidRPr="00D06B1C">
        <w:rPr>
          <w:sz w:val="16"/>
          <w:szCs w:val="16"/>
        </w:rPr>
        <w:t>cit</w:t>
      </w:r>
      <w:proofErr w:type="gramEnd"/>
      <w:r w:rsidRPr="00D06B1C">
        <w:rPr>
          <w:sz w:val="16"/>
          <w:szCs w:val="16"/>
        </w:rPr>
        <w:t>. (2025). Parmi les dirigeants dont la transmission est envisagée à plus d’un an, 70 % n’en sont qu’au tout début du processus (ils n’ont pas encore engagé les étapes clés : diagnostic, valorisation, recherche de repreneur).</w:t>
      </w:r>
    </w:p>
  </w:footnote>
  <w:footnote w:id="182">
    <w:p w14:paraId="36608FD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Les sociétés du CAC 40 emploient environ 1,4 million de personnes en France (effectif globalement stable depuis 2008), sur un total mondial de l’ordre de 5 millions - soit près de 70 % de leurs effectifs hors de France. Sources : Les Clés du social, </w:t>
      </w:r>
      <w:r w:rsidRPr="00D06B1C">
        <w:rPr>
          <w:i/>
          <w:iCs/>
          <w:sz w:val="16"/>
          <w:szCs w:val="16"/>
        </w:rPr>
        <w:t>Effectifs des sociétés du CAC 40 en France</w:t>
      </w:r>
      <w:r w:rsidRPr="00D06B1C">
        <w:rPr>
          <w:sz w:val="16"/>
          <w:szCs w:val="16"/>
        </w:rPr>
        <w:t xml:space="preserve"> ; Humpact, </w:t>
      </w:r>
      <w:r w:rsidRPr="00D06B1C">
        <w:rPr>
          <w:i/>
          <w:iCs/>
          <w:sz w:val="16"/>
          <w:szCs w:val="16"/>
        </w:rPr>
        <w:t>L’emploi des sociétés du CAC 40</w:t>
      </w:r>
      <w:r w:rsidRPr="00D06B1C">
        <w:rPr>
          <w:sz w:val="16"/>
          <w:szCs w:val="16"/>
        </w:rPr>
        <w:t>, d’après les documents d’enregistrement universels 2024.</w:t>
      </w:r>
    </w:p>
  </w:footnote>
  <w:footnote w:id="183">
    <w:p w14:paraId="3179E5E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Ardian, </w:t>
      </w:r>
      <w:r w:rsidRPr="00D06B1C">
        <w:rPr>
          <w:i/>
          <w:iCs/>
          <w:sz w:val="16"/>
          <w:szCs w:val="16"/>
        </w:rPr>
        <w:t>200bn AUM confirms Ardian among largest managers in Europe</w:t>
      </w:r>
      <w:r w:rsidRPr="00D06B1C">
        <w:rPr>
          <w:sz w:val="16"/>
          <w:szCs w:val="16"/>
        </w:rPr>
        <w:t xml:space="preserve">, communiqué de mars 2026. Décomposition de l’encours (~200 Md$) : capital-investissement 137 Md$, actifs réels 49 Md$, crédit 14 Md$. À fin 2024, l’encours d’Ardian dépassait 177 Md$ (Ardian, </w:t>
      </w:r>
      <w:r w:rsidRPr="00D06B1C">
        <w:rPr>
          <w:i/>
          <w:iCs/>
          <w:sz w:val="16"/>
          <w:szCs w:val="16"/>
        </w:rPr>
        <w:t>Integrated Report 2024</w:t>
      </w:r>
      <w:r w:rsidRPr="00D06B1C">
        <w:rPr>
          <w:sz w:val="16"/>
          <w:szCs w:val="16"/>
        </w:rPr>
        <w:t>, 2025) ; il a franchi le seuil des 200 Md$ début 2026.</w:t>
      </w:r>
    </w:p>
  </w:footnote>
  <w:footnote w:id="184">
    <w:p w14:paraId="2C75590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ABP, </w:t>
      </w:r>
      <w:r w:rsidRPr="00D06B1C">
        <w:rPr>
          <w:i/>
          <w:iCs/>
          <w:sz w:val="16"/>
          <w:szCs w:val="16"/>
        </w:rPr>
        <w:t>Quarterly Report Q4 2024</w:t>
      </w:r>
      <w:r w:rsidRPr="00D06B1C">
        <w:rPr>
          <w:sz w:val="16"/>
          <w:szCs w:val="16"/>
        </w:rPr>
        <w:t xml:space="preserve"> (actifs disponibles 542 Md€ au 31 décembre 2024) ; </w:t>
      </w:r>
      <w:r w:rsidRPr="00D06B1C">
        <w:rPr>
          <w:i/>
          <w:iCs/>
          <w:sz w:val="16"/>
          <w:szCs w:val="16"/>
        </w:rPr>
        <w:t>European Pensions</w:t>
      </w:r>
      <w:r w:rsidRPr="00D06B1C">
        <w:rPr>
          <w:sz w:val="16"/>
          <w:szCs w:val="16"/>
        </w:rPr>
        <w:t xml:space="preserve">, </w:t>
      </w:r>
      <w:r w:rsidRPr="00D06B1C">
        <w:rPr>
          <w:i/>
          <w:iCs/>
          <w:sz w:val="16"/>
          <w:szCs w:val="16"/>
        </w:rPr>
        <w:t>Dutch pension fund ABP achieves 8.6 per cent investment return in 2024</w:t>
      </w:r>
      <w:r w:rsidRPr="00D06B1C">
        <w:rPr>
          <w:sz w:val="16"/>
          <w:szCs w:val="16"/>
        </w:rPr>
        <w:t>, 2025. ABP est la caisse de retraite des fonctionnaires et enseignants néerlandais, gérant 2,9 millions d’affiliés.</w:t>
      </w:r>
    </w:p>
  </w:footnote>
  <w:footnote w:id="185">
    <w:p w14:paraId="2CE575C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AustralianSuper, </w:t>
      </w:r>
      <w:r w:rsidRPr="00D06B1C">
        <w:rPr>
          <w:i/>
          <w:iCs/>
          <w:sz w:val="16"/>
          <w:szCs w:val="16"/>
          <w:lang w:val="en-GB"/>
        </w:rPr>
        <w:t>Annual Report 2024</w:t>
      </w:r>
      <w:r w:rsidRPr="00D06B1C">
        <w:rPr>
          <w:sz w:val="16"/>
          <w:szCs w:val="16"/>
          <w:lang w:val="en-GB"/>
        </w:rPr>
        <w:t xml:space="preserve"> puis </w:t>
      </w:r>
      <w:r w:rsidRPr="00D06B1C">
        <w:rPr>
          <w:i/>
          <w:iCs/>
          <w:sz w:val="16"/>
          <w:szCs w:val="16"/>
          <w:lang w:val="en-GB"/>
        </w:rPr>
        <w:t>FY25 investment performance</w:t>
      </w:r>
      <w:r w:rsidRPr="00D06B1C">
        <w:rPr>
          <w:sz w:val="16"/>
          <w:szCs w:val="16"/>
          <w:lang w:val="en-GB"/>
        </w:rPr>
        <w:t xml:space="preserve">, 2025. </w:t>
      </w:r>
      <w:r w:rsidRPr="00D06B1C">
        <w:rPr>
          <w:sz w:val="16"/>
          <w:szCs w:val="16"/>
        </w:rPr>
        <w:t xml:space="preserve">Actifs au 30 juin 2024 : 315 Md AUD. CDPQ, </w:t>
      </w:r>
      <w:r w:rsidRPr="00D06B1C">
        <w:rPr>
          <w:i/>
          <w:iCs/>
          <w:sz w:val="16"/>
          <w:szCs w:val="16"/>
        </w:rPr>
        <w:t>Rapport annuel 2024</w:t>
      </w:r>
      <w:r w:rsidRPr="00D06B1C">
        <w:rPr>
          <w:sz w:val="16"/>
          <w:szCs w:val="16"/>
        </w:rPr>
        <w:t>, 2025 : 473 Md CAD.</w:t>
      </w:r>
    </w:p>
  </w:footnote>
  <w:footnote w:id="186">
    <w:p w14:paraId="79E32B8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CalPERS, </w:t>
      </w:r>
      <w:r w:rsidRPr="00D06B1C">
        <w:rPr>
          <w:i/>
          <w:iCs/>
          <w:sz w:val="16"/>
          <w:szCs w:val="16"/>
          <w:lang w:val="en-GB"/>
        </w:rPr>
        <w:t>Annual Comprehensive Financial Report FY2024</w:t>
      </w:r>
      <w:r w:rsidRPr="00D06B1C">
        <w:rPr>
          <w:sz w:val="16"/>
          <w:szCs w:val="16"/>
          <w:lang w:val="en-GB"/>
        </w:rPr>
        <w:t xml:space="preserve">, 2024. </w:t>
      </w:r>
      <w:r w:rsidRPr="00D06B1C">
        <w:rPr>
          <w:sz w:val="16"/>
          <w:szCs w:val="16"/>
        </w:rPr>
        <w:t>Actifs nets au 30 juin 2024 : 506,6 Md USD.</w:t>
      </w:r>
    </w:p>
  </w:footnote>
  <w:footnote w:id="187">
    <w:p w14:paraId="1B09BFA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Norges Bank Investment Management, </w:t>
      </w:r>
      <w:r w:rsidRPr="00D06B1C">
        <w:rPr>
          <w:i/>
          <w:iCs/>
          <w:sz w:val="16"/>
          <w:szCs w:val="16"/>
          <w:lang w:val="en-GB"/>
        </w:rPr>
        <w:t>Government Pension Fund Global</w:t>
      </w:r>
      <w:r w:rsidRPr="00D06B1C">
        <w:rPr>
          <w:sz w:val="16"/>
          <w:szCs w:val="16"/>
          <w:lang w:val="en-GB"/>
        </w:rPr>
        <w:t xml:space="preserve"> </w:t>
      </w:r>
      <w:r w:rsidRPr="00D06B1C">
        <w:rPr>
          <w:i/>
          <w:iCs/>
          <w:sz w:val="16"/>
          <w:szCs w:val="16"/>
          <w:lang w:val="en-GB"/>
        </w:rPr>
        <w:t>- Annual Report 2024</w:t>
      </w:r>
      <w:r w:rsidRPr="00D06B1C">
        <w:rPr>
          <w:sz w:val="16"/>
          <w:szCs w:val="16"/>
          <w:lang w:val="en-GB"/>
        </w:rPr>
        <w:t xml:space="preserve">, 2025. </w:t>
      </w:r>
      <w:r w:rsidRPr="00D06B1C">
        <w:rPr>
          <w:sz w:val="16"/>
          <w:szCs w:val="16"/>
        </w:rPr>
        <w:t xml:space="preserve">Actifs : 19 742 Md NOK, soit environ 1 675 Md€ au taux de change de fin 2024 (≈ 1,74 trillion USD). Rendement 2024 : 13,1 %. Présence : environ 8 700 sociétés cotées dans 71 pays. CPP Investments, </w:t>
      </w:r>
      <w:r w:rsidRPr="00D06B1C">
        <w:rPr>
          <w:i/>
          <w:iCs/>
          <w:sz w:val="16"/>
          <w:szCs w:val="16"/>
        </w:rPr>
        <w:t>Fiscal 2025 Annual Report</w:t>
      </w:r>
      <w:r w:rsidRPr="00D06B1C">
        <w:rPr>
          <w:sz w:val="16"/>
          <w:szCs w:val="16"/>
        </w:rPr>
        <w:t>, 2025 : 714,4 Md CAD au 31 mars 2025.</w:t>
      </w:r>
    </w:p>
  </w:footnote>
  <w:footnote w:id="188">
    <w:p w14:paraId="600A0278"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McKinsey &amp; Company, </w:t>
      </w:r>
      <w:r w:rsidRPr="00D06B1C">
        <w:rPr>
          <w:i/>
          <w:iCs/>
          <w:sz w:val="16"/>
          <w:szCs w:val="16"/>
          <w:lang w:val="en-GB"/>
        </w:rPr>
        <w:t>Global Private Markets Report 2025</w:t>
      </w:r>
      <w:r w:rsidRPr="00D06B1C">
        <w:rPr>
          <w:sz w:val="16"/>
          <w:szCs w:val="16"/>
          <w:lang w:val="en-GB"/>
        </w:rPr>
        <w:t xml:space="preserve">, 2025 ; Bain &amp; Company, </w:t>
      </w:r>
      <w:r w:rsidRPr="00D06B1C">
        <w:rPr>
          <w:i/>
          <w:iCs/>
          <w:sz w:val="16"/>
          <w:szCs w:val="16"/>
          <w:lang w:val="en-GB"/>
        </w:rPr>
        <w:t>Global Private Equity Report 2025</w:t>
      </w:r>
      <w:r w:rsidRPr="00D06B1C">
        <w:rPr>
          <w:sz w:val="16"/>
          <w:szCs w:val="16"/>
          <w:lang w:val="en-GB"/>
        </w:rPr>
        <w:t xml:space="preserve">. Cambridge Associates, </w:t>
      </w:r>
      <w:r w:rsidRPr="00D06B1C">
        <w:rPr>
          <w:i/>
          <w:iCs/>
          <w:sz w:val="16"/>
          <w:szCs w:val="16"/>
          <w:lang w:val="en-GB"/>
        </w:rPr>
        <w:t>Right-sizing private investments for the evolving pension</w:t>
      </w:r>
      <w:r w:rsidRPr="00D06B1C">
        <w:rPr>
          <w:sz w:val="16"/>
          <w:szCs w:val="16"/>
          <w:lang w:val="en-GB"/>
        </w:rPr>
        <w:t>, 2024, fournit la grille d’analyse comparée des coûts de capital implicites.</w:t>
      </w:r>
    </w:p>
  </w:footnote>
  <w:footnote w:id="189">
    <w:p w14:paraId="7B0D942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AP7, </w:t>
      </w:r>
      <w:r w:rsidRPr="00D06B1C">
        <w:rPr>
          <w:i/>
          <w:iCs/>
          <w:sz w:val="16"/>
          <w:szCs w:val="16"/>
          <w:lang w:val="en-GB"/>
        </w:rPr>
        <w:t>Annual and Sustainability Report 2024</w:t>
      </w:r>
      <w:r w:rsidRPr="00D06B1C">
        <w:rPr>
          <w:sz w:val="16"/>
          <w:szCs w:val="16"/>
          <w:lang w:val="en-GB"/>
        </w:rPr>
        <w:t xml:space="preserve">, 2025. </w:t>
      </w:r>
      <w:r w:rsidRPr="00D06B1C">
        <w:rPr>
          <w:sz w:val="16"/>
          <w:szCs w:val="16"/>
        </w:rPr>
        <w:t xml:space="preserve">Frais de gestion 0,05 % sur le fonds actions. NBIM, </w:t>
      </w:r>
      <w:r w:rsidRPr="00D06B1C">
        <w:rPr>
          <w:i/>
          <w:iCs/>
          <w:sz w:val="16"/>
          <w:szCs w:val="16"/>
        </w:rPr>
        <w:t>Annual Report 2024</w:t>
      </w:r>
      <w:r w:rsidRPr="00D06B1C">
        <w:rPr>
          <w:sz w:val="16"/>
          <w:szCs w:val="16"/>
        </w:rPr>
        <w:t>, frais de gestion 0,041 % des actifs - l’un des plus bas au monde pour un fonds de cette taille.</w:t>
      </w:r>
    </w:p>
  </w:footnote>
  <w:footnote w:id="190">
    <w:p w14:paraId="52F97ED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Sanofi, </w:t>
      </w:r>
      <w:r w:rsidRPr="00D06B1C">
        <w:rPr>
          <w:i/>
          <w:iCs/>
          <w:sz w:val="16"/>
          <w:szCs w:val="16"/>
        </w:rPr>
        <w:t>Communiqué sur la cession d’Opella à Clayton, Dubilier &amp; Rice</w:t>
      </w:r>
      <w:r w:rsidRPr="00D06B1C">
        <w:rPr>
          <w:sz w:val="16"/>
          <w:szCs w:val="16"/>
        </w:rPr>
        <w:t xml:space="preserve">, 21 octobre 2024 ; communiqué de finalisation du 30 avril 2025. Répartition capitalistique finale : Sanofi 48,2 %, Bpifrance 1,8 %, CD&amp;R 50 % avec contrôle effectif. Produit net pour Sanofi : environ 10 Md€. Garanties obtenues par l’État (accord tripartite annoncé le 21 octobre 2024, gouvernement Barnier ; voir presse.economie.gouv.fr, </w:t>
      </w:r>
      <w:r w:rsidRPr="00D06B1C">
        <w:rPr>
          <w:i/>
          <w:iCs/>
          <w:sz w:val="16"/>
          <w:szCs w:val="16"/>
        </w:rPr>
        <w:t>L’État obtient les garanties du maintien et du développement d’Opella en France</w:t>
      </w:r>
      <w:r w:rsidRPr="00D06B1C">
        <w:rPr>
          <w:sz w:val="16"/>
          <w:szCs w:val="16"/>
        </w:rPr>
        <w:t>) : maintien du siège et de la R&amp;D en France ; pérennité des sites de production de Lisieux et Compiègne pendant cinq ans, assortie d’une pénalité pouvant atteindre 40 M€ en cas d’arrêt ; pénalité de 100 000 € par emploi supprimé par licenciement économique contraint ; entrée de Bpifrance au capital avec un siège au conseil.</w:t>
      </w:r>
    </w:p>
  </w:footnote>
  <w:footnote w:id="191">
    <w:p w14:paraId="48842D3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General Electric, </w:t>
      </w:r>
      <w:r w:rsidRPr="00D06B1C">
        <w:rPr>
          <w:i/>
          <w:iCs/>
          <w:sz w:val="16"/>
          <w:szCs w:val="16"/>
          <w:lang w:val="en-GB"/>
        </w:rPr>
        <w:t>GE completes acquisition of Alstom Power and Grid Businesses</w:t>
      </w:r>
      <w:r w:rsidRPr="00D06B1C">
        <w:rPr>
          <w:sz w:val="16"/>
          <w:szCs w:val="16"/>
          <w:lang w:val="en-GB"/>
        </w:rPr>
        <w:t xml:space="preserve">, 2 novembre 2015. </w:t>
      </w:r>
      <w:r w:rsidRPr="00D06B1C">
        <w:rPr>
          <w:sz w:val="16"/>
          <w:szCs w:val="16"/>
        </w:rPr>
        <w:t xml:space="preserve">Le communiqué officiel précise une </w:t>
      </w:r>
      <w:r w:rsidRPr="00D06B1C">
        <w:rPr>
          <w:i/>
          <w:iCs/>
          <w:sz w:val="16"/>
          <w:szCs w:val="16"/>
        </w:rPr>
        <w:t>enterprise value</w:t>
      </w:r>
      <w:r w:rsidRPr="00D06B1C">
        <w:rPr>
          <w:sz w:val="16"/>
          <w:szCs w:val="16"/>
        </w:rPr>
        <w:t xml:space="preserve"> de 12,35 Md€ ramenée à une contrepartie cash d’environ 9,7 Md€ après ajustements. Voir aussi Assemblée nationale, </w:t>
      </w:r>
      <w:r w:rsidRPr="00D06B1C">
        <w:rPr>
          <w:i/>
          <w:iCs/>
          <w:sz w:val="16"/>
          <w:szCs w:val="16"/>
        </w:rPr>
        <w:t>Commission d’enquête sur les décisions de l’État en matière de politique industrielle</w:t>
      </w:r>
      <w:r w:rsidRPr="00D06B1C">
        <w:rPr>
          <w:sz w:val="16"/>
          <w:szCs w:val="16"/>
        </w:rPr>
        <w:t xml:space="preserve"> </w:t>
      </w:r>
      <w:r w:rsidRPr="00D06B1C">
        <w:rPr>
          <w:i/>
          <w:iCs/>
          <w:sz w:val="16"/>
          <w:szCs w:val="16"/>
        </w:rPr>
        <w:t>- cas Alstom</w:t>
      </w:r>
      <w:r w:rsidRPr="00D06B1C">
        <w:rPr>
          <w:sz w:val="16"/>
          <w:szCs w:val="16"/>
        </w:rPr>
        <w:t>, 2018.</w:t>
      </w:r>
    </w:p>
  </w:footnote>
  <w:footnote w:id="192">
    <w:p w14:paraId="11C75D6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Frédéric Pierucci et Matthieu Aron, </w:t>
      </w:r>
      <w:r w:rsidRPr="00D06B1C">
        <w:rPr>
          <w:i/>
          <w:iCs/>
          <w:sz w:val="16"/>
          <w:szCs w:val="16"/>
        </w:rPr>
        <w:t>Le piège américain</w:t>
      </w:r>
      <w:r w:rsidRPr="00D06B1C">
        <w:rPr>
          <w:sz w:val="16"/>
          <w:szCs w:val="16"/>
        </w:rPr>
        <w:t>, JC Lattès, 2019. L’arrestation à JFK est datée du 14 avril 2013 ; Pierucci est resté incarcéré quatorze mois. La thèse d’un usage politique de la procédure judiciaire pour faire pression sur Alstom reste contestée par GE et la justice américaine, mais le calendrier est documenté.</w:t>
      </w:r>
    </w:p>
  </w:footnote>
  <w:footnote w:id="193">
    <w:p w14:paraId="28577B7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Opex360 / Zone Militaire</w:t>
      </w:r>
      <w:r w:rsidRPr="00D06B1C">
        <w:rPr>
          <w:sz w:val="16"/>
          <w:szCs w:val="16"/>
        </w:rPr>
        <w:t xml:space="preserve">, </w:t>
      </w:r>
      <w:r w:rsidRPr="00D06B1C">
        <w:rPr>
          <w:i/>
          <w:iCs/>
          <w:sz w:val="16"/>
          <w:szCs w:val="16"/>
        </w:rPr>
        <w:t>Photonis racheté par HLD avec le soutien de l’État</w:t>
      </w:r>
      <w:r w:rsidRPr="00D06B1C">
        <w:rPr>
          <w:sz w:val="16"/>
          <w:szCs w:val="16"/>
        </w:rPr>
        <w:t xml:space="preserve">, février 2021 ; </w:t>
      </w:r>
      <w:r w:rsidRPr="00D06B1C">
        <w:rPr>
          <w:i/>
          <w:iCs/>
          <w:sz w:val="16"/>
          <w:szCs w:val="16"/>
        </w:rPr>
        <w:t>Les Échos</w:t>
      </w:r>
      <w:r w:rsidRPr="00D06B1C">
        <w:rPr>
          <w:sz w:val="16"/>
          <w:szCs w:val="16"/>
        </w:rPr>
        <w:t>, dossier Photonis 2020-2021. Veto Bercy contre la cession à Teledyne formalisé en décembre 2020 ; closing HLD à 370 M€ février 2021. L’offre initiale de Teledyne, documentée par Zone Militaire et la presse spécialisée, était de 550 millions de dollars (environ 510 M€ au taux de change de 2020). Le différentiel avec le prix HLD ressort à environ 140 M€.</w:t>
      </w:r>
    </w:p>
  </w:footnote>
  <w:footnote w:id="194">
    <w:p w14:paraId="3F280A1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Boursorama</w:t>
      </w:r>
      <w:r w:rsidRPr="00D06B1C">
        <w:rPr>
          <w:sz w:val="16"/>
          <w:szCs w:val="16"/>
        </w:rPr>
        <w:t xml:space="preserve">, </w:t>
      </w:r>
      <w:r w:rsidRPr="00D06B1C">
        <w:rPr>
          <w:i/>
          <w:iCs/>
          <w:sz w:val="16"/>
          <w:szCs w:val="16"/>
        </w:rPr>
        <w:t>Searchlight Capital Partners lance une OPA sur Latécoère</w:t>
      </w:r>
      <w:r w:rsidRPr="00D06B1C">
        <w:rPr>
          <w:sz w:val="16"/>
          <w:szCs w:val="16"/>
        </w:rPr>
        <w:t xml:space="preserve">, juin 2019 ; </w:t>
      </w:r>
      <w:r w:rsidRPr="00D06B1C">
        <w:rPr>
          <w:i/>
          <w:iCs/>
          <w:sz w:val="16"/>
          <w:szCs w:val="16"/>
        </w:rPr>
        <w:t>L’Usine Nouvelle</w:t>
      </w:r>
      <w:r w:rsidRPr="00D06B1C">
        <w:rPr>
          <w:sz w:val="16"/>
          <w:szCs w:val="16"/>
        </w:rPr>
        <w:t xml:space="preserve">, </w:t>
      </w:r>
      <w:r w:rsidRPr="00D06B1C">
        <w:rPr>
          <w:i/>
          <w:iCs/>
          <w:sz w:val="16"/>
          <w:szCs w:val="16"/>
        </w:rPr>
        <w:t>Searchlight Capital prend 26 % de Latécoère</w:t>
      </w:r>
      <w:r w:rsidRPr="00D06B1C">
        <w:rPr>
          <w:sz w:val="16"/>
          <w:szCs w:val="16"/>
        </w:rPr>
        <w:t>, avril 2019. SKN Holding (Searchlight) acquiert 24 697 727 actions soit 26,05 % du capital pour 106,8 millions de dollars. Augmentation de capital de novembre 2023 : 124,4 M€ bruts (BusinessWire, 16 novembre 2023).</w:t>
      </w:r>
    </w:p>
  </w:footnote>
  <w:footnote w:id="195">
    <w:p w14:paraId="7E175B2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AccessWire, </w:t>
      </w:r>
      <w:r w:rsidRPr="00D06B1C">
        <w:rPr>
          <w:i/>
          <w:iCs/>
          <w:sz w:val="16"/>
          <w:szCs w:val="16"/>
        </w:rPr>
        <w:t>Heico announces largest acquisition ever : Exxelia International</w:t>
      </w:r>
      <w:r w:rsidRPr="00D06B1C">
        <w:rPr>
          <w:sz w:val="16"/>
          <w:szCs w:val="16"/>
        </w:rPr>
        <w:t>, juillet 2022 ; communiqués Heico Corporation, 28 juillet 2022 (annonce) et 5 janvier 2023 (clôture). Montant total : 453 M€ en cash, plus 14 M€ d’assomption de dette.</w:t>
      </w:r>
    </w:p>
  </w:footnote>
  <w:footnote w:id="196">
    <w:p w14:paraId="6112039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Holcim et Lafarge, </w:t>
      </w:r>
      <w:r w:rsidRPr="00D06B1C">
        <w:rPr>
          <w:i/>
          <w:iCs/>
          <w:sz w:val="16"/>
          <w:szCs w:val="16"/>
        </w:rPr>
        <w:t>Communiqué conjoint sur la fusion</w:t>
      </w:r>
      <w:r w:rsidRPr="00D06B1C">
        <w:rPr>
          <w:sz w:val="16"/>
          <w:szCs w:val="16"/>
        </w:rPr>
        <w:t xml:space="preserve"> </w:t>
      </w:r>
      <w:r w:rsidRPr="00D06B1C">
        <w:rPr>
          <w:i/>
          <w:iCs/>
          <w:sz w:val="16"/>
          <w:szCs w:val="16"/>
        </w:rPr>
        <w:t>- juillet 2015</w:t>
      </w:r>
      <w:r w:rsidRPr="00D06B1C">
        <w:rPr>
          <w:sz w:val="16"/>
          <w:szCs w:val="16"/>
        </w:rPr>
        <w:t xml:space="preserve">. Création d’un groupe combiné de 35 Md€ de chiffre d’affaires et 130 000 employés. Voir Observatoire des multinationales, </w:t>
      </w:r>
      <w:r w:rsidRPr="00D06B1C">
        <w:rPr>
          <w:i/>
          <w:iCs/>
          <w:sz w:val="16"/>
          <w:szCs w:val="16"/>
        </w:rPr>
        <w:t>Lafarge-Holcim : fusion, conséquences industrielles et fiscales</w:t>
      </w:r>
      <w:r w:rsidRPr="00D06B1C">
        <w:rPr>
          <w:sz w:val="16"/>
          <w:szCs w:val="16"/>
        </w:rPr>
        <w:t>, 2015-2016.</w:t>
      </w:r>
    </w:p>
  </w:footnote>
  <w:footnote w:id="197">
    <w:p w14:paraId="0B1FEEA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L’Usine Nouvelle</w:t>
      </w:r>
      <w:r w:rsidRPr="00D06B1C">
        <w:rPr>
          <w:sz w:val="16"/>
          <w:szCs w:val="16"/>
        </w:rPr>
        <w:t xml:space="preserve">, </w:t>
      </w:r>
      <w:r w:rsidRPr="00D06B1C">
        <w:rPr>
          <w:i/>
          <w:iCs/>
          <w:sz w:val="16"/>
          <w:szCs w:val="16"/>
        </w:rPr>
        <w:t>Technip-FMC, une fusion à parts égales</w:t>
      </w:r>
      <w:r w:rsidRPr="00D06B1C">
        <w:rPr>
          <w:sz w:val="16"/>
          <w:szCs w:val="16"/>
        </w:rPr>
        <w:t xml:space="preserve">, avril 2016 ; communiqués TechnipFMC, </w:t>
      </w:r>
      <w:r w:rsidRPr="00D06B1C">
        <w:rPr>
          <w:i/>
          <w:iCs/>
          <w:sz w:val="16"/>
          <w:szCs w:val="16"/>
        </w:rPr>
        <w:t>Investor Relations 2017-2019</w:t>
      </w:r>
      <w:r w:rsidRPr="00D06B1C">
        <w:rPr>
          <w:sz w:val="16"/>
          <w:szCs w:val="16"/>
        </w:rPr>
        <w:t>. La capitalisation post-annonce du nouveau groupe est estimée à 13 Md$.</w:t>
      </w:r>
    </w:p>
  </w:footnote>
  <w:footnote w:id="198">
    <w:p w14:paraId="631344B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Servier, </w:t>
      </w:r>
      <w:r w:rsidRPr="00D06B1C">
        <w:rPr>
          <w:i/>
          <w:iCs/>
          <w:sz w:val="16"/>
          <w:szCs w:val="16"/>
        </w:rPr>
        <w:t>Communiqué sur l’acquisition du portefeuille d’oncologie d’Agios Pharmaceuticals</w:t>
      </w:r>
      <w:r w:rsidRPr="00D06B1C">
        <w:rPr>
          <w:sz w:val="16"/>
          <w:szCs w:val="16"/>
        </w:rPr>
        <w:t>, mars 2021 ; closing du 1er avril 2021. Structure : 1,8 Md$ upfront, plus jusqu’à 200 M$ de paiements conditionnels. Servier, contrôlé par la Fondation Internationale de Recherche Servier, échappe à la pression des marchés cotés.</w:t>
      </w:r>
    </w:p>
  </w:footnote>
  <w:footnote w:id="199">
    <w:p w14:paraId="7541498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Worldline, </w:t>
      </w:r>
      <w:r w:rsidRPr="00D06B1C">
        <w:rPr>
          <w:i/>
          <w:iCs/>
          <w:sz w:val="16"/>
          <w:szCs w:val="16"/>
        </w:rPr>
        <w:t>Annonce de l’offre publique sur Ingenico</w:t>
      </w:r>
      <w:r w:rsidRPr="00D06B1C">
        <w:rPr>
          <w:sz w:val="16"/>
          <w:szCs w:val="16"/>
        </w:rPr>
        <w:t xml:space="preserve">, 3 février 2020 ; clôture officielle 28 octobre 2020. Valeur implicite : 7,8 Md€, structure 81 % en actions Worldline et 19 % en cash. </w:t>
      </w:r>
      <w:r w:rsidRPr="00D06B1C">
        <w:rPr>
          <w:i/>
          <w:iCs/>
          <w:sz w:val="16"/>
          <w:szCs w:val="16"/>
        </w:rPr>
        <w:t>Le Monde Informatique</w:t>
      </w:r>
      <w:r w:rsidRPr="00D06B1C">
        <w:rPr>
          <w:sz w:val="16"/>
          <w:szCs w:val="16"/>
        </w:rPr>
        <w:t xml:space="preserve">, </w:t>
      </w:r>
      <w:r w:rsidRPr="00D06B1C">
        <w:rPr>
          <w:i/>
          <w:iCs/>
          <w:sz w:val="16"/>
          <w:szCs w:val="16"/>
        </w:rPr>
        <w:t>Worldline rachète Ingenico pour devenir géant du paiement</w:t>
      </w:r>
      <w:r w:rsidRPr="00D06B1C">
        <w:rPr>
          <w:sz w:val="16"/>
          <w:szCs w:val="16"/>
        </w:rPr>
        <w:t>, février 2020.</w:t>
      </w:r>
    </w:p>
  </w:footnote>
  <w:footnote w:id="200">
    <w:p w14:paraId="64AF6AD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OCDE, </w:t>
      </w:r>
      <w:r w:rsidRPr="00D06B1C">
        <w:rPr>
          <w:i/>
          <w:iCs/>
          <w:sz w:val="16"/>
          <w:szCs w:val="16"/>
          <w:lang w:val="en-GB"/>
        </w:rPr>
        <w:t>Base Erosion and Profit Shifting Project</w:t>
      </w:r>
      <w:r w:rsidRPr="00D06B1C">
        <w:rPr>
          <w:sz w:val="16"/>
          <w:szCs w:val="16"/>
          <w:lang w:val="en-GB"/>
        </w:rPr>
        <w:t xml:space="preserve">, rapports annuels 2015-2024. </w:t>
      </w:r>
      <w:r w:rsidRPr="00D06B1C">
        <w:rPr>
          <w:sz w:val="16"/>
          <w:szCs w:val="16"/>
        </w:rPr>
        <w:t xml:space="preserve">Sur le cas Lafarge-Holcim, voir Observatoire des multinationales, </w:t>
      </w:r>
      <w:r w:rsidRPr="00D06B1C">
        <w:rPr>
          <w:i/>
          <w:iCs/>
          <w:sz w:val="16"/>
          <w:szCs w:val="16"/>
        </w:rPr>
        <w:t>Lafarge-Holcim : fusion, conséquences industrielles et fiscales</w:t>
      </w:r>
      <w:r w:rsidRPr="00D06B1C">
        <w:rPr>
          <w:sz w:val="16"/>
          <w:szCs w:val="16"/>
        </w:rPr>
        <w:t>, 2015-2016.</w:t>
      </w:r>
    </w:p>
  </w:footnote>
  <w:footnote w:id="201">
    <w:p w14:paraId="38A33C1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Vernimmen, </w:t>
      </w:r>
      <w:r w:rsidRPr="00D06B1C">
        <w:rPr>
          <w:i/>
          <w:iCs/>
          <w:sz w:val="16"/>
          <w:szCs w:val="16"/>
        </w:rPr>
        <w:t>Dividendes du CAC 40 en hausse de 8,5 % en 2024</w:t>
      </w:r>
      <w:r w:rsidRPr="00D06B1C">
        <w:rPr>
          <w:sz w:val="16"/>
          <w:szCs w:val="16"/>
        </w:rPr>
        <w:t xml:space="preserve">, lettre n°223, 2025 ; BFM Bourse et TradingSat, </w:t>
      </w:r>
      <w:r w:rsidRPr="00D06B1C">
        <w:rPr>
          <w:i/>
          <w:iCs/>
          <w:sz w:val="16"/>
          <w:szCs w:val="16"/>
        </w:rPr>
        <w:t>Les groupes du CAC 40 ont rendu plus de 98 Md€ à leurs actionnaires en 2024</w:t>
      </w:r>
      <w:r w:rsidRPr="00D06B1C">
        <w:rPr>
          <w:sz w:val="16"/>
          <w:szCs w:val="16"/>
        </w:rPr>
        <w:t>, 2025. Décomposition : 72,8 Md€ de dividendes cash, 25,5 Md€ de rachats d’actions. Investissements parallèles du CAC 40 en 2024 : 116,6 Md€, en hausse de 22 %.</w:t>
      </w:r>
    </w:p>
  </w:footnote>
  <w:footnote w:id="202">
    <w:p w14:paraId="6944DA6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de France, </w:t>
      </w:r>
      <w:r w:rsidRPr="00D06B1C">
        <w:rPr>
          <w:i/>
          <w:iCs/>
          <w:sz w:val="16"/>
          <w:szCs w:val="16"/>
        </w:rPr>
        <w:t>La détention des actions des sociétés françaises du CAC 40 par les non-résidents augmente très légèrement en 2024</w:t>
      </w:r>
      <w:r w:rsidRPr="00D06B1C">
        <w:rPr>
          <w:sz w:val="16"/>
          <w:szCs w:val="16"/>
        </w:rPr>
        <w:t>, bulletin n°255, novembre-décembre 2024. Capitalisation totale CAC 40 fin 2024 : 2 165 Md€. Part non-résidente : 50,0 %, soit 1 083 Md€. Sur 35 sociétés analysées : 19 détenues à plus de 50 % par des non-résidents, 11 entre 30 et 50 %, 5 à moins de 30 %.</w:t>
      </w:r>
    </w:p>
  </w:footnote>
  <w:footnote w:id="203">
    <w:p w14:paraId="117A928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Le budget de la mission « Enseignement scolaire » (cœur du ministère de l’Éducation nationale) s’établit à 63,6 Md€ en crédits de paiement pour 2024, hors contribution au CAS « Pensions » (Sénat, </w:t>
      </w:r>
      <w:r w:rsidRPr="00D06B1C">
        <w:rPr>
          <w:i/>
          <w:iCs/>
          <w:sz w:val="16"/>
          <w:szCs w:val="16"/>
        </w:rPr>
        <w:t>Projet de loi de finances pour 2024 - Enseignement scolaire</w:t>
      </w:r>
      <w:r w:rsidRPr="00D06B1C">
        <w:rPr>
          <w:sz w:val="16"/>
          <w:szCs w:val="16"/>
        </w:rPr>
        <w:t>, https://www.senat.fr). Les 36,4 Md€ de dividendes du CAC 40 partis à l’étranger en représentent un peu plus de la moitié.</w:t>
      </w:r>
    </w:p>
  </w:footnote>
  <w:footnote w:id="204">
    <w:p w14:paraId="2654365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de France, bulletin n°255 précité. Investissements de portefeuille : 92,9 % du total non-résident ; investissements directs : 7,1 %. Origine : 40 % zone euro, 34 % États-Unis, 26 % reste du monde.</w:t>
      </w:r>
    </w:p>
  </w:footnote>
  <w:footnote w:id="205">
    <w:p w14:paraId="07B54D4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BFM Bourse, </w:t>
      </w:r>
      <w:r w:rsidRPr="00D06B1C">
        <w:rPr>
          <w:i/>
          <w:iCs/>
          <w:sz w:val="16"/>
          <w:szCs w:val="16"/>
        </w:rPr>
        <w:t>L’inquiétante mainmise des géants américains de la gestion d’actifs sur les marchés</w:t>
      </w:r>
      <w:r w:rsidRPr="00D06B1C">
        <w:rPr>
          <w:sz w:val="16"/>
          <w:szCs w:val="16"/>
        </w:rPr>
        <w:t>, 2020. Les chiffres BlackRock 2,1 % et Vanguard 2,0 % datent de 2020 ; les estimations 2024 ne sont pas publiées avec la même granularité, mais l’ordre de grandeur reste proche.</w:t>
      </w:r>
    </w:p>
  </w:footnote>
  <w:footnote w:id="206">
    <w:p w14:paraId="51631E1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Calcul OVLA. Hypothèses : croissance nominale moyenne des dividendes du CAC 40 6 % par an (moyenne 2014-2024 selon Vernimmen) ; part non-résidente stable à 50 %. Cumul des dividendes versés à l’étranger sur la décennie 2024-2034 estimé à 510-540 Md€.</w:t>
      </w:r>
    </w:p>
  </w:footnote>
  <w:footnote w:id="207">
    <w:p w14:paraId="6286757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Ordres de grandeur d’allocation domestique : Norges Bank Investment Management, </w:t>
      </w:r>
      <w:r w:rsidRPr="00D06B1C">
        <w:rPr>
          <w:i/>
          <w:iCs/>
          <w:sz w:val="16"/>
          <w:szCs w:val="16"/>
        </w:rPr>
        <w:t>Government Pension Fund Global</w:t>
      </w:r>
      <w:r w:rsidRPr="00D06B1C">
        <w:rPr>
          <w:sz w:val="16"/>
          <w:szCs w:val="16"/>
        </w:rPr>
        <w:t xml:space="preserve"> </w:t>
      </w:r>
      <w:r w:rsidRPr="00D06B1C">
        <w:rPr>
          <w:i/>
          <w:iCs/>
          <w:sz w:val="16"/>
          <w:szCs w:val="16"/>
        </w:rPr>
        <w:t>- Annual Report 2024</w:t>
      </w:r>
      <w:r w:rsidRPr="00D06B1C">
        <w:rPr>
          <w:sz w:val="16"/>
          <w:szCs w:val="16"/>
        </w:rPr>
        <w:t xml:space="preserve">, 2025 (règles d’investissement définies par le ministère norvégien des Finances ; exposition actions Norvège marginale en pratique). ABP, </w:t>
      </w:r>
      <w:r w:rsidRPr="00D06B1C">
        <w:rPr>
          <w:i/>
          <w:iCs/>
          <w:sz w:val="16"/>
          <w:szCs w:val="16"/>
        </w:rPr>
        <w:t>Annual Report 2024</w:t>
      </w:r>
      <w:r w:rsidRPr="00D06B1C">
        <w:rPr>
          <w:sz w:val="16"/>
          <w:szCs w:val="16"/>
        </w:rPr>
        <w:t xml:space="preserve">, 2025 (allocation Europe et exposition domestique limitée). CPP Investments, </w:t>
      </w:r>
      <w:r w:rsidRPr="00D06B1C">
        <w:rPr>
          <w:i/>
          <w:iCs/>
          <w:sz w:val="16"/>
          <w:szCs w:val="16"/>
        </w:rPr>
        <w:t>Fiscal 2025 Annual Report</w:t>
      </w:r>
      <w:r w:rsidRPr="00D06B1C">
        <w:rPr>
          <w:sz w:val="16"/>
          <w:szCs w:val="16"/>
        </w:rPr>
        <w:t xml:space="preserve">, 2025 (allocation Canada autour d’un quart du portefeuille). CDPQ, </w:t>
      </w:r>
      <w:r w:rsidRPr="00D06B1C">
        <w:rPr>
          <w:i/>
          <w:iCs/>
          <w:sz w:val="16"/>
          <w:szCs w:val="16"/>
        </w:rPr>
        <w:t>Engagement Québec</w:t>
      </w:r>
      <w:r w:rsidRPr="00D06B1C">
        <w:rPr>
          <w:sz w:val="16"/>
          <w:szCs w:val="16"/>
        </w:rPr>
        <w:t xml:space="preserve">, 2024, et </w:t>
      </w:r>
      <w:r w:rsidRPr="00D06B1C">
        <w:rPr>
          <w:i/>
          <w:iCs/>
          <w:sz w:val="16"/>
          <w:szCs w:val="16"/>
        </w:rPr>
        <w:t>Rapport annuel 2024</w:t>
      </w:r>
      <w:r w:rsidRPr="00D06B1C">
        <w:rPr>
          <w:sz w:val="16"/>
          <w:szCs w:val="16"/>
        </w:rPr>
        <w:t xml:space="preserve">, 2025 (exposition Québec environ un quart). Thinking Ahead Institute, </w:t>
      </w:r>
      <w:r w:rsidRPr="00D06B1C">
        <w:rPr>
          <w:i/>
          <w:iCs/>
          <w:sz w:val="16"/>
          <w:szCs w:val="16"/>
        </w:rPr>
        <w:t>Global Pension Assets Study 2025</w:t>
      </w:r>
      <w:r w:rsidRPr="00D06B1C">
        <w:rPr>
          <w:sz w:val="16"/>
          <w:szCs w:val="16"/>
        </w:rPr>
        <w:t>, 2025, pour les ratios d’allocation domestique des principaux fonds publics. Les fourchettes citées sont des ordres de grandeur publics, susceptibles de varier selon les classes d’actifs et la conjoncture.</w:t>
      </w:r>
    </w:p>
  </w:footnote>
  <w:footnote w:id="208">
    <w:p w14:paraId="5B55C5B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 Markets in Focus 2025</w:t>
      </w:r>
      <w:r w:rsidRPr="00D06B1C">
        <w:rPr>
          <w:sz w:val="16"/>
          <w:szCs w:val="16"/>
        </w:rPr>
        <w:t xml:space="preserve"> (données préliminaires 2024). Encours des actifs de pension en pourcentage du PIB fin 2024 : Danemark 204 %, Islande 188 %, Suisse 165 %, Canada 158 %, Pays-Bas 150 %, États-Unis 147 %, Australie 135 %, Suède 115 %, Royaume-Uni 78 % ; France 13 %, Italie 12 %, Allemagne 6 %. PIB France 2024 : environ 2 950 Md€ ; une cible de 50 % du PIB représenterait donc ~1 475 Md€ en stock stationnaire. (Cf. note [^7].)</w:t>
      </w:r>
    </w:p>
  </w:footnote>
  <w:footnote w:id="209">
    <w:p w14:paraId="048E51F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Calcul OVLA. Hypothèse : substitution progressive de 15-20 points de détention non-résidente par des fonds de pension français à horizon stationnaire. Sur 36,4 Md€ de dividendes captés annuellement par les non-résidents, environ 11-15 Md€ resteraient en France au lieu de partir. Cumul sur dix ans, ordre de grandeur de 200-250 Md€.</w:t>
      </w:r>
    </w:p>
  </w:footnote>
  <w:footnote w:id="210">
    <w:p w14:paraId="62EA9CA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CDPQ, </w:t>
      </w:r>
      <w:r w:rsidRPr="00D06B1C">
        <w:rPr>
          <w:i/>
          <w:iCs/>
          <w:sz w:val="16"/>
          <w:szCs w:val="16"/>
        </w:rPr>
        <w:t>Annual report 2015</w:t>
      </w:r>
      <w:r w:rsidRPr="00D06B1C">
        <w:rPr>
          <w:sz w:val="16"/>
          <w:szCs w:val="16"/>
        </w:rPr>
        <w:t xml:space="preserve">, 2016 ; voir aussi CDPQ, </w:t>
      </w:r>
      <w:r w:rsidRPr="00D06B1C">
        <w:rPr>
          <w:i/>
          <w:iCs/>
          <w:sz w:val="16"/>
          <w:szCs w:val="16"/>
        </w:rPr>
        <w:t>Department of Commerce investigation targeting CSeries aircraft program</w:t>
      </w:r>
      <w:r w:rsidRPr="00D06B1C">
        <w:rPr>
          <w:sz w:val="16"/>
          <w:szCs w:val="16"/>
        </w:rPr>
        <w:t>. Acquisition de 30 % de BT Holdco en novembre 2015 pour 1,5 Md$ US. Sortie via la cession Alstom-Bombardier Transport, closing 29 janvier 2021.</w:t>
      </w:r>
    </w:p>
  </w:footnote>
  <w:footnote w:id="211">
    <w:p w14:paraId="5D88E0E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ABP / APG, </w:t>
      </w:r>
      <w:r w:rsidRPr="00D06B1C">
        <w:rPr>
          <w:i/>
          <w:iCs/>
          <w:sz w:val="16"/>
          <w:szCs w:val="16"/>
        </w:rPr>
        <w:t>Plan d’investissements à impact 2024-2030</w:t>
      </w:r>
      <w:r w:rsidRPr="00D06B1C">
        <w:rPr>
          <w:sz w:val="16"/>
          <w:szCs w:val="16"/>
        </w:rPr>
        <w:t xml:space="preserve">, communiqué 2024 ; couverture </w:t>
      </w:r>
      <w:r w:rsidRPr="00D06B1C">
        <w:rPr>
          <w:i/>
          <w:iCs/>
          <w:sz w:val="16"/>
          <w:szCs w:val="16"/>
        </w:rPr>
        <w:t>ESG News</w:t>
      </w:r>
      <w:r w:rsidRPr="00D06B1C">
        <w:rPr>
          <w:sz w:val="16"/>
          <w:szCs w:val="16"/>
        </w:rPr>
        <w:t>, 2024. La part dédiée aux investissements domestiques inclut notamment 5 Md€ pour les logements locatifs sociaux néerlandais.</w:t>
      </w:r>
    </w:p>
  </w:footnote>
  <w:footnote w:id="212">
    <w:p w14:paraId="6727D74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USS, </w:t>
      </w:r>
      <w:r w:rsidRPr="00D06B1C">
        <w:rPr>
          <w:i/>
          <w:iCs/>
          <w:sz w:val="16"/>
          <w:szCs w:val="16"/>
          <w:lang w:val="en-GB"/>
        </w:rPr>
        <w:t>USS invests in Heathrow Airport</w:t>
      </w:r>
      <w:r w:rsidRPr="00D06B1C">
        <w:rPr>
          <w:sz w:val="16"/>
          <w:szCs w:val="16"/>
          <w:lang w:val="en-GB"/>
        </w:rPr>
        <w:t xml:space="preserve">, communication 2013/2014 ; IPE, </w:t>
      </w:r>
      <w:r w:rsidRPr="00D06B1C">
        <w:rPr>
          <w:i/>
          <w:iCs/>
          <w:sz w:val="16"/>
          <w:szCs w:val="16"/>
          <w:lang w:val="en-GB"/>
        </w:rPr>
        <w:t>USS buys 8% stake in Heathrow Airport</w:t>
      </w:r>
      <w:r w:rsidRPr="00D06B1C">
        <w:rPr>
          <w:sz w:val="16"/>
          <w:szCs w:val="16"/>
          <w:lang w:val="en-GB"/>
        </w:rPr>
        <w:t xml:space="preserve">, 2013. </w:t>
      </w:r>
      <w:r w:rsidRPr="00D06B1C">
        <w:rPr>
          <w:sz w:val="16"/>
          <w:szCs w:val="16"/>
        </w:rPr>
        <w:t>Acquisition de 8,65 % de FGP Topco pour 392 M£ en octobre 2013. Vente complète en décembre 2024.</w:t>
      </w:r>
    </w:p>
  </w:footnote>
  <w:footnote w:id="213">
    <w:p w14:paraId="7E7A99D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Bernard est un personnage composite, construit à partir de plusieurs entretiens avec des dirigeants d’ETI familiales en cours de transmission dans le Grand-Ouest (Bretagne, Pays de la Loire, Normandie). Les ordres de grandeur financiers - taille de l’ETI, multiples d’EBITDA proposés par les trois pistes d’acquéreurs - sont calés sur les données du panel BPI France Le Lab 2024, de l’Observatoire CRA janvier 2025 et des fourchettes de valorisation observées sur le marché secondaire des ETI industrielles françaises 2023-2025. Aucun individu identifiable n’est représenté.</w:t>
      </w:r>
    </w:p>
  </w:footnote>
  <w:footnote w:id="214">
    <w:p w14:paraId="406C4E74" w14:textId="77777777" w:rsidR="00BF0342" w:rsidRPr="00D06B1C" w:rsidRDefault="00000000">
      <w:pPr>
        <w:pStyle w:val="FootnoteText"/>
        <w:rPr>
          <w:sz w:val="16"/>
          <w:szCs w:val="16"/>
        </w:rPr>
      </w:pPr>
      <w:r w:rsidRPr="00D06B1C">
        <w:rPr>
          <w:rStyle w:val="FootnoteReference"/>
          <w:sz w:val="16"/>
          <w:szCs w:val="16"/>
        </w:rPr>
        <w:footnoteRef/>
      </w:r>
    </w:p>
  </w:footnote>
  <w:footnote w:id="215">
    <w:p w14:paraId="160A9C53" w14:textId="77777777" w:rsidR="00BF0342" w:rsidRPr="00D06B1C" w:rsidRDefault="00000000">
      <w:pPr>
        <w:pStyle w:val="FootnoteText"/>
        <w:rPr>
          <w:sz w:val="16"/>
          <w:szCs w:val="16"/>
        </w:rPr>
      </w:pPr>
      <w:r w:rsidRPr="00D06B1C">
        <w:rPr>
          <w:rStyle w:val="FootnoteReference"/>
          <w:sz w:val="16"/>
          <w:szCs w:val="16"/>
        </w:rPr>
        <w:footnoteRef/>
      </w:r>
    </w:p>
  </w:footnote>
  <w:footnote w:id="216">
    <w:p w14:paraId="301BCA02" w14:textId="77777777" w:rsidR="00BF0342" w:rsidRPr="00D06B1C" w:rsidRDefault="00000000">
      <w:pPr>
        <w:pStyle w:val="FootnoteText"/>
        <w:rPr>
          <w:sz w:val="16"/>
          <w:szCs w:val="16"/>
        </w:rPr>
      </w:pPr>
      <w:r w:rsidRPr="00D06B1C">
        <w:rPr>
          <w:rStyle w:val="FootnoteReference"/>
          <w:sz w:val="16"/>
          <w:szCs w:val="16"/>
        </w:rPr>
        <w:footnoteRef/>
      </w:r>
    </w:p>
  </w:footnote>
  <w:footnote w:id="217">
    <w:p w14:paraId="35218EDC" w14:textId="77777777" w:rsidR="00BF0342" w:rsidRPr="00D06B1C" w:rsidRDefault="00000000">
      <w:pPr>
        <w:pStyle w:val="FootnoteText"/>
        <w:rPr>
          <w:sz w:val="16"/>
          <w:szCs w:val="16"/>
        </w:rPr>
      </w:pPr>
      <w:r w:rsidRPr="00D06B1C">
        <w:rPr>
          <w:rStyle w:val="FootnoteReference"/>
          <w:sz w:val="16"/>
          <w:szCs w:val="16"/>
        </w:rPr>
        <w:footnoteRef/>
      </w:r>
    </w:p>
  </w:footnote>
  <w:footnote w:id="218">
    <w:p w14:paraId="6372697B" w14:textId="77777777" w:rsidR="00BF0342" w:rsidRPr="00D06B1C" w:rsidRDefault="00000000">
      <w:pPr>
        <w:pStyle w:val="FootnoteText"/>
        <w:rPr>
          <w:sz w:val="16"/>
          <w:szCs w:val="16"/>
        </w:rPr>
      </w:pPr>
      <w:r w:rsidRPr="00D06B1C">
        <w:rPr>
          <w:rStyle w:val="FootnoteReference"/>
          <w:sz w:val="16"/>
          <w:szCs w:val="16"/>
        </w:rPr>
        <w:footnoteRef/>
      </w:r>
    </w:p>
  </w:footnote>
  <w:footnote w:id="219">
    <w:p w14:paraId="3745928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La notion de « cercle vertueux du capital domestique » est ancrée dans la littérature sur les fonds de pension comme acteurs structurels des marchés de capitaux nationaux. Voir notamment : Davis E. P., </w:t>
      </w:r>
      <w:r w:rsidRPr="00D06B1C">
        <w:rPr>
          <w:i/>
          <w:iCs/>
          <w:sz w:val="16"/>
          <w:szCs w:val="16"/>
        </w:rPr>
        <w:t xml:space="preserve">Pension </w:t>
      </w:r>
      <w:proofErr w:type="gramStart"/>
      <w:r w:rsidRPr="00D06B1C">
        <w:rPr>
          <w:i/>
          <w:iCs/>
          <w:sz w:val="16"/>
          <w:szCs w:val="16"/>
        </w:rPr>
        <w:t>Funds:</w:t>
      </w:r>
      <w:proofErr w:type="gramEnd"/>
      <w:r w:rsidRPr="00D06B1C">
        <w:rPr>
          <w:i/>
          <w:iCs/>
          <w:sz w:val="16"/>
          <w:szCs w:val="16"/>
        </w:rPr>
        <w:t xml:space="preserve"> Retirement-Income Security and Capital Markets</w:t>
      </w:r>
      <w:r w:rsidRPr="00D06B1C">
        <w:rPr>
          <w:sz w:val="16"/>
          <w:szCs w:val="16"/>
        </w:rPr>
        <w:t xml:space="preserve">, Oxford University Press, 1995 ; OCDE, </w:t>
      </w:r>
      <w:r w:rsidRPr="00D06B1C">
        <w:rPr>
          <w:i/>
          <w:iCs/>
          <w:sz w:val="16"/>
          <w:szCs w:val="16"/>
        </w:rPr>
        <w:t>Pensions Markets in Focus</w:t>
      </w:r>
      <w:r w:rsidRPr="00D06B1C">
        <w:rPr>
          <w:sz w:val="16"/>
          <w:szCs w:val="16"/>
        </w:rPr>
        <w:t xml:space="preserve">, édition 2024, chapitre sur le rôle des fonds de pension dans le financement de l’économie domestique. Pour la Suède : Lannoo K., </w:t>
      </w:r>
      <w:r w:rsidRPr="00D06B1C">
        <w:rPr>
          <w:i/>
          <w:iCs/>
          <w:sz w:val="16"/>
          <w:szCs w:val="16"/>
        </w:rPr>
        <w:t>Pension Funds and Capital Markets</w:t>
      </w:r>
      <w:r w:rsidRPr="00D06B1C">
        <w:rPr>
          <w:sz w:val="16"/>
          <w:szCs w:val="16"/>
        </w:rPr>
        <w:t>, CEPS, 2022.</w:t>
      </w:r>
    </w:p>
  </w:footnote>
  <w:footnote w:id="220">
    <w:p w14:paraId="03137F7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Allocation des fonds AP suédois 2024 (rapports annuels AP1, AP2, AP3, AP4) : part actions suédoises comprise entre 9 % et 22,1 % du portefeuille. Fonds AMF : 23 % actions suédoises (rapport annuel 2024). Fonds Alecta : exposition aux actions et obligations d’entreprises suédoises supérieure à 30 % (rapport annuel 2024). Sources : sites institutionnels respectifs des fonds.</w:t>
      </w:r>
    </w:p>
  </w:footnote>
  <w:footnote w:id="221">
    <w:p w14:paraId="1E0DCF1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ABP (Stichting Pensioenfonds ABP) : actifs sous gestion 532 Md€ en 2025 (rapport annuel 2024 et European Pensions). PFZW (Pensioenfonds Zorg en Welzijn) : actifs sous gestion 245 Md€ en 2024 (rapport annuel 2024). Le PIB néerlandais s’élève à environ 1 100 Md€ en 2024 (Eurostat). La somme ABP + PFZW excède ainsi le PIB néerlandais — caractéristique unique des Pays-Bas dans l’OCDE.</w:t>
      </w:r>
    </w:p>
  </w:footnote>
  <w:footnote w:id="222">
    <w:p w14:paraId="12CDD364"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Banque de Suède (Riksbanken), </w:t>
      </w:r>
      <w:r w:rsidRPr="00D06B1C">
        <w:rPr>
          <w:i/>
          <w:iCs/>
          <w:sz w:val="16"/>
          <w:szCs w:val="16"/>
          <w:lang w:val="en-GB"/>
        </w:rPr>
        <w:t>Historical Monetary Policy Statistics</w:t>
      </w:r>
      <w:r w:rsidRPr="00D06B1C">
        <w:rPr>
          <w:sz w:val="16"/>
          <w:szCs w:val="16"/>
          <w:lang w:val="en-GB"/>
        </w:rPr>
        <w:t xml:space="preserve">, 2024. </w:t>
      </w:r>
      <w:r w:rsidRPr="00D06B1C">
        <w:rPr>
          <w:sz w:val="16"/>
          <w:szCs w:val="16"/>
        </w:rPr>
        <w:t xml:space="preserve">Le taux marginal d’emprunt a été porté à 500 % le 16 septembre 1992 pour défendre la couronne contre les attaques spéculatives, avant que la Suède n’abandonne le rattachement à l’ECU le 19 novembre 1992. </w:t>
      </w:r>
      <w:r w:rsidRPr="00D06B1C">
        <w:rPr>
          <w:sz w:val="16"/>
          <w:szCs w:val="16"/>
          <w:lang w:val="en-GB"/>
        </w:rPr>
        <w:t>Sur la crise budgétaire suédoise 1990-1994 : Lars Jonung, « The Swedish model for resolving the banking crisis of 1991-93 », Riksbank Research Paper, 2009.</w:t>
      </w:r>
    </w:p>
  </w:footnote>
  <w:footnote w:id="223">
    <w:p w14:paraId="7D33526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Bo Könberg, Edward Palmer, Annika Sundén, « The 1994 Swedish Pension Reform - An Overview », </w:t>
      </w:r>
      <w:r w:rsidRPr="00D06B1C">
        <w:rPr>
          <w:i/>
          <w:iCs/>
          <w:sz w:val="16"/>
          <w:szCs w:val="16"/>
          <w:lang w:val="en-GB"/>
        </w:rPr>
        <w:t>International Social Security Review</w:t>
      </w:r>
      <w:r w:rsidRPr="00D06B1C">
        <w:rPr>
          <w:sz w:val="16"/>
          <w:szCs w:val="16"/>
          <w:lang w:val="en-GB"/>
        </w:rPr>
        <w:t xml:space="preserve">, vol. 59, 2006. </w:t>
      </w:r>
      <w:r w:rsidRPr="00D06B1C">
        <w:rPr>
          <w:sz w:val="16"/>
          <w:szCs w:val="16"/>
        </w:rPr>
        <w:t>Le groupe de travail comprenait les sociaux-démocrates, les modérés, le parti du Centre, les libéraux et les démocrates-chrétiens - soit cinq des sept formations alors représentées au Riksdag.</w:t>
      </w:r>
    </w:p>
  </w:footnote>
  <w:footnote w:id="224">
    <w:p w14:paraId="34EC562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Edward Palmer, « The Swedish Pension Reform Model: Framework and Issues », </w:t>
      </w:r>
      <w:r w:rsidRPr="00D06B1C">
        <w:rPr>
          <w:i/>
          <w:iCs/>
          <w:sz w:val="16"/>
          <w:szCs w:val="16"/>
          <w:lang w:val="en-GB"/>
        </w:rPr>
        <w:t>World Bank Social Protection Discussion Paper</w:t>
      </w:r>
      <w:r w:rsidRPr="00D06B1C">
        <w:rPr>
          <w:sz w:val="16"/>
          <w:szCs w:val="16"/>
          <w:lang w:val="en-GB"/>
        </w:rPr>
        <w:t xml:space="preserve">, n° 0012, 2000 (https://documents1.worldbank.org/curated/en/559651468761095868/pdf/multi0page.pdf). </w:t>
      </w:r>
      <w:r w:rsidRPr="00D06B1C">
        <w:rPr>
          <w:sz w:val="16"/>
          <w:szCs w:val="16"/>
        </w:rPr>
        <w:t>Palmer, économiste à l’Uppsala University, a co-conçu le mécanisme du compte notionnel (NDC) avec Bo Könberg.</w:t>
      </w:r>
    </w:p>
  </w:footnote>
  <w:footnote w:id="225">
    <w:p w14:paraId="69B1632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Sénat français, </w:t>
      </w:r>
      <w:r w:rsidRPr="00D06B1C">
        <w:rPr>
          <w:i/>
          <w:iCs/>
          <w:sz w:val="16"/>
          <w:szCs w:val="16"/>
        </w:rPr>
        <w:t>Réformer la protection sociale : les leçons du modèle suédois</w:t>
      </w:r>
      <w:r w:rsidRPr="00D06B1C">
        <w:rPr>
          <w:sz w:val="16"/>
          <w:szCs w:val="16"/>
        </w:rPr>
        <w:t>, Rapport d’information n° 377, 2006 (https://www.senat.fr/rap/r06-377/r06-37710.html). Cadre voté en 1994 à 85 % du Parlement suédois, législation définitive en 1998, entrée en vigueur 1ᵉʳ janvier 1999 avec une montée en charge par cohortes 1938-1953.</w:t>
      </w:r>
    </w:p>
  </w:footnote>
  <w:footnote w:id="226">
    <w:p w14:paraId="5535418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Ole Settergren, « The Automatic Balance Mechanism of the Swedish Pension System », </w:t>
      </w:r>
      <w:r w:rsidRPr="00D06B1C">
        <w:rPr>
          <w:i/>
          <w:iCs/>
          <w:sz w:val="16"/>
          <w:szCs w:val="16"/>
          <w:lang w:val="en-GB"/>
        </w:rPr>
        <w:t>NSIB Working Paper</w:t>
      </w:r>
      <w:r w:rsidRPr="00D06B1C">
        <w:rPr>
          <w:sz w:val="16"/>
          <w:szCs w:val="16"/>
          <w:lang w:val="en-GB"/>
        </w:rPr>
        <w:t xml:space="preserve">, 2001 (https://www.pensionsmyndigheten.se/content/dam/pensionsmyndigheten/blanketter-broschyrer-faktablad/other-languages/archive-reports,-working-papers-and-studies/The%20Automatic%20Balance%20Mechanism%20of%20the%20Swedish%20Pension%20Reform.pdf). </w:t>
      </w:r>
      <w:r w:rsidRPr="00D06B1C">
        <w:rPr>
          <w:sz w:val="16"/>
          <w:szCs w:val="16"/>
        </w:rPr>
        <w:t>Le taux de cotisation à l’inkomstpension est stabilisé à 16 % du salaire brut depuis 1999 (16,5 % pendant la période transitoire 1995-1998).</w:t>
      </w:r>
    </w:p>
  </w:footnote>
  <w:footnote w:id="227">
    <w:p w14:paraId="771FD5F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Alecta, </w:t>
      </w:r>
      <w:r w:rsidRPr="00D06B1C">
        <w:rPr>
          <w:i/>
          <w:iCs/>
          <w:sz w:val="16"/>
          <w:szCs w:val="16"/>
        </w:rPr>
        <w:t>Tjänstepension</w:t>
      </w:r>
      <w:r w:rsidRPr="00D06B1C">
        <w:rPr>
          <w:sz w:val="16"/>
          <w:szCs w:val="16"/>
        </w:rPr>
        <w:t xml:space="preserve">, 2024 ; Collectum, </w:t>
      </w:r>
      <w:r w:rsidRPr="00D06B1C">
        <w:rPr>
          <w:i/>
          <w:iCs/>
          <w:sz w:val="16"/>
          <w:szCs w:val="16"/>
        </w:rPr>
        <w:t>Rapport annuel 2024</w:t>
      </w:r>
      <w:r w:rsidRPr="00D06B1C">
        <w:rPr>
          <w:sz w:val="16"/>
          <w:szCs w:val="16"/>
        </w:rPr>
        <w:t xml:space="preserve">. ITP couvre les employés du privé (deux régimes selon génération), SAF-LO les ouvriers ; les régimes sont obligatoires </w:t>
      </w:r>
      <w:r w:rsidRPr="00D06B1C">
        <w:rPr>
          <w:i/>
          <w:iCs/>
          <w:sz w:val="16"/>
          <w:szCs w:val="16"/>
        </w:rPr>
        <w:t>de facto</w:t>
      </w:r>
      <w:r w:rsidRPr="00D06B1C">
        <w:rPr>
          <w:sz w:val="16"/>
          <w:szCs w:val="16"/>
        </w:rPr>
        <w:t xml:space="preserve"> dès lors que l’employeur est </w:t>
      </w:r>
      <w:proofErr w:type="gramStart"/>
      <w:r w:rsidRPr="00D06B1C">
        <w:rPr>
          <w:sz w:val="16"/>
          <w:szCs w:val="16"/>
        </w:rPr>
        <w:t>partie</w:t>
      </w:r>
      <w:proofErr w:type="gramEnd"/>
      <w:r w:rsidRPr="00D06B1C">
        <w:rPr>
          <w:sz w:val="16"/>
          <w:szCs w:val="16"/>
        </w:rPr>
        <w:t xml:space="preserve"> à une convention collective, ce qui est le cas pour près de 90 % des salariés suédois.</w:t>
      </w:r>
    </w:p>
  </w:footnote>
  <w:footnote w:id="228">
    <w:p w14:paraId="1B617E7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Bertrand Martinot, </w:t>
      </w:r>
      <w:r w:rsidRPr="00D06B1C">
        <w:rPr>
          <w:i/>
          <w:iCs/>
          <w:sz w:val="16"/>
          <w:szCs w:val="16"/>
        </w:rPr>
        <w:t xml:space="preserve">La capitalisation : un moyen de sortir par le haut de la crise des </w:t>
      </w:r>
      <w:proofErr w:type="gramStart"/>
      <w:r w:rsidRPr="00D06B1C">
        <w:rPr>
          <w:i/>
          <w:iCs/>
          <w:sz w:val="16"/>
          <w:szCs w:val="16"/>
        </w:rPr>
        <w:t>retraites ?</w:t>
      </w:r>
      <w:r w:rsidRPr="00D06B1C">
        <w:rPr>
          <w:sz w:val="16"/>
          <w:szCs w:val="16"/>
        </w:rPr>
        <w:t>,</w:t>
      </w:r>
      <w:proofErr w:type="gramEnd"/>
      <w:r w:rsidRPr="00D06B1C">
        <w:rPr>
          <w:sz w:val="16"/>
          <w:szCs w:val="16"/>
        </w:rPr>
        <w:t xml:space="preserve"> Fondation pour l’innovation politique, octobre 2024 (https://www.fondapol.org/etude/la-capitalisation-un-moyen-de-sortir-par-le-haut-de-la-crise-des-retraites/). Comparaison Suède-France des cotisations totales retraite, données 2024.</w:t>
      </w:r>
    </w:p>
  </w:footnote>
  <w:footnote w:id="229">
    <w:p w14:paraId="063C709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Pensionsmyndigheten, </w:t>
      </w:r>
      <w:r w:rsidRPr="00D06B1C">
        <w:rPr>
          <w:i/>
          <w:iCs/>
          <w:sz w:val="16"/>
          <w:szCs w:val="16"/>
        </w:rPr>
        <w:t>Pensionssystemet i bilder och siffror 2024</w:t>
      </w:r>
      <w:r w:rsidRPr="00D06B1C">
        <w:rPr>
          <w:sz w:val="16"/>
          <w:szCs w:val="16"/>
        </w:rPr>
        <w:t>, 2024 (https://www.pensionsmyndigheten.se/statistik). Bénéficiaires de la garantipension : environ 1,2 million de personnes en décembre 2024 ; supplément moyen de l’ordre de 2 000 SEK/mois en complément des droits acquis.</w:t>
      </w:r>
    </w:p>
  </w:footnote>
  <w:footnote w:id="230">
    <w:p w14:paraId="57B946B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Sites officiels AP1, AP2, AP3, AP4, AP6 et AP7 ; rapports annuels 2024. AP7 Såfa est le fonds par défaut PPM en cycle de vie : 100 % actions avant 55 ans, glissement progressif vers les obligations entre 56 et 75 ans, allocation finale 1/3 actions, 2/3 obligations à 75 ans.</w:t>
      </w:r>
    </w:p>
  </w:footnote>
  <w:footnote w:id="231">
    <w:p w14:paraId="79DBF60F"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AP1, AP2, AP3, AP4, communiqué conjoint, 2024 : « The AP Funds strengthen the income pension system by SEK 182 billion » (https://ap2.se/en/the-ap-funds-strengthen-the-income-pension-system-by-sek-182-billion/).</w:t>
      </w:r>
    </w:p>
  </w:footnote>
  <w:footnote w:id="232">
    <w:p w14:paraId="067B942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AP7, </w:t>
      </w:r>
      <w:r w:rsidRPr="00D06B1C">
        <w:rPr>
          <w:i/>
          <w:iCs/>
          <w:sz w:val="16"/>
          <w:szCs w:val="16"/>
          <w:lang w:val="en-GB"/>
        </w:rPr>
        <w:t>Annual Report 2024</w:t>
      </w:r>
      <w:r w:rsidRPr="00D06B1C">
        <w:rPr>
          <w:sz w:val="16"/>
          <w:szCs w:val="16"/>
          <w:lang w:val="en-GB"/>
        </w:rPr>
        <w:t xml:space="preserve">, 2025 (https://www.ap7.se). </w:t>
      </w:r>
      <w:r w:rsidRPr="00D06B1C">
        <w:rPr>
          <w:sz w:val="16"/>
          <w:szCs w:val="16"/>
        </w:rPr>
        <w:t>Frais de gestion AP7 Såfa : 0,05 % par an. Rendement de la poche actions AP7 en 2024 : 27,3 % nominal. Encours total AP7 fin 2024 : 126,2 milliards d’euros (113 Md€ poche actions, 13,2 Md€ poche obligations).</w:t>
      </w:r>
    </w:p>
  </w:footnote>
  <w:footnote w:id="233">
    <w:p w14:paraId="4DEED1C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2025</w:t>
      </w:r>
      <w:r w:rsidRPr="00D06B1C">
        <w:rPr>
          <w:sz w:val="16"/>
          <w:szCs w:val="16"/>
        </w:rPr>
        <w:t>, novembre 2025 (https://www.oecd.org/en/publications/2025/11/pensions-at-a-glance-2025_76510fe4/). Dépense publique de retraite : Suède 7,2 % du PIB, France 13,9 % du PIB, moyenne OCDE 9,1 %, données 2023-2024.</w:t>
      </w:r>
    </w:p>
  </w:footnote>
  <w:footnote w:id="234">
    <w:p w14:paraId="5DF217E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2025</w:t>
      </w:r>
      <w:r w:rsidRPr="00D06B1C">
        <w:rPr>
          <w:sz w:val="16"/>
          <w:szCs w:val="16"/>
        </w:rPr>
        <w:t>, fiches France et Suède, 2025. Taux de remplacement net retraite pour une cohorte née en 2002, carrière complète à temps plein, départ à l’âge légal : Suède 65,3 %, France 73,9 %, moyenne OCDE 73 %.</w:t>
      </w:r>
    </w:p>
  </w:footnote>
  <w:footnote w:id="235">
    <w:p w14:paraId="2B8AFE1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Thinking Ahead Institute, </w:t>
      </w:r>
      <w:r w:rsidRPr="00D06B1C">
        <w:rPr>
          <w:i/>
          <w:iCs/>
          <w:sz w:val="16"/>
          <w:szCs w:val="16"/>
          <w:lang w:val="en-GB"/>
        </w:rPr>
        <w:t>Global Pension Assets Study 2025</w:t>
      </w:r>
      <w:r w:rsidRPr="00D06B1C">
        <w:rPr>
          <w:sz w:val="16"/>
          <w:szCs w:val="16"/>
          <w:lang w:val="en-GB"/>
        </w:rPr>
        <w:t xml:space="preserve">, Willis Towers Watson, 2025 (https://www.thinkingaheadinstitute.org/research-papers/global-pension-assets-study-2025/). </w:t>
      </w:r>
      <w:r w:rsidRPr="00D06B1C">
        <w:rPr>
          <w:sz w:val="16"/>
          <w:szCs w:val="16"/>
        </w:rPr>
        <w:t>Encours fonds de pension 2024 en % du PIB : Suède 114,2 % (en baisse depuis le pic de 134 % en 2021), France 7 %.</w:t>
      </w:r>
    </w:p>
  </w:footnote>
  <w:footnote w:id="236">
    <w:p w14:paraId="0E435D2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Dealroom, </w:t>
      </w:r>
      <w:r w:rsidRPr="00D06B1C">
        <w:rPr>
          <w:i/>
          <w:iCs/>
          <w:sz w:val="16"/>
          <w:szCs w:val="16"/>
          <w:lang w:val="en-GB"/>
        </w:rPr>
        <w:t>Sweden 2024 Full Report</w:t>
      </w:r>
      <w:r w:rsidRPr="00D06B1C">
        <w:rPr>
          <w:sz w:val="16"/>
          <w:szCs w:val="16"/>
          <w:lang w:val="en-GB"/>
        </w:rPr>
        <w:t xml:space="preserve">, 2025 (https://dealroom.co/guides/sweden) ; Atomico, </w:t>
      </w:r>
      <w:r w:rsidRPr="00D06B1C">
        <w:rPr>
          <w:i/>
          <w:iCs/>
          <w:sz w:val="16"/>
          <w:szCs w:val="16"/>
          <w:lang w:val="en-GB"/>
        </w:rPr>
        <w:t>State of European Tech 2024</w:t>
      </w:r>
      <w:r w:rsidRPr="00D06B1C">
        <w:rPr>
          <w:sz w:val="16"/>
          <w:szCs w:val="16"/>
          <w:lang w:val="en-GB"/>
        </w:rPr>
        <w:t xml:space="preserve">, 2024. </w:t>
      </w:r>
      <w:r w:rsidRPr="00D06B1C">
        <w:rPr>
          <w:sz w:val="16"/>
          <w:szCs w:val="16"/>
        </w:rPr>
        <w:t>Stockholm : 41 licornes (valorisation &gt; 1 Md USD), deuxième écosystème mondial par habitant après la Silicon Valley.</w:t>
      </w:r>
    </w:p>
  </w:footnote>
  <w:footnote w:id="237">
    <w:p w14:paraId="495A5B7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AP7, </w:t>
      </w:r>
      <w:r w:rsidRPr="00D06B1C">
        <w:rPr>
          <w:i/>
          <w:iCs/>
          <w:sz w:val="16"/>
          <w:szCs w:val="16"/>
        </w:rPr>
        <w:t>Annual Report 2015</w:t>
      </w:r>
      <w:r w:rsidRPr="00D06B1C">
        <w:rPr>
          <w:sz w:val="16"/>
          <w:szCs w:val="16"/>
        </w:rPr>
        <w:t>, 2016. Révision du glide path d’AP7 Såfa en 2015, après les pertes 2008-2009 sur la PPM : aplatissement de la trajectoire, allocation actions maintenue plus longtemps (100 % jusqu’à 55 ans, puis baisse progressive de 2 points par an jusqu’à 75 ans).</w:t>
      </w:r>
    </w:p>
  </w:footnote>
  <w:footnote w:id="238">
    <w:p w14:paraId="2A74C9F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Ole Settergren, « The Automatic Balance Mechanism », </w:t>
      </w:r>
      <w:r w:rsidRPr="00D06B1C">
        <w:rPr>
          <w:i/>
          <w:iCs/>
          <w:sz w:val="16"/>
          <w:szCs w:val="16"/>
        </w:rPr>
        <w:t xml:space="preserve">op. </w:t>
      </w:r>
      <w:proofErr w:type="gramStart"/>
      <w:r w:rsidRPr="00D06B1C">
        <w:rPr>
          <w:i/>
          <w:iCs/>
          <w:sz w:val="16"/>
          <w:szCs w:val="16"/>
        </w:rPr>
        <w:t>cit</w:t>
      </w:r>
      <w:proofErr w:type="gramEnd"/>
      <w:r w:rsidRPr="00D06B1C">
        <w:rPr>
          <w:i/>
          <w:iCs/>
          <w:sz w:val="16"/>
          <w:szCs w:val="16"/>
        </w:rPr>
        <w:t>.</w:t>
      </w:r>
      <w:r w:rsidRPr="00D06B1C">
        <w:rPr>
          <w:sz w:val="16"/>
          <w:szCs w:val="16"/>
        </w:rPr>
        <w:t xml:space="preserve"> ; Pensionsmyndigheten, rapports annuels 2010, 2011, 2020. Activations de la </w:t>
      </w:r>
      <w:r w:rsidRPr="00D06B1C">
        <w:rPr>
          <w:i/>
          <w:iCs/>
          <w:sz w:val="16"/>
          <w:szCs w:val="16"/>
        </w:rPr>
        <w:t>bromsen</w:t>
      </w:r>
      <w:r w:rsidRPr="00D06B1C">
        <w:rPr>
          <w:sz w:val="16"/>
          <w:szCs w:val="16"/>
        </w:rPr>
        <w:t xml:space="preserve"> en 2010, 2011 (séquelles 2008-2009) et 2020 (COVID), avec ajustements à la baisse des pensions de l’ordre de 0,5 à 3 %.</w:t>
      </w:r>
    </w:p>
  </w:footnote>
  <w:footnote w:id="239">
    <w:p w14:paraId="5D73DBD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La Presse</w:t>
      </w:r>
      <w:r w:rsidRPr="00D06B1C">
        <w:rPr>
          <w:sz w:val="16"/>
          <w:szCs w:val="16"/>
        </w:rPr>
        <w:t xml:space="preserve">, « Du rêve au cauchemar », 12 mars 2025 (https://www.lapresse.ca/affaires/entreprises/2025-03-12/northvolt-en-faillite/). Northvolt : faillite (Chapter 11) déposée en novembre 2024 aux États-Unis, liquidation suédoise déclarée le 12 mars 2025, environ 5 000 emplois affectés. Peter Carlsson, cofondateur et CEO, ancien cadre Tesla, a démissionné en novembre 2024. Les fonds de pension publics suédois AP1 à AP4 avaient investi, via leur véhicule commun </w:t>
      </w:r>
      <w:r w:rsidRPr="00D06B1C">
        <w:rPr>
          <w:i/>
          <w:iCs/>
          <w:sz w:val="16"/>
          <w:szCs w:val="16"/>
        </w:rPr>
        <w:t>4 to 1 Investments AB</w:t>
      </w:r>
      <w:r w:rsidRPr="00D06B1C">
        <w:rPr>
          <w:sz w:val="16"/>
          <w:szCs w:val="16"/>
        </w:rPr>
        <w:t>, environ 531 millions de dollars (5,8 Md SEK) dans Northvolt (actions et dette convertible) ; la seule participation d’AP2 valait environ 1,5 Md SEK début 2024 (TT/Bloomberg, 2025).</w:t>
      </w:r>
    </w:p>
  </w:footnote>
  <w:footnote w:id="240">
    <w:p w14:paraId="40C6D22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DREES, </w:t>
      </w:r>
      <w:r w:rsidRPr="00D06B1C">
        <w:rPr>
          <w:i/>
          <w:iCs/>
          <w:sz w:val="16"/>
          <w:szCs w:val="16"/>
        </w:rPr>
        <w:t>Les retraités et les retraites</w:t>
      </w:r>
      <w:r w:rsidRPr="00D06B1C">
        <w:rPr>
          <w:sz w:val="16"/>
          <w:szCs w:val="16"/>
        </w:rPr>
        <w:t xml:space="preserve">, éditions récentes, et Eurostat, </w:t>
      </w:r>
      <w:r w:rsidRPr="00D06B1C">
        <w:rPr>
          <w:i/>
          <w:iCs/>
          <w:sz w:val="16"/>
          <w:szCs w:val="16"/>
        </w:rPr>
        <w:t>Gender Pension Gap</w:t>
      </w:r>
      <w:r w:rsidRPr="00D06B1C">
        <w:rPr>
          <w:sz w:val="16"/>
          <w:szCs w:val="16"/>
        </w:rPr>
        <w:t>. En France, la pension des femmes est inférieure d’environ 28 % à celle des hommes pour l’ensemble des retraités (pensions de réversion incluses) et d’environ 40 % sur les seuls droits directs (données 2019-2022). L’écart est d’un ordre comparable en Suède (~25-28 %) ; moyenne de l’Union européenne ~26-29 %.</w:t>
      </w:r>
    </w:p>
  </w:footnote>
  <w:footnote w:id="241">
    <w:p w14:paraId="267806D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Paul Keating, </w:t>
      </w:r>
      <w:r w:rsidRPr="00D06B1C">
        <w:rPr>
          <w:i/>
          <w:iCs/>
          <w:sz w:val="16"/>
          <w:szCs w:val="16"/>
          <w:lang w:val="en-GB"/>
        </w:rPr>
        <w:t>The Story of Modern Superannuation</w:t>
      </w:r>
      <w:r w:rsidRPr="00D06B1C">
        <w:rPr>
          <w:sz w:val="16"/>
          <w:szCs w:val="16"/>
          <w:lang w:val="en-GB"/>
        </w:rPr>
        <w:t xml:space="preserve">, discours du 31 octobre 2007 (https://www.paulkeating.net.au/shop/item/the-story-of-modern-superannuation-31-october-2007). </w:t>
      </w:r>
      <w:r w:rsidRPr="00D06B1C">
        <w:rPr>
          <w:sz w:val="16"/>
          <w:szCs w:val="16"/>
        </w:rPr>
        <w:t xml:space="preserve">Récit autobiographique de Keating sur la séquence 1983-1992 : </w:t>
      </w:r>
      <w:r w:rsidRPr="00D06B1C">
        <w:rPr>
          <w:i/>
          <w:iCs/>
          <w:sz w:val="16"/>
          <w:szCs w:val="16"/>
        </w:rPr>
        <w:t>Prices and Incomes Accord</w:t>
      </w:r>
      <w:r w:rsidRPr="00D06B1C">
        <w:rPr>
          <w:sz w:val="16"/>
          <w:szCs w:val="16"/>
        </w:rPr>
        <w:t xml:space="preserve"> Mark I (1983), Mark II (1985), élargissement par voie d’awards industriels (1987-1991), et </w:t>
      </w:r>
      <w:r w:rsidRPr="00D06B1C">
        <w:rPr>
          <w:i/>
          <w:iCs/>
          <w:sz w:val="16"/>
          <w:szCs w:val="16"/>
        </w:rPr>
        <w:t>Superannuation Guarantee Act</w:t>
      </w:r>
      <w:r w:rsidRPr="00D06B1C">
        <w:rPr>
          <w:sz w:val="16"/>
          <w:szCs w:val="16"/>
        </w:rPr>
        <w:t xml:space="preserve"> (1992).</w:t>
      </w:r>
    </w:p>
  </w:footnote>
  <w:footnote w:id="242">
    <w:p w14:paraId="65AB518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Bill Kelty a été secrétaire général de l’ACTU (Australian Council of Trade Unions) de 1983 à 2000. Son rôle dans la négociation de l’Accord Mark II et de l’extension de la </w:t>
      </w:r>
      <w:r w:rsidRPr="00D06B1C">
        <w:rPr>
          <w:i/>
          <w:iCs/>
          <w:sz w:val="16"/>
          <w:szCs w:val="16"/>
        </w:rPr>
        <w:t>superannuation</w:t>
      </w:r>
      <w:r w:rsidRPr="00D06B1C">
        <w:rPr>
          <w:sz w:val="16"/>
          <w:szCs w:val="16"/>
        </w:rPr>
        <w:t xml:space="preserve"> aux ouvriers est documenté dans : John Edwards, </w:t>
      </w:r>
      <w:proofErr w:type="gramStart"/>
      <w:r w:rsidRPr="00D06B1C">
        <w:rPr>
          <w:i/>
          <w:iCs/>
          <w:sz w:val="16"/>
          <w:szCs w:val="16"/>
        </w:rPr>
        <w:t>Keating:</w:t>
      </w:r>
      <w:proofErr w:type="gramEnd"/>
      <w:r w:rsidRPr="00D06B1C">
        <w:rPr>
          <w:i/>
          <w:iCs/>
          <w:sz w:val="16"/>
          <w:szCs w:val="16"/>
        </w:rPr>
        <w:t xml:space="preserve"> The Inside Story</w:t>
      </w:r>
      <w:r w:rsidRPr="00D06B1C">
        <w:rPr>
          <w:sz w:val="16"/>
          <w:szCs w:val="16"/>
        </w:rPr>
        <w:t>, Viking, 1996 ; et dans les archives du Treasury australien.</w:t>
      </w:r>
    </w:p>
  </w:footnote>
  <w:footnote w:id="243">
    <w:p w14:paraId="78647A3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Superannuation Guarantee (Administration) Act 1992</w:t>
      </w:r>
      <w:r w:rsidRPr="00D06B1C">
        <w:rPr>
          <w:sz w:val="16"/>
          <w:szCs w:val="16"/>
        </w:rPr>
        <w:t>, Royal Assent 21 août 1992, entrée en vigueur 1ᵉʳ juillet 1992 (https://www.austlii.edu.au/cgi-bin/viewdb/au/legis/cth/consol_act/sga1992430/). Taux initial 3 %, montée programmée jusqu’à 9 % en 2002.</w:t>
      </w:r>
    </w:p>
  </w:footnote>
  <w:footnote w:id="244">
    <w:p w14:paraId="41B0A03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ATO (Australian Taxation Office), </w:t>
      </w:r>
      <w:r w:rsidRPr="00D06B1C">
        <w:rPr>
          <w:i/>
          <w:iCs/>
          <w:sz w:val="16"/>
          <w:szCs w:val="16"/>
        </w:rPr>
        <w:t>Key Superannuation Rates and Thresholds</w:t>
      </w:r>
      <w:r w:rsidRPr="00D06B1C">
        <w:rPr>
          <w:sz w:val="16"/>
          <w:szCs w:val="16"/>
        </w:rPr>
        <w:t>, historique des taux SG 1992-2025 (https://www.ato.gov.au/tax-rates-and-codes/key-superannuation-rates-and-thresholds/super-guarantee). Gel à 9,5 % de 2014-2015 à 2020-2021 sous les gouvernements Abbott, Turnbull et Morrison.</w:t>
      </w:r>
    </w:p>
  </w:footnote>
  <w:footnote w:id="245">
    <w:p w14:paraId="2FFE2AF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ATO, </w:t>
      </w:r>
      <w:r w:rsidRPr="00D06B1C">
        <w:rPr>
          <w:i/>
          <w:iCs/>
          <w:sz w:val="16"/>
          <w:szCs w:val="16"/>
        </w:rPr>
        <w:t xml:space="preserve">op. </w:t>
      </w:r>
      <w:proofErr w:type="gramStart"/>
      <w:r w:rsidRPr="00D06B1C">
        <w:rPr>
          <w:i/>
          <w:iCs/>
          <w:sz w:val="16"/>
          <w:szCs w:val="16"/>
        </w:rPr>
        <w:t>cit</w:t>
      </w:r>
      <w:proofErr w:type="gramEnd"/>
      <w:r w:rsidRPr="00D06B1C">
        <w:rPr>
          <w:i/>
          <w:iCs/>
          <w:sz w:val="16"/>
          <w:szCs w:val="16"/>
        </w:rPr>
        <w:t>.</w:t>
      </w:r>
      <w:r w:rsidRPr="00D06B1C">
        <w:rPr>
          <w:sz w:val="16"/>
          <w:szCs w:val="16"/>
        </w:rPr>
        <w:t xml:space="preserve"> Taux SG : 10,0 % (2021-22), 10,5 % (2022-23), 11,0 % (2023-24), 11,5 % (2024-25), 12,0 % (depuis le 1ᵉʳ juillet 2025), stabilisé.</w:t>
      </w:r>
    </w:p>
  </w:footnote>
  <w:footnote w:id="246">
    <w:p w14:paraId="44C394F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APRA, </w:t>
      </w:r>
      <w:r w:rsidRPr="00D06B1C">
        <w:rPr>
          <w:i/>
          <w:iCs/>
          <w:sz w:val="16"/>
          <w:szCs w:val="16"/>
          <w:lang w:val="en-GB"/>
        </w:rPr>
        <w:t>Quarterly Superannuation Performance Statistics</w:t>
      </w:r>
      <w:r w:rsidRPr="00D06B1C">
        <w:rPr>
          <w:sz w:val="16"/>
          <w:szCs w:val="16"/>
          <w:lang w:val="en-GB"/>
        </w:rPr>
        <w:t xml:space="preserve"> </w:t>
      </w:r>
      <w:r w:rsidRPr="00D06B1C">
        <w:rPr>
          <w:i/>
          <w:iCs/>
          <w:sz w:val="16"/>
          <w:szCs w:val="16"/>
          <w:lang w:val="en-GB"/>
        </w:rPr>
        <w:t>- June 2025</w:t>
      </w:r>
      <w:r w:rsidRPr="00D06B1C">
        <w:rPr>
          <w:sz w:val="16"/>
          <w:szCs w:val="16"/>
          <w:lang w:val="en-GB"/>
        </w:rPr>
        <w:t xml:space="preserve">, 2025 (https://www.apra.gov.au/quarterly-superannuation-performance-statistics-highlights-june-2025). </w:t>
      </w:r>
      <w:r w:rsidRPr="00D06B1C">
        <w:rPr>
          <w:sz w:val="16"/>
          <w:szCs w:val="16"/>
        </w:rPr>
        <w:t xml:space="preserve">Encours total : 4,3 trillions AUD (environ 2 600 Md€), dont 3,2 T en fonds régulés APRA et 1,1 T en fonds auto-gérés (SMSF, </w:t>
      </w:r>
      <w:r w:rsidRPr="00D06B1C">
        <w:rPr>
          <w:i/>
          <w:iCs/>
          <w:sz w:val="16"/>
          <w:szCs w:val="16"/>
        </w:rPr>
        <w:t>self-managed super funds</w:t>
      </w:r>
      <w:r w:rsidRPr="00D06B1C">
        <w:rPr>
          <w:sz w:val="16"/>
          <w:szCs w:val="16"/>
        </w:rPr>
        <w:t>).</w:t>
      </w:r>
    </w:p>
  </w:footnote>
  <w:footnote w:id="247">
    <w:p w14:paraId="1E374B0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AustralianSuper, </w:t>
      </w:r>
      <w:r w:rsidRPr="00D06B1C">
        <w:rPr>
          <w:i/>
          <w:iCs/>
          <w:sz w:val="16"/>
          <w:szCs w:val="16"/>
          <w:lang w:val="en-GB"/>
        </w:rPr>
        <w:t>2024-25 Annual Report</w:t>
      </w:r>
      <w:r w:rsidRPr="00D06B1C">
        <w:rPr>
          <w:sz w:val="16"/>
          <w:szCs w:val="16"/>
          <w:lang w:val="en-GB"/>
        </w:rPr>
        <w:t xml:space="preserve">, 2025 (https://www.australiansuper.com/about-us/annual-report) ; APRA, </w:t>
      </w:r>
      <w:r w:rsidRPr="00D06B1C">
        <w:rPr>
          <w:i/>
          <w:iCs/>
          <w:sz w:val="16"/>
          <w:szCs w:val="16"/>
          <w:lang w:val="en-GB"/>
        </w:rPr>
        <w:t>Top 10 Super Funds</w:t>
      </w:r>
      <w:r w:rsidRPr="00D06B1C">
        <w:rPr>
          <w:sz w:val="16"/>
          <w:szCs w:val="16"/>
          <w:lang w:val="en-GB"/>
        </w:rPr>
        <w:t xml:space="preserve">, 2025. </w:t>
      </w:r>
      <w:r w:rsidRPr="00D06B1C">
        <w:rPr>
          <w:sz w:val="16"/>
          <w:szCs w:val="16"/>
        </w:rPr>
        <w:t>AustralianSuper : 385 Md AUD, 3,67 millions de membres au 30 juin 2025.</w:t>
      </w:r>
    </w:p>
  </w:footnote>
  <w:footnote w:id="248">
    <w:p w14:paraId="4A474B2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AustralianSuper, </w:t>
      </w:r>
      <w:r w:rsidRPr="00D06B1C">
        <w:rPr>
          <w:i/>
          <w:iCs/>
          <w:sz w:val="16"/>
          <w:szCs w:val="16"/>
        </w:rPr>
        <w:t>FY25 Investment Performance</w:t>
      </w:r>
      <w:r w:rsidRPr="00D06B1C">
        <w:rPr>
          <w:sz w:val="16"/>
          <w:szCs w:val="16"/>
        </w:rPr>
        <w:t xml:space="preserve">, juillet 2025 (https://www.australiansuper.com/investments/investment-articles/2025/07/fy25-investment-performance). Option </w:t>
      </w:r>
      <w:r w:rsidRPr="00D06B1C">
        <w:rPr>
          <w:i/>
          <w:iCs/>
          <w:sz w:val="16"/>
          <w:szCs w:val="16"/>
        </w:rPr>
        <w:t>Balanced</w:t>
      </w:r>
      <w:r w:rsidRPr="00D06B1C">
        <w:rPr>
          <w:sz w:val="16"/>
          <w:szCs w:val="16"/>
        </w:rPr>
        <w:t xml:space="preserve"> : 7,94 % annualisé sur 10 ans glissants, 8,53 % sur 5 ans, 8,72 % sur 3 ans (au 30 juin 2025, net de frais).</w:t>
      </w:r>
    </w:p>
  </w:footnote>
  <w:footnote w:id="249">
    <w:p w14:paraId="2C1BD73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APRA, </w:t>
      </w:r>
      <w:r w:rsidRPr="00D06B1C">
        <w:rPr>
          <w:i/>
          <w:iCs/>
          <w:sz w:val="16"/>
          <w:szCs w:val="16"/>
          <w:lang w:val="en-GB"/>
        </w:rPr>
        <w:t>2025 Annual Superannuation Performance Test</w:t>
      </w:r>
      <w:r w:rsidRPr="00D06B1C">
        <w:rPr>
          <w:sz w:val="16"/>
          <w:szCs w:val="16"/>
          <w:lang w:val="en-GB"/>
        </w:rPr>
        <w:t xml:space="preserve"> </w:t>
      </w:r>
      <w:r w:rsidRPr="00D06B1C">
        <w:rPr>
          <w:i/>
          <w:iCs/>
          <w:sz w:val="16"/>
          <w:szCs w:val="16"/>
          <w:lang w:val="en-GB"/>
        </w:rPr>
        <w:t>- MySuper Products</w:t>
      </w:r>
      <w:r w:rsidRPr="00D06B1C">
        <w:rPr>
          <w:sz w:val="16"/>
          <w:szCs w:val="16"/>
          <w:lang w:val="en-GB"/>
        </w:rPr>
        <w:t xml:space="preserve">, 2025 (https://www.apra.gov.au/2025-annual-superannuation-performance-test-mysuper-products). </w:t>
      </w:r>
      <w:r w:rsidRPr="00D06B1C">
        <w:rPr>
          <w:sz w:val="16"/>
          <w:szCs w:val="16"/>
        </w:rPr>
        <w:t>Premier test 2021 : 13 produits MySuper en échec (sur 76 évalués) ; depuis, neuf produits sous-performants ont quitté le marché ; test 2025 : un seul échec (AMG Super, fermé aux nouveaux membres depuis 2022, recalé pour la troisième fois) sur 64 produits évalués. Le test compare le rendement net de chaque produit à un benchmark composite sur 8 ans.</w:t>
      </w:r>
    </w:p>
  </w:footnote>
  <w:footnote w:id="250">
    <w:p w14:paraId="431B1E1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ACCC, </w:t>
      </w:r>
      <w:r w:rsidRPr="00D06B1C">
        <w:rPr>
          <w:i/>
          <w:iCs/>
          <w:sz w:val="16"/>
          <w:szCs w:val="16"/>
        </w:rPr>
        <w:t>Sydney Aviation Alliance acquisition of Sydney Airport</w:t>
      </w:r>
      <w:r w:rsidRPr="00D06B1C">
        <w:rPr>
          <w:sz w:val="16"/>
          <w:szCs w:val="16"/>
        </w:rPr>
        <w:t>, 2022 (https://www.accc.gov.au/public-registers/mergers-registers/public-informal-merger-reviews/sydney-aviation-alliance-pty-ltd-sydney-airport). Acquisition finalisée en 2022 par un consortium IFM Investors / AustralianSuper / Australian Retirement Trust / UniSuper / Global Infrastructure Partners. Valeur d’entreprise supérieure à 20 milliards de dollars australiens.</w:t>
      </w:r>
    </w:p>
  </w:footnote>
  <w:footnote w:id="251">
    <w:p w14:paraId="025EF19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Deloitte, </w:t>
      </w:r>
      <w:r w:rsidRPr="00D06B1C">
        <w:rPr>
          <w:i/>
          <w:iCs/>
          <w:sz w:val="16"/>
          <w:szCs w:val="16"/>
        </w:rPr>
        <w:t>Dynamics of the Australian Superannuation System</w:t>
      </w:r>
      <w:r w:rsidRPr="00D06B1C">
        <w:rPr>
          <w:sz w:val="16"/>
          <w:szCs w:val="16"/>
        </w:rPr>
        <w:t xml:space="preserve">, 2024 (https://www.investordaily.com.au/superannuation/54865-super-on-track-to-represent-more-than-half-of-asx-market-cap-deloitte). Détention par les fonds </w:t>
      </w:r>
      <w:r w:rsidRPr="00D06B1C">
        <w:rPr>
          <w:i/>
          <w:iCs/>
          <w:sz w:val="16"/>
          <w:szCs w:val="16"/>
        </w:rPr>
        <w:t>super</w:t>
      </w:r>
      <w:r w:rsidRPr="00D06B1C">
        <w:rPr>
          <w:sz w:val="16"/>
          <w:szCs w:val="16"/>
        </w:rPr>
        <w:t xml:space="preserve"> : environ 35 % de la capitalisation de l’ASX en 2024, projection à 60 % à l’horizon 2038.</w:t>
      </w:r>
    </w:p>
  </w:footnote>
  <w:footnote w:id="252">
    <w:p w14:paraId="0F65EF8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Lee Kuan Yew, </w:t>
      </w:r>
      <w:r w:rsidRPr="00D06B1C">
        <w:rPr>
          <w:i/>
          <w:iCs/>
          <w:sz w:val="16"/>
          <w:szCs w:val="16"/>
          <w:lang w:val="en-GB"/>
        </w:rPr>
        <w:t>From Third World to First: The Singapore Story 1965-2000</w:t>
      </w:r>
      <w:r w:rsidRPr="00D06B1C">
        <w:rPr>
          <w:sz w:val="16"/>
          <w:szCs w:val="16"/>
          <w:lang w:val="en-GB"/>
        </w:rPr>
        <w:t xml:space="preserve">, HarperCollins, 2000. Chapitres 9 (« CPF, the Bedrock of Social Security ») et 10 (« A Home-Owning Society »). </w:t>
      </w:r>
      <w:r w:rsidRPr="00D06B1C">
        <w:rPr>
          <w:sz w:val="16"/>
          <w:szCs w:val="16"/>
        </w:rPr>
        <w:t>Lee décrit le CPF comme « la pierre angulaire » de son projet de société de propriétaires épargnants plutôt qu’une société d’allocataires.</w:t>
      </w:r>
    </w:p>
  </w:footnote>
  <w:footnote w:id="253">
    <w:p w14:paraId="54A34CE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Goh Keng Swee a été ministre des Finances de Singapour de 1959 à 1965, puis à nouveau de 1967 à 1970, sous le PM Lee Kuan Yew. Sur son rôle dans la formation de la politique économique de Singapour : Tan Siok Sun, </w:t>
      </w:r>
      <w:r w:rsidRPr="00D06B1C">
        <w:rPr>
          <w:i/>
          <w:iCs/>
          <w:sz w:val="16"/>
          <w:szCs w:val="16"/>
        </w:rPr>
        <w:t xml:space="preserve">Goh Keng </w:t>
      </w:r>
      <w:proofErr w:type="gramStart"/>
      <w:r w:rsidRPr="00D06B1C">
        <w:rPr>
          <w:i/>
          <w:iCs/>
          <w:sz w:val="16"/>
          <w:szCs w:val="16"/>
        </w:rPr>
        <w:t>Swee:</w:t>
      </w:r>
      <w:proofErr w:type="gramEnd"/>
      <w:r w:rsidRPr="00D06B1C">
        <w:rPr>
          <w:i/>
          <w:iCs/>
          <w:sz w:val="16"/>
          <w:szCs w:val="16"/>
        </w:rPr>
        <w:t xml:space="preserve"> A Portrait</w:t>
      </w:r>
      <w:r w:rsidRPr="00D06B1C">
        <w:rPr>
          <w:sz w:val="16"/>
          <w:szCs w:val="16"/>
        </w:rPr>
        <w:t>, Editions Didier Millet, 2007. Il a aussi été ministre de la Défense, puis ministre de l’Éducation.</w:t>
      </w:r>
    </w:p>
  </w:footnote>
  <w:footnote w:id="254">
    <w:p w14:paraId="17C98373"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Lee Kuan Yew, </w:t>
      </w:r>
      <w:r w:rsidRPr="00D06B1C">
        <w:rPr>
          <w:i/>
          <w:iCs/>
          <w:sz w:val="16"/>
          <w:szCs w:val="16"/>
          <w:lang w:val="en-GB"/>
        </w:rPr>
        <w:t>From Third World to First</w:t>
      </w:r>
      <w:r w:rsidRPr="00D06B1C">
        <w:rPr>
          <w:sz w:val="16"/>
          <w:szCs w:val="16"/>
          <w:lang w:val="en-GB"/>
        </w:rPr>
        <w:t xml:space="preserve">, </w:t>
      </w:r>
      <w:r w:rsidRPr="00D06B1C">
        <w:rPr>
          <w:i/>
          <w:iCs/>
          <w:sz w:val="16"/>
          <w:szCs w:val="16"/>
          <w:lang w:val="en-GB"/>
        </w:rPr>
        <w:t>op. cit.</w:t>
      </w:r>
      <w:r w:rsidRPr="00D06B1C">
        <w:rPr>
          <w:sz w:val="16"/>
          <w:szCs w:val="16"/>
          <w:lang w:val="en-GB"/>
        </w:rPr>
        <w:t>, p. 116 : « My primary concern was to give every citizen a stake in the country and its future. »</w:t>
      </w:r>
    </w:p>
  </w:footnote>
  <w:footnote w:id="255">
    <w:p w14:paraId="28C4843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Department of Statistics Singapore, </w:t>
      </w:r>
      <w:r w:rsidRPr="00D06B1C">
        <w:rPr>
          <w:i/>
          <w:iCs/>
          <w:sz w:val="16"/>
          <w:szCs w:val="16"/>
          <w:lang w:val="en-GB"/>
        </w:rPr>
        <w:t>Home Ownership Rate</w:t>
      </w:r>
      <w:r w:rsidRPr="00D06B1C">
        <w:rPr>
          <w:sz w:val="16"/>
          <w:szCs w:val="16"/>
          <w:lang w:val="en-GB"/>
        </w:rPr>
        <w:t xml:space="preserve">, 2024 (https://www.singstat.gov.sg). </w:t>
      </w:r>
      <w:r w:rsidRPr="00D06B1C">
        <w:rPr>
          <w:sz w:val="16"/>
          <w:szCs w:val="16"/>
        </w:rPr>
        <w:t>Taux d’accession à la propriété : 90,9 % en 2024, dont environ 80 % en logement public HDB.</w:t>
      </w:r>
    </w:p>
  </w:footnote>
  <w:footnote w:id="256">
    <w:p w14:paraId="1611A0C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CPF Board, </w:t>
      </w:r>
      <w:r w:rsidRPr="00D06B1C">
        <w:rPr>
          <w:i/>
          <w:iCs/>
          <w:sz w:val="16"/>
          <w:szCs w:val="16"/>
          <w:lang w:val="en-GB"/>
        </w:rPr>
        <w:t>CPF Annual Report 2024</w:t>
      </w:r>
      <w:r w:rsidRPr="00D06B1C">
        <w:rPr>
          <w:sz w:val="16"/>
          <w:szCs w:val="16"/>
          <w:lang w:val="en-GB"/>
        </w:rPr>
        <w:t xml:space="preserve">, 2025 (https://www.cpf.gov.sg/content/dam/web/member/infohub/documents/CPF%20Annual%20Report%202024%20Part%201.pdf). </w:t>
      </w:r>
      <w:r w:rsidRPr="00D06B1C">
        <w:rPr>
          <w:sz w:val="16"/>
          <w:szCs w:val="16"/>
        </w:rPr>
        <w:t>Architecture des quatre comptes : Ordinary Account (OA, 2,5 % d’intérêt garanti), Special Account (SA, 4 % garanti, fermé aux 55+ depuis le 19 janvier 2025), MediSave Account (MA, 4 % garanti), Retirement Account (RA, créé à 55 ans, 4 % garanti).</w:t>
      </w:r>
    </w:p>
  </w:footnote>
  <w:footnote w:id="257">
    <w:p w14:paraId="3D51C7D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CPF Board, </w:t>
      </w:r>
      <w:r w:rsidRPr="00D06B1C">
        <w:rPr>
          <w:i/>
          <w:iCs/>
          <w:sz w:val="16"/>
          <w:szCs w:val="16"/>
          <w:lang w:val="en-GB"/>
        </w:rPr>
        <w:t>Contribution Rates from 1 January 2026</w:t>
      </w:r>
      <w:r w:rsidRPr="00D06B1C">
        <w:rPr>
          <w:sz w:val="16"/>
          <w:szCs w:val="16"/>
          <w:lang w:val="en-GB"/>
        </w:rPr>
        <w:t xml:space="preserve">, 2025 (https://www.cpf.gov.sg/employer/infohub/news/cpf-related-announcements/new-contribution-rates). </w:t>
      </w:r>
      <w:r w:rsidRPr="00D06B1C">
        <w:rPr>
          <w:sz w:val="16"/>
          <w:szCs w:val="16"/>
        </w:rPr>
        <w:t>Pour les ≤ 55 ans : 17 % employeur + 20 % salarié = 37 % total. Au-delà : 55-60 ans 34 %, 60-65 ans 25 %, 65-70 ans 16,5 %, &gt; 70 ans 12,5 %. Plafond contributif : 8 000 SGD/mois depuis le 1ᵉʳ janvier 2026.</w:t>
      </w:r>
    </w:p>
  </w:footnote>
  <w:footnote w:id="258">
    <w:p w14:paraId="056D2D6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GIC, </w:t>
      </w:r>
      <w:r w:rsidRPr="00D06B1C">
        <w:rPr>
          <w:i/>
          <w:iCs/>
          <w:sz w:val="16"/>
          <w:szCs w:val="16"/>
        </w:rPr>
        <w:t>Annual Report 2024-25</w:t>
      </w:r>
      <w:r w:rsidRPr="00D06B1C">
        <w:rPr>
          <w:sz w:val="16"/>
          <w:szCs w:val="16"/>
        </w:rPr>
        <w:t xml:space="preserve">, 2025 (https://www.gic.com.sg). GIC ne publie pas le total exact de ses encours mais celui-ci est estimé par les analystes financiers (notamment </w:t>
      </w:r>
      <w:r w:rsidRPr="00D06B1C">
        <w:rPr>
          <w:i/>
          <w:iCs/>
          <w:sz w:val="16"/>
          <w:szCs w:val="16"/>
        </w:rPr>
        <w:t>SWF Institute</w:t>
      </w:r>
      <w:r w:rsidRPr="00D06B1C">
        <w:rPr>
          <w:sz w:val="16"/>
          <w:szCs w:val="16"/>
        </w:rPr>
        <w:t xml:space="preserve">) à environ 800 milliards de dollars US à mi-2025. GIC gère également une partie des réserves du CPF via les </w:t>
      </w:r>
      <w:r w:rsidRPr="00D06B1C">
        <w:rPr>
          <w:i/>
          <w:iCs/>
          <w:sz w:val="16"/>
          <w:szCs w:val="16"/>
        </w:rPr>
        <w:t>Special Singapore Government Securities</w:t>
      </w:r>
      <w:r w:rsidRPr="00D06B1C">
        <w:rPr>
          <w:sz w:val="16"/>
          <w:szCs w:val="16"/>
        </w:rPr>
        <w:t xml:space="preserve"> (SSGS).</w:t>
      </w:r>
    </w:p>
  </w:footnote>
  <w:footnote w:id="259">
    <w:p w14:paraId="487359C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Workers’ Party Singapore, </w:t>
      </w:r>
      <w:r w:rsidRPr="00D06B1C">
        <w:rPr>
          <w:i/>
          <w:iCs/>
          <w:sz w:val="16"/>
          <w:szCs w:val="16"/>
          <w:lang w:val="en-GB"/>
        </w:rPr>
        <w:t>CPF: What is at Stake for You</w:t>
      </w:r>
      <w:r w:rsidRPr="00D06B1C">
        <w:rPr>
          <w:sz w:val="16"/>
          <w:szCs w:val="16"/>
          <w:lang w:val="en-GB"/>
        </w:rPr>
        <w:t xml:space="preserve">, plateforme programmatique 2020-2025 (https://www.wp.sg/cpf-what-is-at-stake-for-you). </w:t>
      </w:r>
      <w:r w:rsidRPr="00D06B1C">
        <w:rPr>
          <w:sz w:val="16"/>
          <w:szCs w:val="16"/>
        </w:rPr>
        <w:t>Le Workers’ Party propose de partager une partie de l’écart entre les rendements GIC et les taux CPF garantis avec les membres.</w:t>
      </w:r>
    </w:p>
  </w:footnote>
  <w:footnote w:id="260">
    <w:p w14:paraId="0C48ECB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CPF Board, </w:t>
      </w:r>
      <w:r w:rsidRPr="00D06B1C">
        <w:rPr>
          <w:i/>
          <w:iCs/>
          <w:sz w:val="16"/>
          <w:szCs w:val="16"/>
          <w:lang w:val="en-GB"/>
        </w:rPr>
        <w:t>CPF Annual Report 2024</w:t>
      </w:r>
      <w:r w:rsidRPr="00D06B1C">
        <w:rPr>
          <w:sz w:val="16"/>
          <w:szCs w:val="16"/>
          <w:lang w:val="en-GB"/>
        </w:rPr>
        <w:t xml:space="preserve">, </w:t>
      </w:r>
      <w:r w:rsidRPr="00D06B1C">
        <w:rPr>
          <w:i/>
          <w:iCs/>
          <w:sz w:val="16"/>
          <w:szCs w:val="16"/>
          <w:lang w:val="en-GB"/>
        </w:rPr>
        <w:t>op. cit.</w:t>
      </w:r>
      <w:r w:rsidRPr="00D06B1C">
        <w:rPr>
          <w:sz w:val="16"/>
          <w:szCs w:val="16"/>
          <w:lang w:val="en-GB"/>
        </w:rPr>
        <w:t xml:space="preserve"> </w:t>
      </w:r>
      <w:r w:rsidRPr="00D06B1C">
        <w:rPr>
          <w:sz w:val="16"/>
          <w:szCs w:val="16"/>
        </w:rPr>
        <w:t xml:space="preserve">Encours total </w:t>
      </w:r>
      <w:proofErr w:type="gramStart"/>
      <w:r w:rsidRPr="00D06B1C">
        <w:rPr>
          <w:sz w:val="16"/>
          <w:szCs w:val="16"/>
        </w:rPr>
        <w:t>CPF :</w:t>
      </w:r>
      <w:proofErr w:type="gramEnd"/>
      <w:r w:rsidRPr="00D06B1C">
        <w:rPr>
          <w:sz w:val="16"/>
          <w:szCs w:val="16"/>
        </w:rPr>
        <w:t xml:space="preserve"> 609,5 Md SGD à fin 2024, 4,2 </w:t>
      </w:r>
      <w:proofErr w:type="gramStart"/>
      <w:r w:rsidRPr="00D06B1C">
        <w:rPr>
          <w:sz w:val="16"/>
          <w:szCs w:val="16"/>
        </w:rPr>
        <w:t>millions</w:t>
      </w:r>
      <w:proofErr w:type="gramEnd"/>
      <w:r w:rsidRPr="00D06B1C">
        <w:rPr>
          <w:sz w:val="16"/>
          <w:szCs w:val="16"/>
        </w:rPr>
        <w:t xml:space="preserve"> de membres actifs. Intérêts crédités sur l’année : 22,4 Md SGD, dont 1,9 Md de bonus d’intérêt extra pour les bas soldes et les seniors.</w:t>
      </w:r>
    </w:p>
  </w:footnote>
  <w:footnote w:id="261">
    <w:p w14:paraId="64ADB06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CPF Board, </w:t>
      </w:r>
      <w:r w:rsidRPr="00D06B1C">
        <w:rPr>
          <w:i/>
          <w:iCs/>
          <w:sz w:val="16"/>
          <w:szCs w:val="16"/>
          <w:lang w:val="en-GB"/>
        </w:rPr>
        <w:t>Closure of Special Account for members aged 55 and above</w:t>
      </w:r>
      <w:r w:rsidRPr="00D06B1C">
        <w:rPr>
          <w:sz w:val="16"/>
          <w:szCs w:val="16"/>
          <w:lang w:val="en-GB"/>
        </w:rPr>
        <w:t xml:space="preserve">, 19 janvier 2025 (https://www.cpf.gov.sg). </w:t>
      </w:r>
      <w:r w:rsidRPr="00D06B1C">
        <w:rPr>
          <w:sz w:val="16"/>
          <w:szCs w:val="16"/>
        </w:rPr>
        <w:t xml:space="preserve">Les fonds SA des 55+ ont été redirigés vers le RA pour la part en-dessous du </w:t>
      </w:r>
      <w:r w:rsidRPr="00D06B1C">
        <w:rPr>
          <w:i/>
          <w:iCs/>
          <w:sz w:val="16"/>
          <w:szCs w:val="16"/>
        </w:rPr>
        <w:t>Full Retirement Sum</w:t>
      </w:r>
      <w:r w:rsidRPr="00D06B1C">
        <w:rPr>
          <w:sz w:val="16"/>
          <w:szCs w:val="16"/>
        </w:rPr>
        <w:t>, et vers l’OA pour le reste, dans un objectif de simplification.</w:t>
      </w:r>
    </w:p>
  </w:footnote>
  <w:footnote w:id="262">
    <w:p w14:paraId="765602D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Ministry of Finance Singapore, </w:t>
      </w:r>
      <w:r w:rsidRPr="00D06B1C">
        <w:rPr>
          <w:i/>
          <w:iCs/>
          <w:sz w:val="16"/>
          <w:szCs w:val="16"/>
        </w:rPr>
        <w:t>Majulah Package</w:t>
      </w:r>
      <w:r w:rsidRPr="00D06B1C">
        <w:rPr>
          <w:sz w:val="16"/>
          <w:szCs w:val="16"/>
        </w:rPr>
        <w:t>, annonce du Premier ministre Lee Hsien Loong, 20 août 2023. Programme de 7 milliards SGD ciblant les Singapouriens nés entre 1965 et 1973, sous forme d’abondements aux comptes CPF, de bonus retraite et de soutien à l’emploi des seniors.</w:t>
      </w:r>
    </w:p>
  </w:footnote>
  <w:footnote w:id="263">
    <w:p w14:paraId="5CB6CEC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Ministry of Manpower Singapore, </w:t>
      </w:r>
      <w:r w:rsidRPr="00D06B1C">
        <w:rPr>
          <w:i/>
          <w:iCs/>
          <w:sz w:val="16"/>
          <w:szCs w:val="16"/>
          <w:lang w:val="en-GB"/>
        </w:rPr>
        <w:t>Silver Support Scheme</w:t>
      </w:r>
      <w:r w:rsidRPr="00D06B1C">
        <w:rPr>
          <w:sz w:val="16"/>
          <w:szCs w:val="16"/>
          <w:lang w:val="en-GB"/>
        </w:rPr>
        <w:t xml:space="preserve">, 2024 (https://www.silversupport.gov.sg). </w:t>
      </w:r>
      <w:r w:rsidRPr="00D06B1C">
        <w:rPr>
          <w:sz w:val="16"/>
          <w:szCs w:val="16"/>
        </w:rPr>
        <w:t>Critères d’éligibilité : 65 ans et plus, contributions CPF totales à 55 ans inférieures à 140 000 SGD, logement HDB 1-5 pièces, faible revenu familial par tête.</w:t>
      </w:r>
    </w:p>
  </w:footnote>
  <w:footnote w:id="264">
    <w:p w14:paraId="6C26E99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Milliman, </w:t>
      </w:r>
      <w:r w:rsidRPr="00D06B1C">
        <w:rPr>
          <w:i/>
          <w:iCs/>
          <w:sz w:val="16"/>
          <w:szCs w:val="16"/>
          <w:lang w:val="en-GB"/>
        </w:rPr>
        <w:t>Singapore Retirement Savings Gender Gap</w:t>
      </w:r>
      <w:r w:rsidRPr="00D06B1C">
        <w:rPr>
          <w:sz w:val="16"/>
          <w:szCs w:val="16"/>
          <w:lang w:val="en-GB"/>
        </w:rPr>
        <w:t xml:space="preserve"> </w:t>
      </w:r>
      <w:r w:rsidRPr="00D06B1C">
        <w:rPr>
          <w:i/>
          <w:iCs/>
          <w:sz w:val="16"/>
          <w:szCs w:val="16"/>
          <w:lang w:val="en-GB"/>
        </w:rPr>
        <w:t>- 2021 Update</w:t>
      </w:r>
      <w:r w:rsidRPr="00D06B1C">
        <w:rPr>
          <w:sz w:val="16"/>
          <w:szCs w:val="16"/>
          <w:lang w:val="en-GB"/>
        </w:rPr>
        <w:t xml:space="preserve">, 2021 (https://www.milliman.com/en/insight/singapore-retirement-savings-gender-gap-update). </w:t>
      </w:r>
      <w:r w:rsidRPr="00D06B1C">
        <w:rPr>
          <w:sz w:val="16"/>
          <w:szCs w:val="16"/>
        </w:rPr>
        <w:t>Solde CPF moyen des femmes : 90,7 % de celui des hommes en 2019, écart porté à 7-8 % pour la tranche 60-65 ans.</w:t>
      </w:r>
    </w:p>
  </w:footnote>
  <w:footnote w:id="265">
    <w:p w14:paraId="2BDBAB5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Mercer CFA Institute, </w:t>
      </w:r>
      <w:r w:rsidRPr="00D06B1C">
        <w:rPr>
          <w:i/>
          <w:iCs/>
          <w:sz w:val="16"/>
          <w:szCs w:val="16"/>
        </w:rPr>
        <w:t>Global Pension Index 2025</w:t>
      </w:r>
      <w:r w:rsidRPr="00D06B1C">
        <w:rPr>
          <w:sz w:val="16"/>
          <w:szCs w:val="16"/>
        </w:rPr>
        <w:t>, octobre 2025 (https://www.mercer.com/insights/investments/market-outlook-and-trends/mercer-cfa-global-pension-index/). Classement 2025 : Pays-Bas 1ᵉʳ (A), Islande 2ᵉ (A), Danemark 3ᵉ (A), Israël 4ᵉ (A), Singapour 5ᵉ (A, score 80,0/100). La France ne figure pas dans le top 20.</w:t>
      </w:r>
    </w:p>
  </w:footnote>
  <w:footnote w:id="266">
    <w:p w14:paraId="2548AA2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Juan Gabriel Valdés, </w:t>
      </w:r>
      <w:r w:rsidRPr="00D06B1C">
        <w:rPr>
          <w:i/>
          <w:iCs/>
          <w:sz w:val="16"/>
          <w:szCs w:val="16"/>
        </w:rPr>
        <w:t xml:space="preserve">Pinochet’s </w:t>
      </w:r>
      <w:proofErr w:type="gramStart"/>
      <w:r w:rsidRPr="00D06B1C">
        <w:rPr>
          <w:i/>
          <w:iCs/>
          <w:sz w:val="16"/>
          <w:szCs w:val="16"/>
        </w:rPr>
        <w:t>Economists:</w:t>
      </w:r>
      <w:proofErr w:type="gramEnd"/>
      <w:r w:rsidRPr="00D06B1C">
        <w:rPr>
          <w:i/>
          <w:iCs/>
          <w:sz w:val="16"/>
          <w:szCs w:val="16"/>
        </w:rPr>
        <w:t xml:space="preserve"> The Chicago School in Chile</w:t>
      </w:r>
      <w:r w:rsidRPr="00D06B1C">
        <w:rPr>
          <w:sz w:val="16"/>
          <w:szCs w:val="16"/>
        </w:rPr>
        <w:t xml:space="preserve">, Cambridge University Press, 1995. Sur le </w:t>
      </w:r>
      <w:r w:rsidRPr="00D06B1C">
        <w:rPr>
          <w:i/>
          <w:iCs/>
          <w:sz w:val="16"/>
          <w:szCs w:val="16"/>
        </w:rPr>
        <w:t>Chile-Chicago Project</w:t>
      </w:r>
      <w:r w:rsidRPr="00D06B1C">
        <w:rPr>
          <w:sz w:val="16"/>
          <w:szCs w:val="16"/>
        </w:rPr>
        <w:t xml:space="preserve"> signé en 1956 entre l’Universidad Católica et Chicago : Harberger y a enseigné régulièrement, et près d’une centaine d’économistes chiliens ont été formés à Chicago entre 1957 et 1980. Le noyau dur - Sergio de Castro, Pablo Baraona, Álvaro Bardón, Rolf Lüders - accède aux postes économiques clés à partir de 1975.</w:t>
      </w:r>
    </w:p>
  </w:footnote>
  <w:footnote w:id="267">
    <w:p w14:paraId="6FB5796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 xml:space="preserve">El </w:t>
      </w:r>
      <w:proofErr w:type="gramStart"/>
      <w:r w:rsidRPr="00D06B1C">
        <w:rPr>
          <w:i/>
          <w:iCs/>
          <w:sz w:val="16"/>
          <w:szCs w:val="16"/>
        </w:rPr>
        <w:t>Ladrillo:</w:t>
      </w:r>
      <w:proofErr w:type="gramEnd"/>
      <w:r w:rsidRPr="00D06B1C">
        <w:rPr>
          <w:i/>
          <w:iCs/>
          <w:sz w:val="16"/>
          <w:szCs w:val="16"/>
        </w:rPr>
        <w:t xml:space="preserve"> Bases de la política económica del gobierno militar chileno</w:t>
      </w:r>
      <w:r w:rsidRPr="00D06B1C">
        <w:rPr>
          <w:sz w:val="16"/>
          <w:szCs w:val="16"/>
        </w:rPr>
        <w:t>, Centro de Estudios Públicos, Santiago, 1992 (texte officiel publié vingt ans après sa rédaction). Le document, préparé sous la coordination de Sergio de Castro entre 1972 et 1973, a servi de feuille de route économique au régime militaire à partir de 1975.</w:t>
      </w:r>
    </w:p>
  </w:footnote>
  <w:footnote w:id="268">
    <w:p w14:paraId="20005F2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Sebastián Edwards, </w:t>
      </w:r>
      <w:r w:rsidRPr="00D06B1C">
        <w:rPr>
          <w:i/>
          <w:iCs/>
          <w:sz w:val="16"/>
          <w:szCs w:val="16"/>
          <w:lang w:val="en-GB"/>
        </w:rPr>
        <w:t>The Chile Project: The Story of the Chicago Boys and the Downfall of Neoliberalism</w:t>
      </w:r>
      <w:r w:rsidRPr="00D06B1C">
        <w:rPr>
          <w:sz w:val="16"/>
          <w:szCs w:val="16"/>
          <w:lang w:val="en-GB"/>
        </w:rPr>
        <w:t xml:space="preserve">, Princeton University Press, 2023. </w:t>
      </w:r>
      <w:r w:rsidRPr="00D06B1C">
        <w:rPr>
          <w:sz w:val="16"/>
          <w:szCs w:val="16"/>
        </w:rPr>
        <w:t xml:space="preserve">Récit détaillé de la séquence 1975-1990. José Piñera, ministre du Travail de décembre 1978 à décembre 1980, a publié </w:t>
      </w:r>
      <w:r w:rsidRPr="00D06B1C">
        <w:rPr>
          <w:i/>
          <w:iCs/>
          <w:sz w:val="16"/>
          <w:szCs w:val="16"/>
        </w:rPr>
        <w:t xml:space="preserve">El cascabel al </w:t>
      </w:r>
      <w:proofErr w:type="gramStart"/>
      <w:r w:rsidRPr="00D06B1C">
        <w:rPr>
          <w:i/>
          <w:iCs/>
          <w:sz w:val="16"/>
          <w:szCs w:val="16"/>
        </w:rPr>
        <w:t>gato:</w:t>
      </w:r>
      <w:proofErr w:type="gramEnd"/>
      <w:r w:rsidRPr="00D06B1C">
        <w:rPr>
          <w:i/>
          <w:iCs/>
          <w:sz w:val="16"/>
          <w:szCs w:val="16"/>
        </w:rPr>
        <w:t xml:space="preserve"> La batalla por la reforma previsional</w:t>
      </w:r>
      <w:r w:rsidRPr="00D06B1C">
        <w:rPr>
          <w:sz w:val="16"/>
          <w:szCs w:val="16"/>
        </w:rPr>
        <w:t>, Zig-Zag, 1991, où il revendique la paternité directe du modèle.</w:t>
      </w:r>
    </w:p>
  </w:footnote>
  <w:footnote w:id="269">
    <w:p w14:paraId="4950490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Décret-loi n° 3500, </w:t>
      </w:r>
      <w:r w:rsidRPr="00D06B1C">
        <w:rPr>
          <w:i/>
          <w:iCs/>
          <w:sz w:val="16"/>
          <w:szCs w:val="16"/>
        </w:rPr>
        <w:t>Diario Oficial de la República de Chile</w:t>
      </w:r>
      <w:r w:rsidRPr="00D06B1C">
        <w:rPr>
          <w:sz w:val="16"/>
          <w:szCs w:val="16"/>
        </w:rPr>
        <w:t>, 13 novembre 1980 ; entrée en vigueur 1ᵉʳ mai 1981. Texte intégral et historique des modifications : Biblioteca del Congreso Nacional, Ley Chile (https://www.bcn.cl).</w:t>
      </w:r>
    </w:p>
  </w:footnote>
  <w:footnote w:id="270">
    <w:p w14:paraId="280F02F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José Piñera, </w:t>
      </w:r>
      <w:r w:rsidRPr="00D06B1C">
        <w:rPr>
          <w:i/>
          <w:iCs/>
          <w:sz w:val="16"/>
          <w:szCs w:val="16"/>
          <w:lang w:val="en-GB"/>
        </w:rPr>
        <w:t>El cascabel al gato</w:t>
      </w:r>
      <w:r w:rsidRPr="00D06B1C">
        <w:rPr>
          <w:sz w:val="16"/>
          <w:szCs w:val="16"/>
          <w:lang w:val="en-GB"/>
        </w:rPr>
        <w:t xml:space="preserve">, </w:t>
      </w:r>
      <w:r w:rsidRPr="00D06B1C">
        <w:rPr>
          <w:i/>
          <w:iCs/>
          <w:sz w:val="16"/>
          <w:szCs w:val="16"/>
          <w:lang w:val="en-GB"/>
        </w:rPr>
        <w:t xml:space="preserve">op. </w:t>
      </w:r>
      <w:proofErr w:type="gramStart"/>
      <w:r w:rsidRPr="00D06B1C">
        <w:rPr>
          <w:i/>
          <w:iCs/>
          <w:sz w:val="16"/>
          <w:szCs w:val="16"/>
          <w:lang w:val="en-GB"/>
        </w:rPr>
        <w:t>cit.</w:t>
      </w:r>
      <w:r w:rsidRPr="00D06B1C">
        <w:rPr>
          <w:sz w:val="16"/>
          <w:szCs w:val="16"/>
          <w:lang w:val="en-GB"/>
        </w:rPr>
        <w:t xml:space="preserve"> ;</w:t>
      </w:r>
      <w:proofErr w:type="gramEnd"/>
      <w:r w:rsidRPr="00D06B1C">
        <w:rPr>
          <w:sz w:val="16"/>
          <w:szCs w:val="16"/>
          <w:lang w:val="en-GB"/>
        </w:rPr>
        <w:t xml:space="preserve"> reprise dans Sebastián Edwards, </w:t>
      </w:r>
      <w:r w:rsidRPr="00D06B1C">
        <w:rPr>
          <w:i/>
          <w:iCs/>
          <w:sz w:val="16"/>
          <w:szCs w:val="16"/>
          <w:lang w:val="en-GB"/>
        </w:rPr>
        <w:t>The Chile Project</w:t>
      </w:r>
      <w:r w:rsidRPr="00D06B1C">
        <w:rPr>
          <w:sz w:val="16"/>
          <w:szCs w:val="16"/>
          <w:lang w:val="en-GB"/>
        </w:rPr>
        <w:t xml:space="preserve">, </w:t>
      </w:r>
      <w:r w:rsidRPr="00D06B1C">
        <w:rPr>
          <w:i/>
          <w:iCs/>
          <w:sz w:val="16"/>
          <w:szCs w:val="16"/>
          <w:lang w:val="en-GB"/>
        </w:rPr>
        <w:t>op. cit.</w:t>
      </w:r>
      <w:r w:rsidRPr="00D06B1C">
        <w:rPr>
          <w:sz w:val="16"/>
          <w:szCs w:val="16"/>
          <w:lang w:val="en-GB"/>
        </w:rPr>
        <w:t xml:space="preserve"> </w:t>
      </w:r>
      <w:r w:rsidRPr="00D06B1C">
        <w:rPr>
          <w:sz w:val="16"/>
          <w:szCs w:val="16"/>
        </w:rPr>
        <w:t>Les calculs présentés au moment du lancement du DL 3500 retenaient un rendement réel cible de 5,5 % par an et un taux de remplacement projeté entre 60 et 70 % pour une carrière complète.</w:t>
      </w:r>
    </w:p>
  </w:footnote>
  <w:footnote w:id="271">
    <w:p w14:paraId="62F17AA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Caja de Previsión de la Defensa Nacional (CAPREDENA) - fondée en 1915 - et Dirección de Previsión de Carabineros de Chile (DIPRECA) - fondée en 1933 - couvrent respectivement les forces armées et la police. Les deux régimes, par répartition, restent en vigueur en 2025. Voir Comisión Bravo, </w:t>
      </w:r>
      <w:r w:rsidRPr="00D06B1C">
        <w:rPr>
          <w:i/>
          <w:iCs/>
          <w:sz w:val="16"/>
          <w:szCs w:val="16"/>
        </w:rPr>
        <w:t>Informe Final</w:t>
      </w:r>
      <w:r w:rsidRPr="00D06B1C">
        <w:rPr>
          <w:sz w:val="16"/>
          <w:szCs w:val="16"/>
        </w:rPr>
        <w:t>, 2015, chapitre 4.</w:t>
      </w:r>
    </w:p>
  </w:footnote>
  <w:footnote w:id="272">
    <w:p w14:paraId="64FAFFA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Banque mondiale, </w:t>
      </w:r>
      <w:r w:rsidRPr="00D06B1C">
        <w:rPr>
          <w:i/>
          <w:iCs/>
          <w:sz w:val="16"/>
          <w:szCs w:val="16"/>
          <w:lang w:val="en-GB"/>
        </w:rPr>
        <w:t>Averting the Old Age Crisis: Policies to Protect the Old and Promote Growth</w:t>
      </w:r>
      <w:r w:rsidRPr="00D06B1C">
        <w:rPr>
          <w:sz w:val="16"/>
          <w:szCs w:val="16"/>
          <w:lang w:val="en-GB"/>
        </w:rPr>
        <w:t xml:space="preserve">, Oxford University Press, 1994. </w:t>
      </w:r>
      <w:r w:rsidRPr="00D06B1C">
        <w:rPr>
          <w:sz w:val="16"/>
          <w:szCs w:val="16"/>
        </w:rPr>
        <w:t>Le rapport recommandait explicitement le « modèle à trois piliers », dont l’un capitalisé sur le modèle chilien.</w:t>
      </w:r>
    </w:p>
  </w:footnote>
  <w:footnote w:id="273">
    <w:p w14:paraId="0C2DAEB7"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Isabel Ortiz, Fabio Durán-Valverde, Stefan Urban, Veronika Wodsak, </w:t>
      </w:r>
      <w:r w:rsidRPr="00D06B1C">
        <w:rPr>
          <w:i/>
          <w:iCs/>
          <w:sz w:val="16"/>
          <w:szCs w:val="16"/>
          <w:lang w:val="en-GB"/>
        </w:rPr>
        <w:t>Reversing Pension Privatizations: Rebuilding Public Pension Systems in Eastern European and Latin American Countries (2000-2018)</w:t>
      </w:r>
      <w:r w:rsidRPr="00D06B1C">
        <w:rPr>
          <w:sz w:val="16"/>
          <w:szCs w:val="16"/>
          <w:lang w:val="en-GB"/>
        </w:rPr>
        <w:t>, International Labour Organization, ESS Working Paper n° 63, 2018 (https://www.ilo.org/publications/reversing-pension-privatizations-rebuilding-public-pension-systems).</w:t>
      </w:r>
    </w:p>
  </w:footnote>
  <w:footnote w:id="274">
    <w:p w14:paraId="4F94532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2021</w:t>
      </w:r>
      <w:r w:rsidRPr="00D06B1C">
        <w:rPr>
          <w:sz w:val="16"/>
          <w:szCs w:val="16"/>
        </w:rPr>
        <w:t>, novembre 2021, fiche Chili. Taux de remplacement net hommes / femmes carrière complète à temps plein, hors PGU : 38,5 % / 35,4 %.</w:t>
      </w:r>
    </w:p>
  </w:footnote>
  <w:footnote w:id="275">
    <w:p w14:paraId="08480E7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2023</w:t>
      </w:r>
      <w:r w:rsidRPr="00D06B1C">
        <w:rPr>
          <w:sz w:val="16"/>
          <w:szCs w:val="16"/>
        </w:rPr>
        <w:t>, fiche Chili. Avec PGU intégrée : 45,7 % / 43 % ; moyenne OCDE 50,7 %. La PGU a été créée par la Loi 21419 du 4 février 2022, en fin de second mandat de Sebastián Piñera.</w:t>
      </w:r>
    </w:p>
  </w:footnote>
  <w:footnote w:id="276">
    <w:p w14:paraId="4F5F9D4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Superintendencia de Pensiones de Chile, </w:t>
      </w:r>
      <w:proofErr w:type="gramStart"/>
      <w:r w:rsidRPr="00D06B1C">
        <w:rPr>
          <w:i/>
          <w:iCs/>
          <w:sz w:val="16"/>
          <w:szCs w:val="16"/>
        </w:rPr>
        <w:t>Estadísticas:</w:t>
      </w:r>
      <w:proofErr w:type="gramEnd"/>
      <w:r w:rsidRPr="00D06B1C">
        <w:rPr>
          <w:i/>
          <w:iCs/>
          <w:sz w:val="16"/>
          <w:szCs w:val="16"/>
        </w:rPr>
        <w:t xml:space="preserve"> Montos de pensión por modalidad</w:t>
      </w:r>
      <w:r w:rsidRPr="00D06B1C">
        <w:rPr>
          <w:sz w:val="16"/>
          <w:szCs w:val="16"/>
        </w:rPr>
        <w:t>, données 2024 (https://www.spensiones.cl). Pension contributive AFP moyenne, toutes modalités confondues : entre 200 000 et 250 000 CLP/mois selon la cohorte et le sexe.</w:t>
      </w:r>
    </w:p>
  </w:footnote>
  <w:footnote w:id="277">
    <w:p w14:paraId="2221B9E3"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Superintendencia de Pensiones, </w:t>
      </w:r>
      <w:r w:rsidRPr="00D06B1C">
        <w:rPr>
          <w:i/>
          <w:iCs/>
          <w:sz w:val="16"/>
          <w:szCs w:val="16"/>
        </w:rPr>
        <w:t>Rentabilidad histórica de los Fondos de Pensiones</w:t>
      </w:r>
      <w:r w:rsidRPr="00D06B1C">
        <w:rPr>
          <w:sz w:val="16"/>
          <w:szCs w:val="16"/>
        </w:rPr>
        <w:t xml:space="preserve">. Le rendement réel annualisé brut a été très élevé dans les premières décennies du système (de l’ordre de 10 % par an sur 1981-2003, ~8,7 % sur 1991-2003, avant frais), porté par des taux de départ élevés et un marché en rattrapage. Les </w:t>
      </w:r>
      <w:r w:rsidRPr="00D06B1C">
        <w:rPr>
          <w:i/>
          <w:iCs/>
          <w:sz w:val="16"/>
          <w:szCs w:val="16"/>
        </w:rPr>
        <w:t>multifondos</w:t>
      </w:r>
      <w:r w:rsidRPr="00D06B1C">
        <w:rPr>
          <w:sz w:val="16"/>
          <w:szCs w:val="16"/>
        </w:rPr>
        <w:t xml:space="preserve"> (cinq fonds A à E) n’existent que depuis 2002 ; sur la période récente (2002-2023), le fonds équilibré (fonds C) tourne autour de 3,5 % réel. La moyenne de très longue période reste donc nettement supérieure à 3-4 %, mais les cohortes intégralement affiliées aux AFP ont accumulé l’essentiel de leur capital durant la phase de rendements plus faibles. </w:t>
      </w:r>
      <w:r w:rsidRPr="00D06B1C">
        <w:rPr>
          <w:sz w:val="16"/>
          <w:szCs w:val="16"/>
          <w:lang w:val="en-GB"/>
        </w:rPr>
        <w:t xml:space="preserve">Voir aussi O. Mitchell et G. Ruiz, </w:t>
      </w:r>
      <w:r w:rsidRPr="00D06B1C">
        <w:rPr>
          <w:i/>
          <w:iCs/>
          <w:sz w:val="16"/>
          <w:szCs w:val="16"/>
          <w:lang w:val="en-GB"/>
        </w:rPr>
        <w:t>Pension Payouts in Chile</w:t>
      </w:r>
      <w:r w:rsidRPr="00D06B1C">
        <w:rPr>
          <w:sz w:val="16"/>
          <w:szCs w:val="16"/>
          <w:lang w:val="en-GB"/>
        </w:rPr>
        <w:t>, Pension Research Council, Wharton.</w:t>
      </w:r>
    </w:p>
  </w:footnote>
  <w:footnote w:id="278">
    <w:p w14:paraId="02E4EE1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Superintendencia de Pensiones, </w:t>
      </w:r>
      <w:r w:rsidRPr="00D06B1C">
        <w:rPr>
          <w:i/>
          <w:iCs/>
          <w:sz w:val="16"/>
          <w:szCs w:val="16"/>
        </w:rPr>
        <w:t>Licitación 2023-2025</w:t>
      </w:r>
      <w:r w:rsidRPr="00D06B1C">
        <w:rPr>
          <w:sz w:val="16"/>
          <w:szCs w:val="16"/>
        </w:rPr>
        <w:t xml:space="preserve"> </w:t>
      </w:r>
      <w:r w:rsidRPr="00D06B1C">
        <w:rPr>
          <w:i/>
          <w:iCs/>
          <w:sz w:val="16"/>
          <w:szCs w:val="16"/>
        </w:rPr>
        <w:t>- Comisiones AFP</w:t>
      </w:r>
      <w:r w:rsidRPr="00D06B1C">
        <w:rPr>
          <w:sz w:val="16"/>
          <w:szCs w:val="16"/>
        </w:rPr>
        <w:t xml:space="preserve">, 2023 ; KPMG Chile, </w:t>
      </w:r>
      <w:r w:rsidRPr="00D06B1C">
        <w:rPr>
          <w:i/>
          <w:iCs/>
          <w:sz w:val="16"/>
          <w:szCs w:val="16"/>
        </w:rPr>
        <w:t>Reforma Previsional 2025</w:t>
      </w:r>
      <w:r w:rsidRPr="00D06B1C">
        <w:rPr>
          <w:sz w:val="16"/>
          <w:szCs w:val="16"/>
        </w:rPr>
        <w:t xml:space="preserve"> </w:t>
      </w:r>
      <w:r w:rsidRPr="00D06B1C">
        <w:rPr>
          <w:i/>
          <w:iCs/>
          <w:sz w:val="16"/>
          <w:szCs w:val="16"/>
        </w:rPr>
        <w:t>- Análisis comparado</w:t>
      </w:r>
      <w:r w:rsidRPr="00D06B1C">
        <w:rPr>
          <w:sz w:val="16"/>
          <w:szCs w:val="16"/>
        </w:rPr>
        <w:t>, mars 2025. Les commissions des sept AFP en vigueur en 2025 : Uno 0,46 %, Modelo 0,58 %, Planvital 1,16 %, Habitat 1,27 %, Capital 1,44 %, Cuprum 1,44 %, Provida 1,45 %. SIS : 1,5 % en moyenne, collecté par les AFP au profit d’un assureur en marché ouvert.</w:t>
      </w:r>
    </w:p>
  </w:footnote>
  <w:footnote w:id="279">
    <w:p w14:paraId="238DC94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Comisión Asesora Presidencial sobre el Sistema de Pensiones (</w:t>
      </w:r>
      <w:r w:rsidRPr="00D06B1C">
        <w:rPr>
          <w:i/>
          <w:iCs/>
          <w:sz w:val="16"/>
          <w:szCs w:val="16"/>
        </w:rPr>
        <w:t>Comisión Bravo</w:t>
      </w:r>
      <w:r w:rsidRPr="00D06B1C">
        <w:rPr>
          <w:sz w:val="16"/>
          <w:szCs w:val="16"/>
        </w:rPr>
        <w:t xml:space="preserve">), </w:t>
      </w:r>
      <w:r w:rsidRPr="00D06B1C">
        <w:rPr>
          <w:i/>
          <w:iCs/>
          <w:sz w:val="16"/>
          <w:szCs w:val="16"/>
        </w:rPr>
        <w:t>Informe Final</w:t>
      </w:r>
      <w:r w:rsidRPr="00D06B1C">
        <w:rPr>
          <w:sz w:val="16"/>
          <w:szCs w:val="16"/>
        </w:rPr>
        <w:t xml:space="preserve">, septembre 2015 (https://www.previsionsocial.gob.cl). Densité de cotisation moyenne mesurée : 51,8 % pour les femmes, 64,7 % pour les hommes, sur la période 1981-2013. INE Chile, </w:t>
      </w:r>
      <w:r w:rsidRPr="00D06B1C">
        <w:rPr>
          <w:i/>
          <w:iCs/>
          <w:sz w:val="16"/>
          <w:szCs w:val="16"/>
        </w:rPr>
        <w:t>Encuesta Suplementaria de Ingresos</w:t>
      </w:r>
      <w:r w:rsidRPr="00D06B1C">
        <w:rPr>
          <w:sz w:val="16"/>
          <w:szCs w:val="16"/>
        </w:rPr>
        <w:t>, 2024 : informalité du marché du travail entre 27 % (mesure stricte) et 38 % (mesure élargie aux plateformes).</w:t>
      </w:r>
    </w:p>
  </w:footnote>
  <w:footnote w:id="280">
    <w:p w14:paraId="116FB77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La Tercera</w:t>
      </w:r>
      <w:r w:rsidRPr="00D06B1C">
        <w:rPr>
          <w:sz w:val="16"/>
          <w:szCs w:val="16"/>
        </w:rPr>
        <w:t>, « La marcha más grande desde el retorno a la democracia », 25 juillet 2016. Les estimations divergent - 750 000 selon les autorités, 1,5 million selon les organisateurs et plusieurs analystes -, mais le caractère historique de l’événement n’est pas contesté.</w:t>
      </w:r>
    </w:p>
  </w:footnote>
  <w:footnote w:id="281">
    <w:p w14:paraId="05DDEE5B"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SERVEL (Servicio Electoral de Chile), </w:t>
      </w:r>
      <w:r w:rsidRPr="00D06B1C">
        <w:rPr>
          <w:i/>
          <w:iCs/>
          <w:sz w:val="16"/>
          <w:szCs w:val="16"/>
        </w:rPr>
        <w:t>Resultados oficiales Plebiscito Nacional 25 de octubre de 2020</w:t>
      </w:r>
      <w:r w:rsidRPr="00D06B1C">
        <w:rPr>
          <w:sz w:val="16"/>
          <w:szCs w:val="16"/>
        </w:rPr>
        <w:t xml:space="preserve"> (https://www.servel.cl). </w:t>
      </w:r>
      <w:r w:rsidRPr="00D06B1C">
        <w:rPr>
          <w:sz w:val="16"/>
          <w:szCs w:val="16"/>
          <w:lang w:val="en-GB"/>
        </w:rPr>
        <w:t>Apruebo : 78,27 %, Rechazo : 21,73 %, participation 50,9 % des inscrits.</w:t>
      </w:r>
    </w:p>
  </w:footnote>
  <w:footnote w:id="282">
    <w:p w14:paraId="2E0DCD4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Banco Central de Chile, </w:t>
      </w:r>
      <w:r w:rsidRPr="00D06B1C">
        <w:rPr>
          <w:i/>
          <w:iCs/>
          <w:sz w:val="16"/>
          <w:szCs w:val="16"/>
          <w:lang w:val="en-GB"/>
        </w:rPr>
        <w:t>Working Paper n° 991, The Macroeconomic Effects of the COVID-19 Pension Withdrawals in Chile</w:t>
      </w:r>
      <w:r w:rsidRPr="00D06B1C">
        <w:rPr>
          <w:sz w:val="16"/>
          <w:szCs w:val="16"/>
          <w:lang w:val="en-GB"/>
        </w:rPr>
        <w:t xml:space="preserve">, 2023 ; BIS Working Paper n° 1176, </w:t>
      </w:r>
      <w:r w:rsidRPr="00D06B1C">
        <w:rPr>
          <w:i/>
          <w:iCs/>
          <w:sz w:val="16"/>
          <w:szCs w:val="16"/>
          <w:lang w:val="en-GB"/>
        </w:rPr>
        <w:t>Pension Withdrawals and Household Behaviour: Evidence from Chile</w:t>
      </w:r>
      <w:r w:rsidRPr="00D06B1C">
        <w:rPr>
          <w:sz w:val="16"/>
          <w:szCs w:val="16"/>
          <w:lang w:val="en-GB"/>
        </w:rPr>
        <w:t xml:space="preserve">, 2024. </w:t>
      </w:r>
      <w:r w:rsidRPr="00D06B1C">
        <w:rPr>
          <w:sz w:val="16"/>
          <w:szCs w:val="16"/>
        </w:rPr>
        <w:t>Total des trois retraits autorisés par les Lois 21248 (juillet 2020), 21295 (décembre 2020) et 21330 (avril 2021) : 55,8 milliards de dollars américains, soit 20,3 + 19,2 + 16,3 Md USD.</w:t>
      </w:r>
    </w:p>
  </w:footnote>
  <w:footnote w:id="283">
    <w:p w14:paraId="6289342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SERVEL, </w:t>
      </w:r>
      <w:r w:rsidRPr="00D06B1C">
        <w:rPr>
          <w:i/>
          <w:iCs/>
          <w:sz w:val="16"/>
          <w:szCs w:val="16"/>
        </w:rPr>
        <w:t>Resultados oficiales Elección Presidencial 2021</w:t>
      </w:r>
      <w:r w:rsidRPr="00D06B1C">
        <w:rPr>
          <w:sz w:val="16"/>
          <w:szCs w:val="16"/>
        </w:rPr>
        <w:t xml:space="preserve"> - premier tour 21 novembre 2021 (Kast 27,91 %, Boric 25,83 %), second tour 19 décembre 2021 (Boric 55,87 %, Kast 44,13 %).</w:t>
      </w:r>
    </w:p>
  </w:footnote>
  <w:footnote w:id="284">
    <w:p w14:paraId="44A26C5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Congreso Nacional de Chile, </w:t>
      </w:r>
      <w:r w:rsidRPr="00D06B1C">
        <w:rPr>
          <w:i/>
          <w:iCs/>
          <w:sz w:val="16"/>
          <w:szCs w:val="16"/>
        </w:rPr>
        <w:t>Resultado votación en sala</w:t>
      </w:r>
      <w:r w:rsidRPr="00D06B1C">
        <w:rPr>
          <w:sz w:val="16"/>
          <w:szCs w:val="16"/>
        </w:rPr>
        <w:t xml:space="preserve"> </w:t>
      </w:r>
      <w:r w:rsidRPr="00D06B1C">
        <w:rPr>
          <w:i/>
          <w:iCs/>
          <w:sz w:val="16"/>
          <w:szCs w:val="16"/>
        </w:rPr>
        <w:t>- Proyecto de Ley de Reforma Previsional</w:t>
      </w:r>
      <w:r w:rsidRPr="00D06B1C">
        <w:rPr>
          <w:sz w:val="16"/>
          <w:szCs w:val="16"/>
        </w:rPr>
        <w:t xml:space="preserve">, 29 janvier 2025 ; Loi n° 21735, </w:t>
      </w:r>
      <w:r w:rsidRPr="00D06B1C">
        <w:rPr>
          <w:i/>
          <w:iCs/>
          <w:sz w:val="16"/>
          <w:szCs w:val="16"/>
        </w:rPr>
        <w:t>Diario Oficial</w:t>
      </w:r>
      <w:r w:rsidRPr="00D06B1C">
        <w:rPr>
          <w:sz w:val="16"/>
          <w:szCs w:val="16"/>
        </w:rPr>
        <w:t>, mars 2025 (https://www.bcn.cl). Vote final : 110 pour, 38 contre, 2 abstentions.</w:t>
      </w:r>
    </w:p>
  </w:footnote>
  <w:footnote w:id="285">
    <w:p w14:paraId="2623644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KPMG Chile, </w:t>
      </w:r>
      <w:r w:rsidRPr="00D06B1C">
        <w:rPr>
          <w:i/>
          <w:iCs/>
          <w:sz w:val="16"/>
          <w:szCs w:val="16"/>
        </w:rPr>
        <w:t>Reforma Previsional 2025</w:t>
      </w:r>
      <w:r w:rsidRPr="00D06B1C">
        <w:rPr>
          <w:sz w:val="16"/>
          <w:szCs w:val="16"/>
        </w:rPr>
        <w:t xml:space="preserve"> </w:t>
      </w:r>
      <w:r w:rsidRPr="00D06B1C">
        <w:rPr>
          <w:i/>
          <w:iCs/>
          <w:sz w:val="16"/>
          <w:szCs w:val="16"/>
        </w:rPr>
        <w:t>- Implementación de la nueva cotización del empleador</w:t>
      </w:r>
      <w:r w:rsidRPr="00D06B1C">
        <w:rPr>
          <w:sz w:val="16"/>
          <w:szCs w:val="16"/>
        </w:rPr>
        <w:t xml:space="preserve">, février 2025 ; Lockton Chile, </w:t>
      </w:r>
      <w:r w:rsidRPr="00D06B1C">
        <w:rPr>
          <w:i/>
          <w:iCs/>
          <w:sz w:val="16"/>
          <w:szCs w:val="16"/>
        </w:rPr>
        <w:t>Notas de la Reforma Previsional 21735</w:t>
      </w:r>
      <w:r w:rsidRPr="00D06B1C">
        <w:rPr>
          <w:sz w:val="16"/>
          <w:szCs w:val="16"/>
        </w:rPr>
        <w:t>, mars 2025. Calendrier : montée progressive sur dix ans jusqu’à 8,5 % en 2035 (1 % en août 2025, paliers annuels, terme en 2035). Décomposition : 4,5 % vers compte individuel AFP du salarié + 1,5 % FAPP (prêt remboursable individuel) + 2,5 % FAPP (compensation intergénérationnelle et de genre). Le FAPP est une nouvelle entité publique solidaire, hors AFP.</w:t>
      </w:r>
    </w:p>
  </w:footnote>
  <w:footnote w:id="286">
    <w:p w14:paraId="36CBD33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2025</w:t>
      </w:r>
      <w:r w:rsidRPr="00D06B1C">
        <w:rPr>
          <w:sz w:val="16"/>
          <w:szCs w:val="16"/>
        </w:rPr>
        <w:t>, fiche Chili, novembre 2025 (https://www.oecd.org/pensions/pensions-at-a-glance/). Projection post-réforme 21735 pleinement déployée : taux de remplacement net 61,3 % hommes / 61,1 % femmes, à comparer aux 38,5 % / 35,4 % de la fiche 2021 hors PGU.</w:t>
      </w:r>
    </w:p>
  </w:footnote>
  <w:footnote w:id="287">
    <w:p w14:paraId="447388E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Pour la Suède : Bo Könberg, Edward Palmer, Annika Sundén, « The 1994 Swedish Pension Reform », </w:t>
      </w:r>
      <w:r w:rsidRPr="00D06B1C">
        <w:rPr>
          <w:i/>
          <w:iCs/>
          <w:sz w:val="16"/>
          <w:szCs w:val="16"/>
        </w:rPr>
        <w:t>International Social Security Review</w:t>
      </w:r>
      <w:r w:rsidRPr="00D06B1C">
        <w:rPr>
          <w:sz w:val="16"/>
          <w:szCs w:val="16"/>
        </w:rPr>
        <w:t xml:space="preserve">, vol. 59, 2006. Pour l’Australie : </w:t>
      </w:r>
      <w:r w:rsidRPr="00D06B1C">
        <w:rPr>
          <w:i/>
          <w:iCs/>
          <w:sz w:val="16"/>
          <w:szCs w:val="16"/>
        </w:rPr>
        <w:t>Superannuation Guarantee (Administration) Act 1992</w:t>
      </w:r>
      <w:r w:rsidRPr="00D06B1C">
        <w:rPr>
          <w:sz w:val="16"/>
          <w:szCs w:val="16"/>
        </w:rPr>
        <w:t xml:space="preserve">, </w:t>
      </w:r>
      <w:r w:rsidRPr="00D06B1C">
        <w:rPr>
          <w:i/>
          <w:iCs/>
          <w:sz w:val="16"/>
          <w:szCs w:val="16"/>
        </w:rPr>
        <w:t>Royal Assent</w:t>
      </w:r>
      <w:r w:rsidRPr="00D06B1C">
        <w:rPr>
          <w:sz w:val="16"/>
          <w:szCs w:val="16"/>
        </w:rPr>
        <w:t xml:space="preserve"> du 21 août 1992 ; ATO, </w:t>
      </w:r>
      <w:r w:rsidRPr="00D06B1C">
        <w:rPr>
          <w:i/>
          <w:iCs/>
          <w:sz w:val="16"/>
          <w:szCs w:val="16"/>
        </w:rPr>
        <w:t>Key Superannuation Rates and Thresholds</w:t>
      </w:r>
      <w:r w:rsidRPr="00D06B1C">
        <w:rPr>
          <w:sz w:val="16"/>
          <w:szCs w:val="16"/>
        </w:rPr>
        <w:t xml:space="preserve">, 2025 (palier de 12 % atteint en juillet 2025). Pour le Royaume-Uni : </w:t>
      </w:r>
      <w:r w:rsidRPr="00D06B1C">
        <w:rPr>
          <w:i/>
          <w:iCs/>
          <w:sz w:val="16"/>
          <w:szCs w:val="16"/>
        </w:rPr>
        <w:t>Pensions Act 2008</w:t>
      </w:r>
      <w:r w:rsidRPr="00D06B1C">
        <w:rPr>
          <w:sz w:val="16"/>
          <w:szCs w:val="16"/>
        </w:rPr>
        <w:t xml:space="preserve"> ; The Pensions Regulator, </w:t>
      </w:r>
      <w:r w:rsidRPr="00D06B1C">
        <w:rPr>
          <w:i/>
          <w:iCs/>
          <w:sz w:val="16"/>
          <w:szCs w:val="16"/>
        </w:rPr>
        <w:t xml:space="preserve">Workplace </w:t>
      </w:r>
      <w:proofErr w:type="gramStart"/>
      <w:r w:rsidRPr="00D06B1C">
        <w:rPr>
          <w:i/>
          <w:iCs/>
          <w:sz w:val="16"/>
          <w:szCs w:val="16"/>
        </w:rPr>
        <w:t>Pensions:</w:t>
      </w:r>
      <w:proofErr w:type="gramEnd"/>
      <w:r w:rsidRPr="00D06B1C">
        <w:rPr>
          <w:i/>
          <w:iCs/>
          <w:sz w:val="16"/>
          <w:szCs w:val="16"/>
        </w:rPr>
        <w:t xml:space="preserve"> Annual Report 2024</w:t>
      </w:r>
      <w:r w:rsidRPr="00D06B1C">
        <w:rPr>
          <w:sz w:val="16"/>
          <w:szCs w:val="16"/>
        </w:rPr>
        <w:t xml:space="preserve">. Pour le Canada : Office of the Superintendent of Financial Institutions, </w:t>
      </w:r>
      <w:r w:rsidRPr="00D06B1C">
        <w:rPr>
          <w:i/>
          <w:iCs/>
          <w:sz w:val="16"/>
          <w:szCs w:val="16"/>
        </w:rPr>
        <w:t>Actuarial Report on the Canada Pension Plan</w:t>
      </w:r>
      <w:r w:rsidRPr="00D06B1C">
        <w:rPr>
          <w:sz w:val="16"/>
          <w:szCs w:val="16"/>
        </w:rPr>
        <w:t>, 2024.</w:t>
      </w:r>
    </w:p>
  </w:footnote>
  <w:footnote w:id="288">
    <w:p w14:paraId="1F57D32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Bilan démographique 2025</w:t>
      </w:r>
      <w:r w:rsidRPr="00D06B1C">
        <w:rPr>
          <w:sz w:val="16"/>
          <w:szCs w:val="16"/>
        </w:rPr>
        <w:t>, janvier 2026. Indicateur conjoncturel de fécondité : 1,56 enfant par femme en 2025, en recul continu depuis le pic de 2,03 en 2010, plus bas niveau enregistré depuis 1915 hors guerres.</w:t>
      </w:r>
    </w:p>
  </w:footnote>
  <w:footnote w:id="289">
    <w:p w14:paraId="074CFCE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w:t>
      </w:r>
      <w:r w:rsidRPr="00D06B1C">
        <w:rPr>
          <w:i/>
          <w:iCs/>
          <w:sz w:val="16"/>
          <w:szCs w:val="16"/>
        </w:rPr>
        <w:t>Rapport annuel 2025</w:t>
      </w:r>
      <w:r w:rsidRPr="00D06B1C">
        <w:rPr>
          <w:sz w:val="16"/>
          <w:szCs w:val="16"/>
        </w:rPr>
        <w:t>, juin 2025. Ratio cotisants/retraités tous régimes : 1,79 en 2024, projection à 1,41 en 2070 dans le scénario central.</w:t>
      </w:r>
    </w:p>
  </w:footnote>
  <w:footnote w:id="290">
    <w:p w14:paraId="2F8DF89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ATO, </w:t>
      </w:r>
      <w:r w:rsidRPr="00D06B1C">
        <w:rPr>
          <w:i/>
          <w:iCs/>
          <w:sz w:val="16"/>
          <w:szCs w:val="16"/>
          <w:lang w:val="en-GB"/>
        </w:rPr>
        <w:t>Key Superannuation Rates</w:t>
      </w:r>
      <w:r w:rsidRPr="00D06B1C">
        <w:rPr>
          <w:sz w:val="16"/>
          <w:szCs w:val="16"/>
          <w:lang w:val="en-GB"/>
        </w:rPr>
        <w:t xml:space="preserve">, historique 1992-2025. </w:t>
      </w:r>
      <w:r w:rsidRPr="00D06B1C">
        <w:rPr>
          <w:sz w:val="16"/>
          <w:szCs w:val="16"/>
        </w:rPr>
        <w:t>Gel à 9 % sous Howard 2002-2007, regel à 9,25 % sous Abbott 2014. Reprise sous Albanese en 2021, atteinte de 12 % en juillet 2025.</w:t>
      </w:r>
    </w:p>
  </w:footnote>
  <w:footnote w:id="291">
    <w:p w14:paraId="7485885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Fonds de Réserve pour les Retraites, </w:t>
      </w:r>
      <w:r w:rsidRPr="00D06B1C">
        <w:rPr>
          <w:i/>
          <w:iCs/>
          <w:sz w:val="16"/>
          <w:szCs w:val="16"/>
        </w:rPr>
        <w:t>Rapport annuel 2024</w:t>
      </w:r>
      <w:r w:rsidRPr="00D06B1C">
        <w:rPr>
          <w:sz w:val="16"/>
          <w:szCs w:val="16"/>
        </w:rPr>
        <w:t>, 2025. Encours fin 2024 : 20,4 Md€, en baisse depuis le pic de 36 Md€ en 2010. Rendement réel net 2024 : +6,46 %. Rendement annualisé 2003-2024 : 4,1 %.</w:t>
      </w:r>
    </w:p>
  </w:footnote>
  <w:footnote w:id="292">
    <w:p w14:paraId="41CBB41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Stratégie, </w:t>
      </w:r>
      <w:r w:rsidRPr="00D06B1C">
        <w:rPr>
          <w:i/>
          <w:iCs/>
          <w:sz w:val="16"/>
          <w:szCs w:val="16"/>
        </w:rPr>
        <w:t>Eurobonds retraite : faisabilité et modalités</w:t>
      </w:r>
      <w:r w:rsidRPr="00D06B1C">
        <w:rPr>
          <w:sz w:val="16"/>
          <w:szCs w:val="16"/>
        </w:rPr>
        <w:t>, note d’analyse, novembre 2024. Taux souverain France à 10 ans estimé à 4 % en 2026, soit ~2 Md€/an d’intérêts pour 50 Md€ levés. Impact dette publique brute : +1,7 pt PIB sur le compteur Maastricht. Précédent NextGenerationEU 2020 (800 Md€ levés en commun).</w:t>
      </w:r>
    </w:p>
  </w:footnote>
  <w:footnote w:id="293">
    <w:p w14:paraId="3EC8AB6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FIPECO, </w:t>
      </w:r>
      <w:r w:rsidRPr="00D06B1C">
        <w:rPr>
          <w:i/>
          <w:iCs/>
          <w:sz w:val="16"/>
          <w:szCs w:val="16"/>
        </w:rPr>
        <w:t>La CSG, son montant et son affectation</w:t>
      </w:r>
      <w:r w:rsidRPr="00D06B1C">
        <w:rPr>
          <w:sz w:val="16"/>
          <w:szCs w:val="16"/>
        </w:rPr>
        <w:t xml:space="preserve">, 2025 ; DG Trésor, </w:t>
      </w:r>
      <w:r w:rsidRPr="00D06B1C">
        <w:rPr>
          <w:i/>
          <w:iCs/>
          <w:sz w:val="16"/>
          <w:szCs w:val="16"/>
        </w:rPr>
        <w:t>Rapport économique, social et financier 2025</w:t>
      </w:r>
      <w:r w:rsidRPr="00D06B1C">
        <w:rPr>
          <w:sz w:val="16"/>
          <w:szCs w:val="16"/>
        </w:rPr>
        <w:t>. Rendement d’un point de CSG 2024 : 16-17 Md€ sur la masse globale des revenus assujettis.</w:t>
      </w:r>
    </w:p>
  </w:footnote>
  <w:footnote w:id="294">
    <w:p w14:paraId="3364481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INSEE, </w:t>
      </w:r>
      <w:r w:rsidRPr="00D06B1C">
        <w:rPr>
          <w:i/>
          <w:iCs/>
          <w:sz w:val="16"/>
          <w:szCs w:val="16"/>
        </w:rPr>
        <w:t>Comptes nationaux 2025</w:t>
      </w:r>
      <w:r w:rsidRPr="00D06B1C">
        <w:rPr>
          <w:sz w:val="16"/>
          <w:szCs w:val="16"/>
        </w:rPr>
        <w:t>. Masse salariale brute du secteur privé France 2027 estimée à ~1 100 Md€ constants 2026. Une cotisation patronale nouvelle de 1 % rapporte donc à pleine charge ~11 Md€/an, 2 % ~22 Md€/an.</w:t>
      </w:r>
    </w:p>
  </w:footnote>
  <w:footnote w:id="295">
    <w:p w14:paraId="292F552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w:t>
      </w:r>
      <w:r w:rsidRPr="00D06B1C">
        <w:rPr>
          <w:i/>
          <w:iCs/>
          <w:sz w:val="16"/>
          <w:szCs w:val="16"/>
        </w:rPr>
        <w:t>Rapport annuel 2025</w:t>
      </w:r>
      <w:r w:rsidRPr="00D06B1C">
        <w:rPr>
          <w:sz w:val="16"/>
          <w:szCs w:val="16"/>
        </w:rPr>
        <w:t>, juin 2025. Scénario central : déficit du système de retraites -5 Md€ en 2025, -6,6 Md€ en 2030, -45 Md€ en 2070, soit -1,4 % du PIB à cet horizon.</w:t>
      </w:r>
    </w:p>
  </w:footnote>
  <w:footnote w:id="296">
    <w:p w14:paraId="17E1AF9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Commission européenne, </w:t>
      </w:r>
      <w:r w:rsidRPr="00D06B1C">
        <w:rPr>
          <w:i/>
          <w:iCs/>
          <w:sz w:val="16"/>
          <w:szCs w:val="16"/>
          <w:lang w:val="en-GB"/>
        </w:rPr>
        <w:t>2024 Ageing Report: Economic and Budgetary Projections for the EU Member States (2022-2070)</w:t>
      </w:r>
      <w:r w:rsidRPr="00D06B1C">
        <w:rPr>
          <w:sz w:val="16"/>
          <w:szCs w:val="16"/>
          <w:lang w:val="en-GB"/>
        </w:rPr>
        <w:t xml:space="preserve">, mai 2024. </w:t>
      </w:r>
      <w:r w:rsidRPr="00D06B1C">
        <w:rPr>
          <w:sz w:val="16"/>
          <w:szCs w:val="16"/>
        </w:rPr>
        <w:t xml:space="preserve">Passif implicite des retraites France évalué à environ 417 % du PIB en 2021 sous taux d’actualisation de 1 %. Méthode comparée dans Jean-Marc Daniel, </w:t>
      </w:r>
      <w:r w:rsidRPr="00D06B1C">
        <w:rPr>
          <w:i/>
          <w:iCs/>
          <w:sz w:val="16"/>
          <w:szCs w:val="16"/>
        </w:rPr>
        <w:t>Les comptes publics de la France</w:t>
      </w:r>
      <w:r w:rsidRPr="00D06B1C">
        <w:rPr>
          <w:sz w:val="16"/>
          <w:szCs w:val="16"/>
        </w:rPr>
        <w:t>, La Documentation française, 2023.</w:t>
      </w:r>
    </w:p>
  </w:footnote>
  <w:footnote w:id="297">
    <w:p w14:paraId="481A6DE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Mécanique du rendement composé sur 40 ans : à 4 % réel, (1,</w:t>
      </w:r>
      <w:proofErr w:type="gramStart"/>
      <w:r w:rsidRPr="00D06B1C">
        <w:rPr>
          <w:sz w:val="16"/>
          <w:szCs w:val="16"/>
        </w:rPr>
        <w:t>04)^</w:t>
      </w:r>
      <w:proofErr w:type="gramEnd"/>
      <w:r w:rsidRPr="00D06B1C">
        <w:rPr>
          <w:sz w:val="16"/>
          <w:szCs w:val="16"/>
        </w:rPr>
        <w:t>40 = 4,80 ; à 5 % réel, (1,</w:t>
      </w:r>
      <w:proofErr w:type="gramStart"/>
      <w:r w:rsidRPr="00D06B1C">
        <w:rPr>
          <w:sz w:val="16"/>
          <w:szCs w:val="16"/>
        </w:rPr>
        <w:t>05)^</w:t>
      </w:r>
      <w:proofErr w:type="gramEnd"/>
      <w:r w:rsidRPr="00D06B1C">
        <w:rPr>
          <w:sz w:val="16"/>
          <w:szCs w:val="16"/>
        </w:rPr>
        <w:t xml:space="preserve">40 = 7,04. Une cotisation versée à 25 ans capte 35 années pleines d’effet composé jusqu’à 60 ans, contre 10 années pour une cotisation versée à 50 ans. Sur la transition par cohortes : Banque mondiale, </w:t>
      </w:r>
      <w:proofErr w:type="gramStart"/>
      <w:r w:rsidRPr="00D06B1C">
        <w:rPr>
          <w:i/>
          <w:iCs/>
          <w:sz w:val="16"/>
          <w:szCs w:val="16"/>
        </w:rPr>
        <w:t>Poland:</w:t>
      </w:r>
      <w:proofErr w:type="gramEnd"/>
      <w:r w:rsidRPr="00D06B1C">
        <w:rPr>
          <w:i/>
          <w:iCs/>
          <w:sz w:val="16"/>
          <w:szCs w:val="16"/>
        </w:rPr>
        <w:t xml:space="preserve"> Pension Reform and Future Pension Adequacy</w:t>
      </w:r>
      <w:r w:rsidRPr="00D06B1C">
        <w:rPr>
          <w:sz w:val="16"/>
          <w:szCs w:val="16"/>
        </w:rPr>
        <w:t>, 2017.</w:t>
      </w:r>
    </w:p>
  </w:footnote>
  <w:footnote w:id="298">
    <w:p w14:paraId="38F7114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NEST Corporation, </w:t>
      </w:r>
      <w:r w:rsidRPr="00D06B1C">
        <w:rPr>
          <w:i/>
          <w:iCs/>
          <w:sz w:val="16"/>
          <w:szCs w:val="16"/>
          <w:lang w:val="en-GB"/>
        </w:rPr>
        <w:t>Annual Report and Accounts 2024-25</w:t>
      </w:r>
      <w:r w:rsidRPr="00D06B1C">
        <w:rPr>
          <w:sz w:val="16"/>
          <w:szCs w:val="16"/>
          <w:lang w:val="en-GB"/>
        </w:rPr>
        <w:t xml:space="preserve">, 2025. </w:t>
      </w:r>
      <w:r w:rsidRPr="00D06B1C">
        <w:rPr>
          <w:sz w:val="16"/>
          <w:szCs w:val="16"/>
        </w:rPr>
        <w:t xml:space="preserve">NEST gère 49,7 Md£ d’actifs au 31 mars 2025, pour ~13 millions de membres, couverture estimée 80 % des éligibles. </w:t>
      </w:r>
      <w:r w:rsidRPr="00D06B1C">
        <w:rPr>
          <w:i/>
          <w:iCs/>
          <w:sz w:val="16"/>
          <w:szCs w:val="16"/>
        </w:rPr>
        <w:t>Pensions Act 2008</w:t>
      </w:r>
      <w:r w:rsidRPr="00D06B1C">
        <w:rPr>
          <w:sz w:val="16"/>
          <w:szCs w:val="16"/>
        </w:rPr>
        <w:t>, staging octobre 2012 (&gt; 50 000 salariés) à avril 2018 (TPE), taux porté à 8 % en avril 2019.</w:t>
      </w:r>
    </w:p>
  </w:footnote>
  <w:footnote w:id="299">
    <w:p w14:paraId="795ED33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BMAS, </w:t>
      </w:r>
      <w:r w:rsidRPr="00D06B1C">
        <w:rPr>
          <w:i/>
          <w:iCs/>
          <w:sz w:val="16"/>
          <w:szCs w:val="16"/>
        </w:rPr>
        <w:t>Alterssicherung in Deutschland 2024</w:t>
      </w:r>
      <w:r w:rsidRPr="00D06B1C">
        <w:rPr>
          <w:sz w:val="16"/>
          <w:szCs w:val="16"/>
        </w:rPr>
        <w:t>, 2024. ~9,7 millions d’actifs détenaient un contrat Riester en cours en 2024, sur un pic de 16,5 millions de contrats cumulés émis depuis 2002. Coût budgétaire annuel des subventions Riester : ~4 Md€/an, taux d’adoption &lt; 30 % du public cible.</w:t>
      </w:r>
    </w:p>
  </w:footnote>
  <w:footnote w:id="300">
    <w:p w14:paraId="45DAD46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Assureurs, </w:t>
      </w:r>
      <w:r w:rsidRPr="00D06B1C">
        <w:rPr>
          <w:i/>
          <w:iCs/>
          <w:sz w:val="16"/>
          <w:szCs w:val="16"/>
        </w:rPr>
        <w:t>Plan d’Épargne Retraite : Bilan 2024</w:t>
      </w:r>
      <w:r w:rsidRPr="00D06B1C">
        <w:rPr>
          <w:sz w:val="16"/>
          <w:szCs w:val="16"/>
        </w:rPr>
        <w:t xml:space="preserve">, mars 2025. Plus de 11 millions de PER détenus fin 2024 (loi PACTE 2019-486 du 22 mai 2019). Encours total ~110 Md€, encours moyen ~3 400 €. Cour des comptes, </w:t>
      </w:r>
      <w:r w:rsidRPr="00D06B1C">
        <w:rPr>
          <w:i/>
          <w:iCs/>
          <w:sz w:val="16"/>
          <w:szCs w:val="16"/>
        </w:rPr>
        <w:t>Le système de retraite par capitalisation en France</w:t>
      </w:r>
      <w:r w:rsidRPr="00D06B1C">
        <w:rPr>
          <w:sz w:val="16"/>
          <w:szCs w:val="16"/>
        </w:rPr>
        <w:t>, rapport public thématique, février 2024 - concentration des versements PER sur les déciles supérieurs.</w:t>
      </w:r>
    </w:p>
  </w:footnote>
  <w:footnote w:id="301">
    <w:p w14:paraId="771450C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Odoxa pour Groupama, </w:t>
      </w:r>
      <w:r w:rsidRPr="00D06B1C">
        <w:rPr>
          <w:i/>
          <w:iCs/>
          <w:sz w:val="16"/>
          <w:szCs w:val="16"/>
        </w:rPr>
        <w:t>Les Français et la retraite par capitalisation</w:t>
      </w:r>
      <w:r w:rsidRPr="00D06B1C">
        <w:rPr>
          <w:sz w:val="16"/>
          <w:szCs w:val="16"/>
        </w:rPr>
        <w:t xml:space="preserve">, novembre 2025. Échantillon représentatif d’environ 1 000 personnes interrogées en ligne. Voir aussi Cercle de l’Épargne / Amphitéa, </w:t>
      </w:r>
      <w:r w:rsidRPr="00D06B1C">
        <w:rPr>
          <w:i/>
          <w:iCs/>
          <w:sz w:val="16"/>
          <w:szCs w:val="16"/>
        </w:rPr>
        <w:t>Les Français, l’épargne et la retraite 2025</w:t>
      </w:r>
      <w:r w:rsidRPr="00D06B1C">
        <w:rPr>
          <w:sz w:val="16"/>
          <w:szCs w:val="16"/>
        </w:rPr>
        <w:t>, IFOP, 1 000 répondants, 25-26 mars 2025 : 62 % des non-retraités estiment qu’il faut commencer à épargner avant 35 ans, 48 % chez les 18-24 ans.</w:t>
      </w:r>
    </w:p>
  </w:footnote>
  <w:footnote w:id="302">
    <w:p w14:paraId="616CEEA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Autorité des marchés financiers, </w:t>
      </w:r>
      <w:r w:rsidRPr="00D06B1C">
        <w:rPr>
          <w:i/>
          <w:iCs/>
          <w:sz w:val="16"/>
          <w:szCs w:val="16"/>
        </w:rPr>
        <w:t>Baromètre 2024 de l’épargne et de l’investissement</w:t>
      </w:r>
      <w:r w:rsidRPr="00D06B1C">
        <w:rPr>
          <w:sz w:val="16"/>
          <w:szCs w:val="16"/>
        </w:rPr>
        <w:t>, octobre 2024, 2 044 répondants.</w:t>
      </w:r>
    </w:p>
  </w:footnote>
  <w:footnote w:id="303">
    <w:p w14:paraId="2B0CC4F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Positions publiques documentées dans Bertrand Martinot, </w:t>
      </w:r>
      <w:r w:rsidRPr="00D06B1C">
        <w:rPr>
          <w:i/>
          <w:iCs/>
          <w:sz w:val="16"/>
          <w:szCs w:val="16"/>
        </w:rPr>
        <w:t xml:space="preserve">La capitalisation : un moyen de sortir par le haut de la crise des </w:t>
      </w:r>
      <w:proofErr w:type="gramStart"/>
      <w:r w:rsidRPr="00D06B1C">
        <w:rPr>
          <w:i/>
          <w:iCs/>
          <w:sz w:val="16"/>
          <w:szCs w:val="16"/>
        </w:rPr>
        <w:t>retraites ?</w:t>
      </w:r>
      <w:r w:rsidRPr="00D06B1C">
        <w:rPr>
          <w:sz w:val="16"/>
          <w:szCs w:val="16"/>
        </w:rPr>
        <w:t>,</w:t>
      </w:r>
      <w:proofErr w:type="gramEnd"/>
      <w:r w:rsidRPr="00D06B1C">
        <w:rPr>
          <w:sz w:val="16"/>
          <w:szCs w:val="16"/>
        </w:rPr>
        <w:t xml:space="preserve"> Fondation pour l’innovation politique, octobre 2024, annexe 3. Position CFDT : Marylise Léon, entretien </w:t>
      </w:r>
      <w:r w:rsidRPr="00D06B1C">
        <w:rPr>
          <w:i/>
          <w:iCs/>
          <w:sz w:val="16"/>
          <w:szCs w:val="16"/>
        </w:rPr>
        <w:t>Les Échos</w:t>
      </w:r>
      <w:r w:rsidRPr="00D06B1C">
        <w:rPr>
          <w:sz w:val="16"/>
          <w:szCs w:val="16"/>
        </w:rPr>
        <w:t>, 12 mars 2025. Position CFE-CGC : Christelle Thieffine, février 2025.</w:t>
      </w:r>
    </w:p>
  </w:footnote>
  <w:footnote w:id="304">
    <w:p w14:paraId="23EC8C4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97-277 du 25 mars 1997, dite « loi Thomas ». Portée par le député Jean-Pierre Thomas (RPR), votée sous le gouvernement Juppé. Abrogée par la loi n° 2002-73 du 17 janvier 2002 (loi de modernisation sociale).</w:t>
      </w:r>
    </w:p>
  </w:footnote>
  <w:footnote w:id="305">
    <w:p w14:paraId="44CE25C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Jean-Paul Delevoye, </w:t>
      </w:r>
      <w:r w:rsidRPr="00D06B1C">
        <w:rPr>
          <w:i/>
          <w:iCs/>
          <w:sz w:val="16"/>
          <w:szCs w:val="16"/>
        </w:rPr>
        <w:t>Pour un système universel de retraite</w:t>
      </w:r>
      <w:r w:rsidRPr="00D06B1C">
        <w:rPr>
          <w:sz w:val="16"/>
          <w:szCs w:val="16"/>
        </w:rPr>
        <w:t>, rapport au Premier ministre, juillet 2019. Démission du Haut-commissaire le 16 décembre 2019. Grèves cumulées les plus longues depuis 1995 (45 jours à la RATP).</w:t>
      </w:r>
    </w:p>
  </w:footnote>
  <w:footnote w:id="306">
    <w:p w14:paraId="338C470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2023-270 du 14 avril 2023 de financement rectificative de la sécurité sociale, validée par DC 2023-849. LFSS 2026 suspendant l’application du recul de l’âge aux générations nées avant le 1ᵉʳ janvier 1969.</w:t>
      </w:r>
    </w:p>
  </w:footnote>
  <w:footnote w:id="307">
    <w:p w14:paraId="278D4AB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Conseil constitutionnel, décision n° 2003-483 DC du 14 août 2003, loi portant réforme des retraites. À ne pas confondre avec la décision n° 2003-484 DC du même mois, relative à l’immigration. La décision 2003-483 pose que le législateur est libre des paramètres dès lors que les droits déjà acquis sont préservés et la viabilité financière garantie.</w:t>
      </w:r>
    </w:p>
  </w:footnote>
  <w:footnote w:id="308">
    <w:p w14:paraId="7278BF7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Conseil constitutionnel, décisions n° 2010-617 DC du 9 novembre 2010 (loi Woerth) ; n° 2014-698 DC du 6 août 2014 (loi Touraine, censure de l’article 1ᵉʳ LFRSS pour rupture d’égalité, validation pour le reste) ; n° 2023-849 DC du 14 avril 2023 (loi Borne, validation du recul de l’âge à 64 ans, 30 articles validés sur 36, 6 groupes de dispositions censurés comme cavaliers sociaux).</w:t>
      </w:r>
    </w:p>
  </w:footnote>
  <w:footnote w:id="309">
    <w:p w14:paraId="1D557E9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CEDH, </w:t>
      </w:r>
      <w:r w:rsidRPr="00D06B1C">
        <w:rPr>
          <w:i/>
          <w:iCs/>
          <w:sz w:val="16"/>
          <w:szCs w:val="16"/>
        </w:rPr>
        <w:t>Apostolakis c. Grèce</w:t>
      </w:r>
      <w:r w:rsidRPr="00D06B1C">
        <w:rPr>
          <w:sz w:val="16"/>
          <w:szCs w:val="16"/>
        </w:rPr>
        <w:t xml:space="preserve">, requête 39574/07, arrêt du 22 octobre 2009. Fonctionnaire grec </w:t>
      </w:r>
      <w:r w:rsidRPr="00D06B1C">
        <w:rPr>
          <w:b/>
          <w:bCs/>
          <w:sz w:val="16"/>
          <w:szCs w:val="16"/>
        </w:rPr>
        <w:t>condamné pénalement</w:t>
      </w:r>
      <w:r w:rsidRPr="00D06B1C">
        <w:rPr>
          <w:sz w:val="16"/>
          <w:szCs w:val="16"/>
        </w:rPr>
        <w:t xml:space="preserve"> dont les droits à pension et la couverture sociale ont été intégralement supprimés. Violation de l’article 1 du protocole 1.</w:t>
      </w:r>
    </w:p>
  </w:footnote>
  <w:footnote w:id="310">
    <w:p w14:paraId="73E70CC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CEDH, </w:t>
      </w:r>
      <w:r w:rsidRPr="00D06B1C">
        <w:rPr>
          <w:i/>
          <w:iCs/>
          <w:sz w:val="16"/>
          <w:szCs w:val="16"/>
        </w:rPr>
        <w:t>Béláné Nagy c. Hongrie</w:t>
      </w:r>
      <w:r w:rsidRPr="00D06B1C">
        <w:rPr>
          <w:sz w:val="16"/>
          <w:szCs w:val="16"/>
        </w:rPr>
        <w:t>, Grande Chambre, requête n° 53080/13, arrêt du 13 décembre 2016. Une pension versée pendant plusieurs années crée une expectative légitime, dont la suppression rétroactive constitue une violation de l’article 1 du protocole 1.</w:t>
      </w:r>
    </w:p>
  </w:footnote>
  <w:footnote w:id="311">
    <w:p w14:paraId="01E2DE0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CEDH, </w:t>
      </w:r>
      <w:r w:rsidRPr="00D06B1C">
        <w:rPr>
          <w:i/>
          <w:iCs/>
          <w:sz w:val="16"/>
          <w:szCs w:val="16"/>
        </w:rPr>
        <w:t>Stec et autres c. Royaume-Uni</w:t>
      </w:r>
      <w:r w:rsidRPr="00D06B1C">
        <w:rPr>
          <w:sz w:val="16"/>
          <w:szCs w:val="16"/>
        </w:rPr>
        <w:t>, Grande Chambre, requêtes 65731/01 et 65900/01, arrêt du 12 avril 2006. Les différences de traitement fondées sur l’âge sont admises si elles poursuivent un but légitime et reposent sur une justification objective et raisonnable.</w:t>
      </w:r>
    </w:p>
  </w:footnote>
  <w:footnote w:id="312">
    <w:p w14:paraId="776D80C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Article L.923-1 du Code de la sécurité sociale, rédaction issue de la loi n° 72-1223 du 29 décembre 1972. Consacre l’autonomie des régimes complémentaires obligatoires AGIRC-ARRCO sous la gouvernance paritaire des partenaires sociaux signataires de l’ANI.</w:t>
      </w:r>
    </w:p>
  </w:footnote>
  <w:footnote w:id="313">
    <w:p w14:paraId="3EF2F76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Pensionsmyndigheten, </w:t>
      </w:r>
      <w:r w:rsidRPr="00D06B1C">
        <w:rPr>
          <w:i/>
          <w:iCs/>
          <w:sz w:val="16"/>
          <w:szCs w:val="16"/>
        </w:rPr>
        <w:t>Pensionsöverenskommelsen 1994</w:t>
      </w:r>
      <w:r w:rsidRPr="00D06B1C">
        <w:rPr>
          <w:sz w:val="16"/>
          <w:szCs w:val="16"/>
        </w:rPr>
        <w:t xml:space="preserve">, archives. Vote de principe au Riksdag le 8 juin 1994. Cinq formations signataires : Sociaux-démocrates, Modérés, Parti du Centre, Libéraux, Démocrates-chrétiens - soit ~85 % du Parlement. Modifications ultérieures soumises à un </w:t>
      </w:r>
      <w:r w:rsidRPr="00D06B1C">
        <w:rPr>
          <w:i/>
          <w:iCs/>
          <w:sz w:val="16"/>
          <w:szCs w:val="16"/>
        </w:rPr>
        <w:t>Pensionsgruppen</w:t>
      </w:r>
      <w:r w:rsidRPr="00D06B1C">
        <w:rPr>
          <w:sz w:val="16"/>
          <w:szCs w:val="16"/>
        </w:rPr>
        <w:t xml:space="preserve"> garant du consensus.</w:t>
      </w:r>
    </w:p>
  </w:footnote>
  <w:footnote w:id="314">
    <w:p w14:paraId="0A0A7E1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Adair Turner, John Hills, Jeannie Drake, </w:t>
      </w:r>
      <w:proofErr w:type="gramStart"/>
      <w:r w:rsidRPr="00D06B1C">
        <w:rPr>
          <w:i/>
          <w:iCs/>
          <w:sz w:val="16"/>
          <w:szCs w:val="16"/>
        </w:rPr>
        <w:t>Pensions:</w:t>
      </w:r>
      <w:proofErr w:type="gramEnd"/>
      <w:r w:rsidRPr="00D06B1C">
        <w:rPr>
          <w:i/>
          <w:iCs/>
          <w:sz w:val="16"/>
          <w:szCs w:val="16"/>
        </w:rPr>
        <w:t xml:space="preserve"> Challenges and Choices</w:t>
      </w:r>
      <w:r w:rsidRPr="00D06B1C">
        <w:rPr>
          <w:sz w:val="16"/>
          <w:szCs w:val="16"/>
        </w:rPr>
        <w:t xml:space="preserve"> (octobre 2004), </w:t>
      </w:r>
      <w:r w:rsidRPr="00D06B1C">
        <w:rPr>
          <w:i/>
          <w:iCs/>
          <w:sz w:val="16"/>
          <w:szCs w:val="16"/>
        </w:rPr>
        <w:t>A New Pension Settlement for the Twenty-First Century</w:t>
      </w:r>
      <w:r w:rsidRPr="00D06B1C">
        <w:rPr>
          <w:sz w:val="16"/>
          <w:szCs w:val="16"/>
        </w:rPr>
        <w:t xml:space="preserve"> (novembre 2005), </w:t>
      </w:r>
      <w:r w:rsidRPr="00D06B1C">
        <w:rPr>
          <w:i/>
          <w:iCs/>
          <w:sz w:val="16"/>
          <w:szCs w:val="16"/>
        </w:rPr>
        <w:t>Implementing an Integrated Package of Pension Reforms</w:t>
      </w:r>
      <w:r w:rsidRPr="00D06B1C">
        <w:rPr>
          <w:sz w:val="16"/>
          <w:szCs w:val="16"/>
        </w:rPr>
        <w:t xml:space="preserve"> (avril 2006). </w:t>
      </w:r>
      <w:r w:rsidRPr="00D06B1C">
        <w:rPr>
          <w:i/>
          <w:iCs/>
          <w:sz w:val="16"/>
          <w:szCs w:val="16"/>
        </w:rPr>
        <w:t>Pensions Act 2008</w:t>
      </w:r>
      <w:r w:rsidRPr="00D06B1C">
        <w:rPr>
          <w:sz w:val="16"/>
          <w:szCs w:val="16"/>
        </w:rPr>
        <w:t xml:space="preserve"> voté avec soutien des trois grandes formations.</w:t>
      </w:r>
    </w:p>
  </w:footnote>
  <w:footnote w:id="315">
    <w:p w14:paraId="4F94175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Pensionsmyndigheten, </w:t>
      </w:r>
      <w:r w:rsidRPr="00D06B1C">
        <w:rPr>
          <w:i/>
          <w:iCs/>
          <w:sz w:val="16"/>
          <w:szCs w:val="16"/>
        </w:rPr>
        <w:t xml:space="preserve">Orange Report </w:t>
      </w:r>
      <w:proofErr w:type="gramStart"/>
      <w:r w:rsidRPr="00D06B1C">
        <w:rPr>
          <w:i/>
          <w:iCs/>
          <w:sz w:val="16"/>
          <w:szCs w:val="16"/>
        </w:rPr>
        <w:t>2024:</w:t>
      </w:r>
      <w:proofErr w:type="gramEnd"/>
      <w:r w:rsidRPr="00D06B1C">
        <w:rPr>
          <w:i/>
          <w:iCs/>
          <w:sz w:val="16"/>
          <w:szCs w:val="16"/>
        </w:rPr>
        <w:t xml:space="preserve"> Annual Report of the Swedish Pension System</w:t>
      </w:r>
      <w:r w:rsidRPr="00D06B1C">
        <w:rPr>
          <w:sz w:val="16"/>
          <w:szCs w:val="16"/>
        </w:rPr>
        <w:t xml:space="preserve">, 2025. Cotisation retraite totale Suède stabilisée à 18,5 % depuis 1999 sans modification du principe central. Le </w:t>
      </w:r>
      <w:r w:rsidRPr="00D06B1C">
        <w:rPr>
          <w:i/>
          <w:iCs/>
          <w:sz w:val="16"/>
          <w:szCs w:val="16"/>
        </w:rPr>
        <w:t>Pensionsgruppen</w:t>
      </w:r>
      <w:r w:rsidRPr="00D06B1C">
        <w:rPr>
          <w:sz w:val="16"/>
          <w:szCs w:val="16"/>
        </w:rPr>
        <w:t xml:space="preserve"> parlementaire continue de se réunir et de valider à l’unanimité les ajustements paramétriques.</w:t>
      </w:r>
    </w:p>
  </w:footnote>
  <w:footnote w:id="316">
    <w:p w14:paraId="7F5130E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De Nederlandsche Bank, </w:t>
      </w:r>
      <w:r w:rsidRPr="00D06B1C">
        <w:rPr>
          <w:i/>
          <w:iCs/>
          <w:sz w:val="16"/>
          <w:szCs w:val="16"/>
        </w:rPr>
        <w:t>Annual Report 2024</w:t>
      </w:r>
      <w:r w:rsidRPr="00D06B1C">
        <w:rPr>
          <w:sz w:val="16"/>
          <w:szCs w:val="16"/>
        </w:rPr>
        <w:t xml:space="preserve">, 2025 ; </w:t>
      </w:r>
      <w:r w:rsidRPr="00D06B1C">
        <w:rPr>
          <w:i/>
          <w:iCs/>
          <w:sz w:val="16"/>
          <w:szCs w:val="16"/>
        </w:rPr>
        <w:t>Wet toekomst pensioenen</w:t>
      </w:r>
      <w:r w:rsidRPr="00D06B1C">
        <w:rPr>
          <w:sz w:val="16"/>
          <w:szCs w:val="16"/>
        </w:rPr>
        <w:t xml:space="preserve"> adoptée définitivement par la </w:t>
      </w:r>
      <w:r w:rsidRPr="00D06B1C">
        <w:rPr>
          <w:i/>
          <w:iCs/>
          <w:sz w:val="16"/>
          <w:szCs w:val="16"/>
        </w:rPr>
        <w:t>Eerste Kamer</w:t>
      </w:r>
      <w:r w:rsidRPr="00D06B1C">
        <w:rPr>
          <w:sz w:val="16"/>
          <w:szCs w:val="16"/>
        </w:rPr>
        <w:t xml:space="preserve"> le 30 mai 2023 (46 voix contre 27), entrée en vigueur le 1ᵉʳ juillet 2023, deadline de bascule des fonds professionnels au 1ᵉʳ janvier 2028.</w:t>
      </w:r>
    </w:p>
  </w:footnote>
  <w:footnote w:id="317">
    <w:p w14:paraId="68CE4A9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Paul Keating, </w:t>
      </w:r>
      <w:r w:rsidRPr="00D06B1C">
        <w:rPr>
          <w:i/>
          <w:iCs/>
          <w:sz w:val="16"/>
          <w:szCs w:val="16"/>
          <w:lang w:val="en-GB"/>
        </w:rPr>
        <w:t>The Story of Modern Superannuation</w:t>
      </w:r>
      <w:r w:rsidRPr="00D06B1C">
        <w:rPr>
          <w:sz w:val="16"/>
          <w:szCs w:val="16"/>
          <w:lang w:val="en-GB"/>
        </w:rPr>
        <w:t xml:space="preserve">, discours du 31 octobre 2007 ; John Edwards, </w:t>
      </w:r>
      <w:r w:rsidRPr="00D06B1C">
        <w:rPr>
          <w:i/>
          <w:iCs/>
          <w:sz w:val="16"/>
          <w:szCs w:val="16"/>
          <w:lang w:val="en-GB"/>
        </w:rPr>
        <w:t>Keating: The Inside Story</w:t>
      </w:r>
      <w:r w:rsidRPr="00D06B1C">
        <w:rPr>
          <w:sz w:val="16"/>
          <w:szCs w:val="16"/>
          <w:lang w:val="en-GB"/>
        </w:rPr>
        <w:t xml:space="preserve">, Viking, 1996. </w:t>
      </w:r>
      <w:r w:rsidRPr="00D06B1C">
        <w:rPr>
          <w:i/>
          <w:iCs/>
          <w:sz w:val="16"/>
          <w:szCs w:val="16"/>
        </w:rPr>
        <w:t>Prices and Incomes Accord Mark II</w:t>
      </w:r>
      <w:r w:rsidRPr="00D06B1C">
        <w:rPr>
          <w:sz w:val="16"/>
          <w:szCs w:val="16"/>
        </w:rPr>
        <w:t xml:space="preserve"> signé en septembre 1985 entre le gouvernement Hawke et l’ACTU (Bill Kelty, secrétaire général).</w:t>
      </w:r>
    </w:p>
  </w:footnote>
  <w:footnote w:id="318">
    <w:p w14:paraId="4D10449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Office of the Superintendent of Financial Institutions, </w:t>
      </w:r>
      <w:r w:rsidRPr="00D06B1C">
        <w:rPr>
          <w:i/>
          <w:iCs/>
          <w:sz w:val="16"/>
          <w:szCs w:val="16"/>
          <w:lang w:val="en-GB"/>
        </w:rPr>
        <w:t>Actuarial Report on the Canada Pension Plan</w:t>
      </w:r>
      <w:r w:rsidRPr="00D06B1C">
        <w:rPr>
          <w:sz w:val="16"/>
          <w:szCs w:val="16"/>
          <w:lang w:val="en-GB"/>
        </w:rPr>
        <w:t xml:space="preserve">, 2024. </w:t>
      </w:r>
      <w:r w:rsidRPr="00D06B1C">
        <w:rPr>
          <w:sz w:val="16"/>
          <w:szCs w:val="16"/>
        </w:rPr>
        <w:t xml:space="preserve">Accord fédéral-provinces ratifié en 1996, </w:t>
      </w:r>
      <w:r w:rsidRPr="00D06B1C">
        <w:rPr>
          <w:i/>
          <w:iCs/>
          <w:sz w:val="16"/>
          <w:szCs w:val="16"/>
        </w:rPr>
        <w:t>Canada Pension Plan Investment Board Act</w:t>
      </w:r>
      <w:r w:rsidRPr="00D06B1C">
        <w:rPr>
          <w:sz w:val="16"/>
          <w:szCs w:val="16"/>
        </w:rPr>
        <w:t xml:space="preserve"> adoptée en décembre 1997. Taux paritaire combiné porté de 5,6 % en 1996 à 9,9 % en 2003 par paliers paramétriques.</w:t>
      </w:r>
    </w:p>
  </w:footnote>
  <w:footnote w:id="319">
    <w:p w14:paraId="042353F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ATO, </w:t>
      </w:r>
      <w:r w:rsidRPr="00D06B1C">
        <w:rPr>
          <w:i/>
          <w:iCs/>
          <w:sz w:val="16"/>
          <w:szCs w:val="16"/>
        </w:rPr>
        <w:t>Compliance Statistics 2024-25</w:t>
      </w:r>
      <w:r w:rsidRPr="00D06B1C">
        <w:rPr>
          <w:sz w:val="16"/>
          <w:szCs w:val="16"/>
        </w:rPr>
        <w:t xml:space="preserve">, 2025. Coût budgétaire direct du </w:t>
      </w:r>
      <w:r w:rsidRPr="00D06B1C">
        <w:rPr>
          <w:i/>
          <w:iCs/>
          <w:sz w:val="16"/>
          <w:szCs w:val="16"/>
        </w:rPr>
        <w:t>Superannuation Guarantee</w:t>
      </w:r>
      <w:r w:rsidRPr="00D06B1C">
        <w:rPr>
          <w:sz w:val="16"/>
          <w:szCs w:val="16"/>
        </w:rPr>
        <w:t xml:space="preserve"> pour le Commonwealth australien depuis 1992 : ~0,1 % du PIB, lié aux </w:t>
      </w:r>
      <w:r w:rsidRPr="00D06B1C">
        <w:rPr>
          <w:i/>
          <w:iCs/>
          <w:sz w:val="16"/>
          <w:szCs w:val="16"/>
        </w:rPr>
        <w:t>concessional contributions</w:t>
      </w:r>
      <w:r w:rsidRPr="00D06B1C">
        <w:rPr>
          <w:sz w:val="16"/>
          <w:szCs w:val="16"/>
        </w:rPr>
        <w:t>. Le mécanisme repose intégralement sur la cotisation patronale, absorbée via la modération salariale négociée dans l’Accord Hawke-Kelty Mark II de 1985.</w:t>
      </w:r>
    </w:p>
  </w:footnote>
  <w:footnote w:id="320">
    <w:p w14:paraId="5A598DD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Congreso Nacional de Chile, </w:t>
      </w:r>
      <w:r w:rsidRPr="00D06B1C">
        <w:rPr>
          <w:i/>
          <w:iCs/>
          <w:sz w:val="16"/>
          <w:szCs w:val="16"/>
        </w:rPr>
        <w:t>Resultado votación en sala</w:t>
      </w:r>
      <w:r w:rsidRPr="00D06B1C">
        <w:rPr>
          <w:sz w:val="16"/>
          <w:szCs w:val="16"/>
        </w:rPr>
        <w:t xml:space="preserve"> </w:t>
      </w:r>
      <w:r w:rsidRPr="00D06B1C">
        <w:rPr>
          <w:i/>
          <w:iCs/>
          <w:sz w:val="16"/>
          <w:szCs w:val="16"/>
        </w:rPr>
        <w:t>- Proyecto de Ley de Reforma Previsional</w:t>
      </w:r>
      <w:r w:rsidRPr="00D06B1C">
        <w:rPr>
          <w:sz w:val="16"/>
          <w:szCs w:val="16"/>
        </w:rPr>
        <w:t xml:space="preserve">, 29 janvier 2025 ; Loi n° 21735, </w:t>
      </w:r>
      <w:r w:rsidRPr="00D06B1C">
        <w:rPr>
          <w:i/>
          <w:iCs/>
          <w:sz w:val="16"/>
          <w:szCs w:val="16"/>
        </w:rPr>
        <w:t>Diario Oficial</w:t>
      </w:r>
      <w:r w:rsidRPr="00D06B1C">
        <w:rPr>
          <w:sz w:val="16"/>
          <w:szCs w:val="16"/>
        </w:rPr>
        <w:t>, mars 2025. Décomposition de la cotisation patronale de 8,5 % introduite progressivement à horizon 2035 : 4,5 % vers compte individuel AFP, 1,5 % FAPP prêt remboursable, 2,5 % FAPP solidaire intergénérationnel.</w:t>
      </w:r>
    </w:p>
  </w:footnote>
  <w:footnote w:id="321">
    <w:p w14:paraId="38A339C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Caisse de dépôt et placement du Québec, </w:t>
      </w:r>
      <w:r w:rsidRPr="00D06B1C">
        <w:rPr>
          <w:i/>
          <w:iCs/>
          <w:sz w:val="16"/>
          <w:szCs w:val="16"/>
        </w:rPr>
        <w:t>Rapport annuel 2024</w:t>
      </w:r>
      <w:r w:rsidRPr="00D06B1C">
        <w:rPr>
          <w:sz w:val="16"/>
          <w:szCs w:val="16"/>
        </w:rPr>
        <w:t xml:space="preserve">, 2025 (https://www.cdpq.com). Encours net : 473 Md CAD$ au 31 décembre 2024. AGIRC-ARRCO, </w:t>
      </w:r>
      <w:r w:rsidRPr="00D06B1C">
        <w:rPr>
          <w:i/>
          <w:iCs/>
          <w:sz w:val="16"/>
          <w:szCs w:val="16"/>
        </w:rPr>
        <w:t>Rapport annuel 2024</w:t>
      </w:r>
      <w:r w:rsidRPr="00D06B1C">
        <w:rPr>
          <w:sz w:val="16"/>
          <w:szCs w:val="16"/>
        </w:rPr>
        <w:t>, 2025 : 27 millions de cotisants actifs, 14 millions de retraités. Modèle CDPQ : direction des investissements indépendante, conseil mixte, mandat public clair.</w:t>
      </w:r>
    </w:p>
  </w:footnote>
  <w:footnote w:id="322">
    <w:p w14:paraId="68ECB53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ABP, </w:t>
      </w:r>
      <w:r w:rsidRPr="00D06B1C">
        <w:rPr>
          <w:i/>
          <w:iCs/>
          <w:sz w:val="16"/>
          <w:szCs w:val="16"/>
        </w:rPr>
        <w:t>Annual Report 2024</w:t>
      </w:r>
      <w:r w:rsidRPr="00D06B1C">
        <w:rPr>
          <w:sz w:val="16"/>
          <w:szCs w:val="16"/>
        </w:rPr>
        <w:t xml:space="preserve">, 2025 : ~540 Md€ d’encours, gouvernance paritaire, fonds professionnel néerlandais le plus important. AGIRC-ARRCO, </w:t>
      </w:r>
      <w:r w:rsidRPr="00D06B1C">
        <w:rPr>
          <w:i/>
          <w:iCs/>
          <w:sz w:val="16"/>
          <w:szCs w:val="16"/>
        </w:rPr>
        <w:t>Rapport annuel 2024</w:t>
      </w:r>
      <w:r w:rsidRPr="00D06B1C">
        <w:rPr>
          <w:sz w:val="16"/>
          <w:szCs w:val="16"/>
        </w:rPr>
        <w:t>, 2025 : architecture paritaire stabilisée depuis 1947 (AGIRC) et 1961 (ARRCO), fusionnés en 2019, sans rupture institutionnelle malgré les alternances politiques.</w:t>
      </w:r>
    </w:p>
  </w:footnote>
  <w:footnote w:id="323">
    <w:p w14:paraId="5BF055E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The Pensions Regulator, </w:t>
      </w:r>
      <w:r w:rsidRPr="00D06B1C">
        <w:rPr>
          <w:i/>
          <w:iCs/>
          <w:sz w:val="16"/>
          <w:szCs w:val="16"/>
          <w:lang w:val="en-GB"/>
        </w:rPr>
        <w:t>Annual Report and Accounts 2024-25</w:t>
      </w:r>
      <w:r w:rsidRPr="00D06B1C">
        <w:rPr>
          <w:sz w:val="16"/>
          <w:szCs w:val="16"/>
          <w:lang w:val="en-GB"/>
        </w:rPr>
        <w:t xml:space="preserve">, 2025. </w:t>
      </w:r>
      <w:r w:rsidRPr="00D06B1C">
        <w:rPr>
          <w:sz w:val="16"/>
          <w:szCs w:val="16"/>
        </w:rPr>
        <w:t xml:space="preserve">Budget annuel ~100 M£, financé en partie par les cotisations des fonds régulés. Modèle d’AAI à compétence unique créé par le </w:t>
      </w:r>
      <w:r w:rsidRPr="00D06B1C">
        <w:rPr>
          <w:i/>
          <w:iCs/>
          <w:sz w:val="16"/>
          <w:szCs w:val="16"/>
        </w:rPr>
        <w:t>Pensions Act 2004</w:t>
      </w:r>
      <w:r w:rsidRPr="00D06B1C">
        <w:rPr>
          <w:sz w:val="16"/>
          <w:szCs w:val="16"/>
        </w:rPr>
        <w:t>. APRA pour l’Australie, DNB pour les Pays-Bas : modèles équivalents.</w:t>
      </w:r>
    </w:p>
  </w:footnote>
  <w:footnote w:id="324">
    <w:p w14:paraId="2E1D03E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Directive (UE) 2016/2341 du Parlement européen et du Conseil du 14 décembre 2016 concernant les activités et la surveillance des institutions de retraite professionnelle (IORP II), transposée en droit français par l’ordonnance n° 2017-484 du 6 avril 2017.</w:t>
      </w:r>
    </w:p>
  </w:footnote>
  <w:footnote w:id="325">
    <w:p w14:paraId="2A2B34C5"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APRA, </w:t>
      </w:r>
      <w:r w:rsidRPr="00D06B1C">
        <w:rPr>
          <w:i/>
          <w:iCs/>
          <w:sz w:val="16"/>
          <w:szCs w:val="16"/>
          <w:lang w:val="en-GB"/>
        </w:rPr>
        <w:t>2025 Annual Superannuation Performance Test - MySuper Products</w:t>
      </w:r>
      <w:r w:rsidRPr="00D06B1C">
        <w:rPr>
          <w:sz w:val="16"/>
          <w:szCs w:val="16"/>
          <w:lang w:val="en-GB"/>
        </w:rPr>
        <w:t xml:space="preserve">, 2025. </w:t>
      </w:r>
      <w:r w:rsidRPr="00D06B1C">
        <w:rPr>
          <w:sz w:val="16"/>
          <w:szCs w:val="16"/>
        </w:rPr>
        <w:t xml:space="preserve">Le test compare le rendement net de chaque produit à un benchmark composite sur 8 ans. Premier test 2021 : 13 produits MySuper en échec (sur 76 évalués). Depuis, neuf produits sous-performants ont quitté le marché. </w:t>
      </w:r>
      <w:r w:rsidRPr="00D06B1C">
        <w:rPr>
          <w:sz w:val="16"/>
          <w:szCs w:val="16"/>
          <w:lang w:val="en-GB"/>
        </w:rPr>
        <w:t>Test 2025 : un seul échec (AMG Super) sur 64 produits évalués.</w:t>
      </w:r>
    </w:p>
  </w:footnote>
  <w:footnote w:id="326">
    <w:p w14:paraId="5694357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Norges Bank Investment Management, </w:t>
      </w:r>
      <w:r w:rsidRPr="00D06B1C">
        <w:rPr>
          <w:i/>
          <w:iCs/>
          <w:sz w:val="16"/>
          <w:szCs w:val="16"/>
          <w:lang w:val="en-GB"/>
        </w:rPr>
        <w:t>Government Pension Fund Global</w:t>
      </w:r>
      <w:r w:rsidRPr="00D06B1C">
        <w:rPr>
          <w:sz w:val="16"/>
          <w:szCs w:val="16"/>
          <w:lang w:val="en-GB"/>
        </w:rPr>
        <w:t xml:space="preserve"> </w:t>
      </w:r>
      <w:r w:rsidRPr="00D06B1C">
        <w:rPr>
          <w:i/>
          <w:iCs/>
          <w:sz w:val="16"/>
          <w:szCs w:val="16"/>
          <w:lang w:val="en-GB"/>
        </w:rPr>
        <w:t>- Annual Report 2024</w:t>
      </w:r>
      <w:r w:rsidRPr="00D06B1C">
        <w:rPr>
          <w:sz w:val="16"/>
          <w:szCs w:val="16"/>
          <w:lang w:val="en-GB"/>
        </w:rPr>
        <w:t xml:space="preserve">, mars 2025 ; Thinking Ahead Institute, </w:t>
      </w:r>
      <w:r w:rsidRPr="00D06B1C">
        <w:rPr>
          <w:i/>
          <w:iCs/>
          <w:sz w:val="16"/>
          <w:szCs w:val="16"/>
          <w:lang w:val="en-GB"/>
        </w:rPr>
        <w:t>Global Pension Assets Study 2025</w:t>
      </w:r>
      <w:r w:rsidRPr="00D06B1C">
        <w:rPr>
          <w:sz w:val="16"/>
          <w:szCs w:val="16"/>
          <w:lang w:val="en-GB"/>
        </w:rPr>
        <w:t xml:space="preserve">, Willis Towers Watson, 2025. </w:t>
      </w:r>
      <w:r w:rsidRPr="00D06B1C">
        <w:rPr>
          <w:sz w:val="16"/>
          <w:szCs w:val="16"/>
        </w:rPr>
        <w:t>Ordres de grandeur d’allocation domestique : CDPQ ~25 % Québec, CPPIB ~25 % Canada, ABP exposition domestique limitée mais ciblée (notamment 5 Md€ logements locatifs sociaux néerlandais sur 2024-2030).</w:t>
      </w:r>
    </w:p>
  </w:footnote>
  <w:footnote w:id="327">
    <w:p w14:paraId="0ED41683"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CDPQ, </w:t>
      </w:r>
      <w:r w:rsidRPr="00D06B1C">
        <w:rPr>
          <w:i/>
          <w:iCs/>
          <w:sz w:val="16"/>
          <w:szCs w:val="16"/>
        </w:rPr>
        <w:t>Annual report 2015</w:t>
      </w:r>
      <w:r w:rsidRPr="00D06B1C">
        <w:rPr>
          <w:sz w:val="16"/>
          <w:szCs w:val="16"/>
        </w:rPr>
        <w:t xml:space="preserve">, 2016 (acquisition 30 % BT Holdco/Bombardier, novembre 2015). ABP/APG, </w:t>
      </w:r>
      <w:r w:rsidRPr="00D06B1C">
        <w:rPr>
          <w:i/>
          <w:iCs/>
          <w:sz w:val="16"/>
          <w:szCs w:val="16"/>
        </w:rPr>
        <w:t>Plan d’investissements à impact 2024-2030</w:t>
      </w:r>
      <w:r w:rsidRPr="00D06B1C">
        <w:rPr>
          <w:sz w:val="16"/>
          <w:szCs w:val="16"/>
        </w:rPr>
        <w:t xml:space="preserve">, communiqué 2024. USS, </w:t>
      </w:r>
      <w:r w:rsidRPr="00D06B1C">
        <w:rPr>
          <w:i/>
          <w:iCs/>
          <w:sz w:val="16"/>
          <w:szCs w:val="16"/>
        </w:rPr>
        <w:t>USS invests in Heathrow Airport</w:t>
      </w:r>
      <w:r w:rsidRPr="00D06B1C">
        <w:rPr>
          <w:sz w:val="16"/>
          <w:szCs w:val="16"/>
        </w:rPr>
        <w:t>, communications 2013/2024 (acquisition 8,65 % FGP Topco, octobre 2013, vente complète décembre 2024).</w:t>
      </w:r>
    </w:p>
  </w:footnote>
  <w:footnote w:id="328">
    <w:p w14:paraId="797051D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CPP Investments, </w:t>
      </w:r>
      <w:r w:rsidRPr="00D06B1C">
        <w:rPr>
          <w:i/>
          <w:iCs/>
          <w:sz w:val="16"/>
          <w:szCs w:val="16"/>
          <w:lang w:val="en-GB"/>
        </w:rPr>
        <w:t>Annual Report Fiscal 2025</w:t>
      </w:r>
      <w:r w:rsidRPr="00D06B1C">
        <w:rPr>
          <w:sz w:val="16"/>
          <w:szCs w:val="16"/>
          <w:lang w:val="en-GB"/>
        </w:rPr>
        <w:t xml:space="preserve">, 2025 (https://www.cppinvestments.com). </w:t>
      </w:r>
      <w:r w:rsidRPr="00D06B1C">
        <w:rPr>
          <w:sz w:val="16"/>
          <w:szCs w:val="16"/>
        </w:rPr>
        <w:t>Actifs nets sous gestion : 714,4 Md CAD au 31 mars 2025, 780,7 Md CAD au 31 décembre 2025. Publication systématique des frais, votes ESG, rapports trimestriels.</w:t>
      </w:r>
    </w:p>
  </w:footnote>
  <w:footnote w:id="329">
    <w:p w14:paraId="650186E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Cour des comptes, </w:t>
      </w:r>
      <w:r w:rsidRPr="00D06B1C">
        <w:rPr>
          <w:i/>
          <w:iCs/>
          <w:sz w:val="16"/>
          <w:szCs w:val="16"/>
        </w:rPr>
        <w:t>Le système de retraite par capitalisation en France</w:t>
      </w:r>
      <w:r w:rsidRPr="00D06B1C">
        <w:rPr>
          <w:sz w:val="16"/>
          <w:szCs w:val="16"/>
        </w:rPr>
        <w:t>, rapport public thématique, février 2024. Le rapport souligne la concentration des versements PER sur les déciles supérieurs et le caractère limité de la transparence sur les frais des contrats d’assurance-vie en euros, qui demeurent l’instrument dominant de l’épargne longue française.</w:t>
      </w:r>
    </w:p>
  </w:footnote>
  <w:footnote w:id="330">
    <w:p w14:paraId="06A1B3F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Trois rapports successifs : Adair Turner, John Hills, Jeannie Drake, </w:t>
      </w:r>
      <w:r w:rsidRPr="00D06B1C">
        <w:rPr>
          <w:i/>
          <w:iCs/>
          <w:sz w:val="16"/>
          <w:szCs w:val="16"/>
          <w:lang w:val="en-GB"/>
        </w:rPr>
        <w:t>Pensions: Challenges and Choices</w:t>
      </w:r>
      <w:r w:rsidRPr="00D06B1C">
        <w:rPr>
          <w:sz w:val="16"/>
          <w:szCs w:val="16"/>
          <w:lang w:val="en-GB"/>
        </w:rPr>
        <w:t xml:space="preserve"> (octobre 2004) ; </w:t>
      </w:r>
      <w:r w:rsidRPr="00D06B1C">
        <w:rPr>
          <w:i/>
          <w:iCs/>
          <w:sz w:val="16"/>
          <w:szCs w:val="16"/>
          <w:lang w:val="en-GB"/>
        </w:rPr>
        <w:t>A New Pension Settlement for the Twenty-First Century</w:t>
      </w:r>
      <w:r w:rsidRPr="00D06B1C">
        <w:rPr>
          <w:sz w:val="16"/>
          <w:szCs w:val="16"/>
          <w:lang w:val="en-GB"/>
        </w:rPr>
        <w:t xml:space="preserve"> (novembre 2005) ; </w:t>
      </w:r>
      <w:r w:rsidRPr="00D06B1C">
        <w:rPr>
          <w:i/>
          <w:iCs/>
          <w:sz w:val="16"/>
          <w:szCs w:val="16"/>
          <w:lang w:val="en-GB"/>
        </w:rPr>
        <w:t>Implementing an Integrated Package of Pension Reforms</w:t>
      </w:r>
      <w:r w:rsidRPr="00D06B1C">
        <w:rPr>
          <w:sz w:val="16"/>
          <w:szCs w:val="16"/>
          <w:lang w:val="en-GB"/>
        </w:rPr>
        <w:t xml:space="preserve"> (avril 2006). </w:t>
      </w:r>
      <w:r w:rsidRPr="00D06B1C">
        <w:rPr>
          <w:sz w:val="16"/>
          <w:szCs w:val="16"/>
        </w:rPr>
        <w:t xml:space="preserve">Ratifiés transpartisans avant le </w:t>
      </w:r>
      <w:r w:rsidRPr="00D06B1C">
        <w:rPr>
          <w:i/>
          <w:iCs/>
          <w:sz w:val="16"/>
          <w:szCs w:val="16"/>
        </w:rPr>
        <w:t>Pensions Act 2007</w:t>
      </w:r>
      <w:r w:rsidRPr="00D06B1C">
        <w:rPr>
          <w:sz w:val="16"/>
          <w:szCs w:val="16"/>
        </w:rPr>
        <w:t xml:space="preserve"> puis le </w:t>
      </w:r>
      <w:r w:rsidRPr="00D06B1C">
        <w:rPr>
          <w:i/>
          <w:iCs/>
          <w:sz w:val="16"/>
          <w:szCs w:val="16"/>
        </w:rPr>
        <w:t>Pensions Act 2008</w:t>
      </w:r>
      <w:r w:rsidRPr="00D06B1C">
        <w:rPr>
          <w:sz w:val="16"/>
          <w:szCs w:val="16"/>
        </w:rPr>
        <w:t>.</w:t>
      </w:r>
    </w:p>
  </w:footnote>
  <w:footnote w:id="331">
    <w:p w14:paraId="04821FB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SER (Sociaal-Economische Raad), </w:t>
      </w:r>
      <w:r w:rsidRPr="00D06B1C">
        <w:rPr>
          <w:i/>
          <w:iCs/>
          <w:sz w:val="16"/>
          <w:szCs w:val="16"/>
        </w:rPr>
        <w:t>Naar een toekomstbestendig pensioenstelsel</w:t>
      </w:r>
      <w:r w:rsidRPr="00D06B1C">
        <w:rPr>
          <w:sz w:val="16"/>
          <w:szCs w:val="16"/>
        </w:rPr>
        <w:t xml:space="preserve">, avis publié le 5 juin 2019, suivi du </w:t>
      </w:r>
      <w:r w:rsidRPr="00D06B1C">
        <w:rPr>
          <w:i/>
          <w:iCs/>
          <w:sz w:val="16"/>
          <w:szCs w:val="16"/>
        </w:rPr>
        <w:t>Pensioenakkoord</w:t>
      </w:r>
      <w:r w:rsidRPr="00D06B1C">
        <w:rPr>
          <w:sz w:val="16"/>
          <w:szCs w:val="16"/>
        </w:rPr>
        <w:t xml:space="preserve"> signé le même jour entre gouvernement Rutte III, organisations patronales (VNO-NCW, MKB-Nederland) et syndicats (FNV, CNV, MHP). Précédent comparable au modèle Hawke-Kelty australien sur l’articulation accord paritaire / loi.</w:t>
      </w:r>
    </w:p>
  </w:footnote>
  <w:footnote w:id="332">
    <w:p w14:paraId="0F0680A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Bertrand Martinot, </w:t>
      </w:r>
      <w:r w:rsidRPr="00D06B1C">
        <w:rPr>
          <w:i/>
          <w:iCs/>
          <w:sz w:val="16"/>
          <w:szCs w:val="16"/>
        </w:rPr>
        <w:t xml:space="preserve">La capitalisation : un moyen de sortir par le haut de la crise des </w:t>
      </w:r>
      <w:proofErr w:type="gramStart"/>
      <w:r w:rsidRPr="00D06B1C">
        <w:rPr>
          <w:i/>
          <w:iCs/>
          <w:sz w:val="16"/>
          <w:szCs w:val="16"/>
        </w:rPr>
        <w:t>retraites ?</w:t>
      </w:r>
      <w:r w:rsidRPr="00D06B1C">
        <w:rPr>
          <w:sz w:val="16"/>
          <w:szCs w:val="16"/>
        </w:rPr>
        <w:t>,</w:t>
      </w:r>
      <w:proofErr w:type="gramEnd"/>
      <w:r w:rsidRPr="00D06B1C">
        <w:rPr>
          <w:sz w:val="16"/>
          <w:szCs w:val="16"/>
        </w:rPr>
        <w:t xml:space="preserve"> Fondation pour l’innovation politique, octobre 2024 ; Institut Montaigne, </w:t>
      </w:r>
      <w:r w:rsidRPr="00D06B1C">
        <w:rPr>
          <w:i/>
          <w:iCs/>
          <w:sz w:val="16"/>
          <w:szCs w:val="16"/>
        </w:rPr>
        <w:t>Retraites : pour une réforme qui dure</w:t>
      </w:r>
      <w:r w:rsidRPr="00D06B1C">
        <w:rPr>
          <w:sz w:val="16"/>
          <w:szCs w:val="16"/>
        </w:rPr>
        <w:t>, janvier 2025. Les deux études convergent sur la nécessité d’une campagne de pédagogie publique préalable.</w:t>
      </w:r>
    </w:p>
  </w:footnote>
  <w:footnote w:id="333">
    <w:p w14:paraId="0783293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334">
    <w:p w14:paraId="4DD1F26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Department for Work and Pensions, </w:t>
      </w:r>
      <w:r w:rsidRPr="00D06B1C">
        <w:rPr>
          <w:i/>
          <w:iCs/>
          <w:sz w:val="16"/>
          <w:szCs w:val="16"/>
          <w:lang w:val="en-GB"/>
        </w:rPr>
        <w:t>Ten Years of Automatic Enrolment in Workplace Pensions</w:t>
      </w:r>
      <w:r w:rsidRPr="00D06B1C">
        <w:rPr>
          <w:sz w:val="16"/>
          <w:szCs w:val="16"/>
          <w:lang w:val="en-GB"/>
        </w:rPr>
        <w:t xml:space="preserve">, octobre 2022 ; DWP, </w:t>
      </w:r>
      <w:r w:rsidRPr="00D06B1C">
        <w:rPr>
          <w:i/>
          <w:iCs/>
          <w:sz w:val="16"/>
          <w:szCs w:val="16"/>
          <w:lang w:val="en-GB"/>
        </w:rPr>
        <w:t>Workplace Pension Participation and Saving Trends 2008-2023</w:t>
      </w:r>
      <w:r w:rsidRPr="00D06B1C">
        <w:rPr>
          <w:sz w:val="16"/>
          <w:szCs w:val="16"/>
          <w:lang w:val="en-GB"/>
        </w:rPr>
        <w:t xml:space="preserve">, 2024. </w:t>
      </w:r>
      <w:r w:rsidRPr="00D06B1C">
        <w:rPr>
          <w:sz w:val="16"/>
          <w:szCs w:val="16"/>
        </w:rPr>
        <w:t xml:space="preserve">Coût annuel du </w:t>
      </w:r>
      <w:r w:rsidRPr="00D06B1C">
        <w:rPr>
          <w:i/>
          <w:iCs/>
          <w:sz w:val="16"/>
          <w:szCs w:val="16"/>
        </w:rPr>
        <w:t>tax relief</w:t>
      </w:r>
      <w:r w:rsidRPr="00D06B1C">
        <w:rPr>
          <w:sz w:val="16"/>
          <w:szCs w:val="16"/>
        </w:rPr>
        <w:t xml:space="preserve"> sur les contributions à l’auto-enrolment estimé entre 1,1 et 1,7 Md£/an sur 2018-2023.</w:t>
      </w:r>
    </w:p>
  </w:footnote>
  <w:footnote w:id="335">
    <w:p w14:paraId="0A4E6E0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De Nederlandsche Bank, </w:t>
      </w:r>
      <w:r w:rsidRPr="00D06B1C">
        <w:rPr>
          <w:i/>
          <w:iCs/>
          <w:sz w:val="16"/>
          <w:szCs w:val="16"/>
          <w:lang w:val="en-GB"/>
        </w:rPr>
        <w:t>Toezicht op pensioenfondsen 2024</w:t>
      </w:r>
      <w:r w:rsidRPr="00D06B1C">
        <w:rPr>
          <w:sz w:val="16"/>
          <w:szCs w:val="16"/>
          <w:lang w:val="en-GB"/>
        </w:rPr>
        <w:t xml:space="preserve">, 2025. </w:t>
      </w:r>
      <w:r w:rsidRPr="00D06B1C">
        <w:rPr>
          <w:i/>
          <w:iCs/>
          <w:sz w:val="16"/>
          <w:szCs w:val="16"/>
        </w:rPr>
        <w:t>Funding ratio</w:t>
      </w:r>
      <w:r w:rsidRPr="00D06B1C">
        <w:rPr>
          <w:sz w:val="16"/>
          <w:szCs w:val="16"/>
        </w:rPr>
        <w:t xml:space="preserve"> minimum imposé : 105 %. Ratio médian observé : ~125 %. Pension Protection Fund (UK), </w:t>
      </w:r>
      <w:r w:rsidRPr="00D06B1C">
        <w:rPr>
          <w:i/>
          <w:iCs/>
          <w:sz w:val="16"/>
          <w:szCs w:val="16"/>
        </w:rPr>
        <w:t>Annual Report 2024</w:t>
      </w:r>
      <w:r w:rsidRPr="00D06B1C">
        <w:rPr>
          <w:sz w:val="16"/>
          <w:szCs w:val="16"/>
        </w:rPr>
        <w:t>, 2024 : couverture 8,8 millions de personnes dans 5 000 fonds, garantie 100 % retraités / 90 % actifs.</w:t>
      </w:r>
    </w:p>
  </w:footnote>
  <w:footnote w:id="336">
    <w:p w14:paraId="7DDFFD5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Estimation OVLA sur la base de la masse de pensions versées projetée par le COR à environ 350 Md€/an en 2043 (scénario central, </w:t>
      </w:r>
      <w:r w:rsidRPr="00D06B1C">
        <w:rPr>
          <w:i/>
          <w:iCs/>
          <w:sz w:val="16"/>
          <w:szCs w:val="16"/>
        </w:rPr>
        <w:t>Rapport annuel 2025</w:t>
      </w:r>
      <w:r w:rsidRPr="00D06B1C">
        <w:rPr>
          <w:sz w:val="16"/>
          <w:szCs w:val="16"/>
        </w:rPr>
        <w:t>). Une sous-indexation de 1 % en deçà de l’inflation représente, à cette assiette, ~3,5 Md€/an d’économie brute, dont une part redirigée vers le FFC après absorption de la dynamique propre du système.</w:t>
      </w:r>
    </w:p>
  </w:footnote>
  <w:footnote w:id="337">
    <w:p w14:paraId="1507345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Modélisation Python </w:t>
      </w:r>
      <w:r w:rsidRPr="00D06B1C">
        <w:rPr>
          <w:rStyle w:val="VerbatimChar"/>
          <w:sz w:val="16"/>
          <w:szCs w:val="16"/>
        </w:rPr>
        <w:t>ch5_modelisation.py</w:t>
      </w:r>
      <w:r w:rsidRPr="00D06B1C">
        <w:rPr>
          <w:sz w:val="16"/>
          <w:szCs w:val="16"/>
        </w:rPr>
        <w:t>, mai 2026, scénario D - hybride Canada-Australie. Hypothèses centrales : PIB France 2026 = 2 900 Md€ (INSEE) ; masse salariale brute 2027 = 1 100 Md€ constants ; rendement réel net 4 % ; frais de gestion 0,3 %/an ; cotisation paritaire montant de 0,5 % à 4 % en huit ans ; redéploiement de 1 point AGIRC-ARRCO par accord en phase 3. Sensibilité au rendement réel net (3 % / 4 % / 5 %) : 2 364 / 2 744 / 3 201 Md€ en 2052.</w:t>
      </w:r>
    </w:p>
  </w:footnote>
  <w:footnote w:id="338">
    <w:p w14:paraId="5070EFB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la modélisation du « double paiement » dans les transitions répartition-capitalisation, voir Feldstein M., « Transition to a fully funded pension </w:t>
      </w:r>
      <w:proofErr w:type="gramStart"/>
      <w:r w:rsidRPr="00D06B1C">
        <w:rPr>
          <w:sz w:val="16"/>
          <w:szCs w:val="16"/>
        </w:rPr>
        <w:t>system:</w:t>
      </w:r>
      <w:proofErr w:type="gramEnd"/>
      <w:r w:rsidRPr="00D06B1C">
        <w:rPr>
          <w:sz w:val="16"/>
          <w:szCs w:val="16"/>
        </w:rPr>
        <w:t xml:space="preserve"> Five economic issues », NBER Working Paper 6149, 1997 ; OCDE, </w:t>
      </w:r>
      <w:r w:rsidRPr="00D06B1C">
        <w:rPr>
          <w:i/>
          <w:iCs/>
          <w:sz w:val="16"/>
          <w:szCs w:val="16"/>
        </w:rPr>
        <w:t>Reforms for an Ageing Society</w:t>
      </w:r>
      <w:r w:rsidRPr="00D06B1C">
        <w:rPr>
          <w:sz w:val="16"/>
          <w:szCs w:val="16"/>
        </w:rPr>
        <w:t xml:space="preserve">, 2000 ; pour l’application française, Bichot J., </w:t>
      </w:r>
      <w:r w:rsidRPr="00D06B1C">
        <w:rPr>
          <w:i/>
          <w:iCs/>
          <w:sz w:val="16"/>
          <w:szCs w:val="16"/>
        </w:rPr>
        <w:t>Retraites : le dictionnaire de la réforme</w:t>
      </w:r>
      <w:r w:rsidRPr="00D06B1C">
        <w:rPr>
          <w:sz w:val="16"/>
          <w:szCs w:val="16"/>
        </w:rPr>
        <w:t>, L’Harmattan, 2010.</w:t>
      </w:r>
    </w:p>
  </w:footnote>
  <w:footnote w:id="339">
    <w:p w14:paraId="17A8F2B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AP4, </w:t>
      </w:r>
      <w:r w:rsidRPr="00D06B1C">
        <w:rPr>
          <w:i/>
          <w:iCs/>
          <w:sz w:val="16"/>
          <w:szCs w:val="16"/>
          <w:lang w:val="en-GB"/>
        </w:rPr>
        <w:t>Our history</w:t>
      </w:r>
      <w:r w:rsidRPr="00D06B1C">
        <w:rPr>
          <w:sz w:val="16"/>
          <w:szCs w:val="16"/>
          <w:lang w:val="en-GB"/>
        </w:rPr>
        <w:t xml:space="preserve">, </w:t>
      </w:r>
      <w:hyperlink r:id="rId27">
        <w:r w:rsidRPr="00D06B1C">
          <w:rPr>
            <w:rStyle w:val="Hyperlink"/>
            <w:sz w:val="16"/>
            <w:szCs w:val="16"/>
            <w:lang w:val="en-GB"/>
          </w:rPr>
          <w:t>https://www.ap4.se/en/about-ap4/our-history/</w:t>
        </w:r>
      </w:hyperlink>
      <w:r w:rsidRPr="00D06B1C">
        <w:rPr>
          <w:sz w:val="16"/>
          <w:szCs w:val="16"/>
          <w:lang w:val="en-GB"/>
        </w:rPr>
        <w:t xml:space="preserve"> ; Heritage Foundation, </w:t>
      </w:r>
      <w:r w:rsidRPr="00D06B1C">
        <w:rPr>
          <w:i/>
          <w:iCs/>
          <w:sz w:val="16"/>
          <w:szCs w:val="16"/>
          <w:lang w:val="en-GB"/>
        </w:rPr>
        <w:t>Pension Reform in Sweden: Lessons for American Policymakers</w:t>
      </w:r>
      <w:r w:rsidRPr="00D06B1C">
        <w:rPr>
          <w:sz w:val="16"/>
          <w:szCs w:val="16"/>
          <w:lang w:val="en-GB"/>
        </w:rPr>
        <w:t>, 2007 (</w:t>
      </w:r>
      <w:hyperlink r:id="rId28">
        <w:r w:rsidRPr="00D06B1C">
          <w:rPr>
            <w:rStyle w:val="Hyperlink"/>
            <w:sz w:val="16"/>
            <w:szCs w:val="16"/>
            <w:lang w:val="en-GB"/>
          </w:rPr>
          <w:t>https://www.heritage.org/social-security/report/pension-reform-sweden-lessons-american-policymakers</w:t>
        </w:r>
      </w:hyperlink>
      <w:r w:rsidRPr="00D06B1C">
        <w:rPr>
          <w:sz w:val="16"/>
          <w:szCs w:val="16"/>
          <w:lang w:val="en-GB"/>
        </w:rPr>
        <w:t xml:space="preserve">). </w:t>
      </w:r>
      <w:r w:rsidRPr="00D06B1C">
        <w:rPr>
          <w:sz w:val="16"/>
          <w:szCs w:val="16"/>
        </w:rPr>
        <w:t xml:space="preserve">Les </w:t>
      </w:r>
      <w:r w:rsidRPr="00D06B1C">
        <w:rPr>
          <w:i/>
          <w:iCs/>
          <w:sz w:val="16"/>
          <w:szCs w:val="16"/>
        </w:rPr>
        <w:t>Allmänna Pensionsfonden</w:t>
      </w:r>
      <w:r w:rsidRPr="00D06B1C">
        <w:rPr>
          <w:sz w:val="16"/>
          <w:szCs w:val="16"/>
        </w:rPr>
        <w:t xml:space="preserve"> (AP) ont été institués en 1960, et leurs encours cumulés atteignaient environ 40 % du PIB suédois et l’équivalent de cinq années de prestations de retraite au moment de la mise en œuvre de la réforme NDC en 1999.</w:t>
      </w:r>
    </w:p>
  </w:footnote>
  <w:footnote w:id="340">
    <w:p w14:paraId="4774D31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AP1-AP4, communiqué conjoint, mars 2025 : « The AP Funds strengthen the income pension system by SEK 182 billion » (</w:t>
      </w:r>
      <w:hyperlink r:id="rId29">
        <w:r w:rsidRPr="00D06B1C">
          <w:rPr>
            <w:rStyle w:val="Hyperlink"/>
            <w:sz w:val="16"/>
            <w:szCs w:val="16"/>
            <w:lang w:val="en-GB"/>
          </w:rPr>
          <w:t>https://ap2.se/en/the-ap-funds-strengthen-the-income-pension-system-by-sek-182-billion/</w:t>
        </w:r>
      </w:hyperlink>
      <w:r w:rsidRPr="00D06B1C">
        <w:rPr>
          <w:sz w:val="16"/>
          <w:szCs w:val="16"/>
          <w:lang w:val="en-GB"/>
        </w:rPr>
        <w:t xml:space="preserve">) ; European Pensions, </w:t>
      </w:r>
      <w:r w:rsidRPr="00D06B1C">
        <w:rPr>
          <w:i/>
          <w:iCs/>
          <w:sz w:val="16"/>
          <w:szCs w:val="16"/>
          <w:lang w:val="en-GB"/>
        </w:rPr>
        <w:t>Sweden’s AP Funds achieve combined result of SEK 182bn in 2024</w:t>
      </w:r>
      <w:r w:rsidRPr="00D06B1C">
        <w:rPr>
          <w:sz w:val="16"/>
          <w:szCs w:val="16"/>
          <w:lang w:val="en-GB"/>
        </w:rPr>
        <w:t>, 2025 (</w:t>
      </w:r>
      <w:hyperlink r:id="rId30">
        <w:r w:rsidRPr="00D06B1C">
          <w:rPr>
            <w:rStyle w:val="Hyperlink"/>
            <w:sz w:val="16"/>
            <w:szCs w:val="16"/>
            <w:lang w:val="en-GB"/>
          </w:rPr>
          <w:t>https://www.europeanpensions.net/ep/Swedens-AP-Funds-achieve-combined-result-of-SEK-182bn-in-2024.php</w:t>
        </w:r>
      </w:hyperlink>
      <w:r w:rsidRPr="00D06B1C">
        <w:rPr>
          <w:sz w:val="16"/>
          <w:szCs w:val="16"/>
          <w:lang w:val="en-GB"/>
        </w:rPr>
        <w:t xml:space="preserve">). </w:t>
      </w:r>
      <w:r w:rsidRPr="00D06B1C">
        <w:rPr>
          <w:sz w:val="16"/>
          <w:szCs w:val="16"/>
        </w:rPr>
        <w:t>Encours cumulé AP1-AP4 fin 2024 : 2 053 Md SEK ≈ 182 Md €. Rendement 2024 : 9,6 %. Rendement annualisé sur 10 ans : 7,6 %. Frais de gestion moyens : 0,07 % des AUM.</w:t>
      </w:r>
    </w:p>
  </w:footnote>
  <w:footnote w:id="341">
    <w:p w14:paraId="67D1F29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342">
    <w:p w14:paraId="7C5371C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2010-1330 du 9 novembre 2010 portant réforme des retraites ; loi n° 2010-1594 du 20 décembre 2010 de financement de la sécurité sociale pour 2011, articles 9 et 26 (versements du FRR à la CADES de 2,1 Md€/an jusqu’en 2024, puis 1,45 Md€/an de 2025 à 2033). Versements cumulés du FRR à la CADES entre 2011 et 2024 : environ 30 Md€ (FRR, rapports annuels).</w:t>
      </w:r>
    </w:p>
  </w:footnote>
  <w:footnote w:id="343">
    <w:p w14:paraId="2840B59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Sénat, commission des affaires sociales, </w:t>
      </w:r>
      <w:r w:rsidRPr="00D06B1C">
        <w:rPr>
          <w:i/>
          <w:iCs/>
          <w:sz w:val="16"/>
          <w:szCs w:val="16"/>
        </w:rPr>
        <w:t>Rapport sur l’application des lois de financement de la sécurité sociale 2021</w:t>
      </w:r>
      <w:r w:rsidRPr="00D06B1C">
        <w:rPr>
          <w:sz w:val="16"/>
          <w:szCs w:val="16"/>
        </w:rPr>
        <w:t xml:space="preserve">, simulation publiée dans le cadre des travaux préparatoires de la mission d’évaluation de la réforme des retraites. Sans la réaffectation vers la CADES instaurée en 2010, l’encours du FRR aurait dépassé 89 milliards d’euros fin 2024. Voir aussi Public Sénat, </w:t>
      </w:r>
      <w:r w:rsidRPr="00D06B1C">
        <w:rPr>
          <w:i/>
          <w:iCs/>
          <w:sz w:val="16"/>
          <w:szCs w:val="16"/>
        </w:rPr>
        <w:t>Réforme des retraites : la droite sénatoriale veut réactiver le Fonds de réserve</w:t>
      </w:r>
      <w:r w:rsidRPr="00D06B1C">
        <w:rPr>
          <w:sz w:val="16"/>
          <w:szCs w:val="16"/>
        </w:rPr>
        <w:t>, 2023 (</w:t>
      </w:r>
      <w:hyperlink r:id="rId31">
        <w:r w:rsidRPr="00D06B1C">
          <w:rPr>
            <w:rStyle w:val="Hyperlink"/>
            <w:sz w:val="16"/>
            <w:szCs w:val="16"/>
          </w:rPr>
          <w:t>https://www.publicsenat.fr/actualites/politique/reforme-des-retraites-la-droite-senatoriale-envisage-de-ranimer-le-fonds-de</w:t>
        </w:r>
      </w:hyperlink>
      <w:r w:rsidRPr="00D06B1C">
        <w:rPr>
          <w:sz w:val="16"/>
          <w:szCs w:val="16"/>
        </w:rPr>
        <w:t>).</w:t>
      </w:r>
    </w:p>
  </w:footnote>
  <w:footnote w:id="344">
    <w:p w14:paraId="5584051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AGIRC-ARRCO, </w:t>
      </w:r>
      <w:r w:rsidRPr="00D06B1C">
        <w:rPr>
          <w:i/>
          <w:iCs/>
          <w:sz w:val="16"/>
          <w:szCs w:val="16"/>
        </w:rPr>
        <w:t>Résultats 2025</w:t>
      </w:r>
      <w:r w:rsidRPr="00D06B1C">
        <w:rPr>
          <w:sz w:val="16"/>
          <w:szCs w:val="16"/>
        </w:rPr>
        <w:t>, communiqué de la Commission paritaire, juin 2025 : réserves de plus de 91 milliards d’euros, résultat global d’exploitation de 14 Md€ en 2025 (</w:t>
      </w:r>
      <w:hyperlink r:id="rId32">
        <w:r w:rsidRPr="00D06B1C">
          <w:rPr>
            <w:rStyle w:val="Hyperlink"/>
            <w:sz w:val="16"/>
            <w:szCs w:val="16"/>
          </w:rPr>
          <w:t>https://www.espace-social.com/agirc-arrco-un-resultat-global-de-14-md-e-en-2025-et-des-reserves-de-plus-de-91-mds/</w:t>
        </w:r>
      </w:hyperlink>
      <w:r w:rsidRPr="00D06B1C">
        <w:rPr>
          <w:sz w:val="16"/>
          <w:szCs w:val="16"/>
        </w:rPr>
        <w:t>). FRR : 20,4 Md€ fin 2024. RAFP : 47,8 Md€ fin 2024. Total : 159,2 Md€, soit ~5,5 % du PIB français.</w:t>
      </w:r>
    </w:p>
  </w:footnote>
  <w:footnote w:id="345">
    <w:p w14:paraId="44C491B5"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Bertrand Martinot, Hugo Gravier, Antoine Muret, </w:t>
      </w:r>
      <w:r w:rsidRPr="00D06B1C">
        <w:rPr>
          <w:i/>
          <w:iCs/>
          <w:sz w:val="16"/>
          <w:szCs w:val="16"/>
        </w:rPr>
        <w:t>Vers un système de retraite mixte répartition-capitalisation</w:t>
      </w:r>
      <w:r w:rsidRPr="00D06B1C">
        <w:rPr>
          <w:sz w:val="16"/>
          <w:szCs w:val="16"/>
        </w:rPr>
        <w:t>, Fondation pour l’innovation politique (Fondapol), novembre 2025 (</w:t>
      </w:r>
      <w:hyperlink r:id="rId33">
        <w:r w:rsidRPr="00D06B1C">
          <w:rPr>
            <w:rStyle w:val="Hyperlink"/>
            <w:sz w:val="16"/>
            <w:szCs w:val="16"/>
          </w:rPr>
          <w:t>https://www.fondapol.org/etude/vers-un-systeme-de-retraite-mixte-repartition-capitalisation/</w:t>
        </w:r>
      </w:hyperlink>
      <w:r w:rsidRPr="00D06B1C">
        <w:rPr>
          <w:sz w:val="16"/>
          <w:szCs w:val="16"/>
        </w:rPr>
        <w:t xml:space="preserve">). Trois scénarios de transition documentés, avec capital d’amorçage d’environ 100 Md€ (FRR + AGIRC-ARRCO), désindexation temporaire des pensions de 0,5 à 1 % sur dix ans, cotisation nouvelle optionnelle de 0,6 %, baisses de cotisations dès l’année 5. Voir aussi Cécile Marques, </w:t>
      </w:r>
      <w:r w:rsidRPr="00D06B1C">
        <w:rPr>
          <w:i/>
          <w:iCs/>
          <w:sz w:val="16"/>
          <w:szCs w:val="16"/>
        </w:rPr>
        <w:t>Augmentons le Fonds de réserve pour les retraites</w:t>
      </w:r>
      <w:r w:rsidRPr="00D06B1C">
        <w:rPr>
          <w:sz w:val="16"/>
          <w:szCs w:val="16"/>
        </w:rPr>
        <w:t>, Institut économique Molinari, janvier 2025 (</w:t>
      </w:r>
      <w:hyperlink r:id="rId34">
        <w:r w:rsidRPr="00D06B1C">
          <w:rPr>
            <w:rStyle w:val="Hyperlink"/>
            <w:sz w:val="16"/>
            <w:szCs w:val="16"/>
          </w:rPr>
          <w:t>https://www.institutmolinari.org/2025/01/16/augmentons-le-fonds-de-reserve-pour-les-retraites-pour-restaurer-les-finances-publiques/</w:t>
        </w:r>
      </w:hyperlink>
      <w:r w:rsidRPr="00D06B1C">
        <w:rPr>
          <w:sz w:val="16"/>
          <w:szCs w:val="16"/>
        </w:rPr>
        <w:t>).</w:t>
      </w:r>
    </w:p>
  </w:footnote>
  <w:footnote w:id="346">
    <w:p w14:paraId="4416AFB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Association française de la gestion financière (AFG), </w:t>
      </w:r>
      <w:r w:rsidRPr="00D06B1C">
        <w:rPr>
          <w:i/>
          <w:iCs/>
          <w:sz w:val="16"/>
          <w:szCs w:val="16"/>
        </w:rPr>
        <w:t>Livre blanc sur les retraites</w:t>
      </w:r>
      <w:r w:rsidRPr="00D06B1C">
        <w:rPr>
          <w:sz w:val="16"/>
          <w:szCs w:val="16"/>
        </w:rPr>
        <w:t>, 17 juin 2026 (dans la continuité de son livre blanc de 2016). L’AFG propose un régime complémentaire interprofessionnel de retraite par capitalisation pour les salariés du privé, construit progressivement et gouverné de manière paritaire, la répartition demeurant « le socle » du système ; des fonds générationnels ciblant les salariés de moins de 40 ans (≈ 50 % des salariés et ≈ 40 % des cotisations Agirc-Arrco), financés par le redéploiement d’une part des cotisations Agirc-Arrco ; et le caractère obligatoire du PER d’entreprise collectif (PERCOL) pour les entreprises d’au moins 10 salariés. Citation de Philippe Setbon, président de l’AFG : « Un régime complémentaire de capitalisation, construit progressivement, gouverné de manière paritaire et accessible au plus grand nombre, permettra de renforcer durablement le modèle français. » Le livre blanc cite la Suède, les Pays-Bas et le Danemark comme modèles hybrides où le poids des dépenses de retraite rapporté au PIB est plus faible. Voir aussi le communiqué AFG du 19 mars 2026 : encours d’épargne salariale et d’épargne retraite d’entreprise de 229,4 Md€ à fin 2025 (+14,7 % sur un an), 13,2 millions d’épargnants.</w:t>
      </w:r>
    </w:p>
  </w:footnote>
  <w:footnote w:id="347">
    <w:p w14:paraId="3560971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Bertrand Martinot, Hugo Gravier, Antoine Muret, </w:t>
      </w:r>
      <w:r w:rsidRPr="00D06B1C">
        <w:rPr>
          <w:i/>
          <w:iCs/>
          <w:sz w:val="16"/>
          <w:szCs w:val="16"/>
        </w:rPr>
        <w:t>Vers un système de retraite mixte répartition-capitalisation</w:t>
      </w:r>
      <w:r w:rsidRPr="00D06B1C">
        <w:rPr>
          <w:sz w:val="16"/>
          <w:szCs w:val="16"/>
        </w:rPr>
        <w:t>, Fondation pour l’innovation politique (Fondapol), novembre 2025 (</w:t>
      </w:r>
      <w:hyperlink r:id="rId35">
        <w:r w:rsidRPr="00D06B1C">
          <w:rPr>
            <w:rStyle w:val="Hyperlink"/>
            <w:sz w:val="16"/>
            <w:szCs w:val="16"/>
          </w:rPr>
          <w:t>https://www.fondapol.org/etude/vers-un-systeme-de-retraite-mixte-repartition-capitalisation/</w:t>
        </w:r>
      </w:hyperlink>
      <w:r w:rsidRPr="00D06B1C">
        <w:rPr>
          <w:sz w:val="16"/>
          <w:szCs w:val="16"/>
        </w:rPr>
        <w:t xml:space="preserve">). Trois scénarios de transition documentés, avec capital d’amorçage d’environ 100 Md€ (FRR + AGIRC-ARRCO), désindexation temporaire des pensions de 0,5 à 1 % sur dix ans, cotisation nouvelle optionnelle de 0,6 %, baisses de cotisations dès l’année 5. Voir aussi Cécile Marques, </w:t>
      </w:r>
      <w:r w:rsidRPr="00D06B1C">
        <w:rPr>
          <w:i/>
          <w:iCs/>
          <w:sz w:val="16"/>
          <w:szCs w:val="16"/>
        </w:rPr>
        <w:t>Augmentons le Fonds de réserve pour les retraites</w:t>
      </w:r>
      <w:r w:rsidRPr="00D06B1C">
        <w:rPr>
          <w:sz w:val="16"/>
          <w:szCs w:val="16"/>
        </w:rPr>
        <w:t>, Institut économique Molinari, janvier 2025 (</w:t>
      </w:r>
      <w:hyperlink r:id="rId36">
        <w:r w:rsidRPr="00D06B1C">
          <w:rPr>
            <w:rStyle w:val="Hyperlink"/>
            <w:sz w:val="16"/>
            <w:szCs w:val="16"/>
          </w:rPr>
          <w:t>https://www.institutmolinari.org/2025/01/16/augmentons-le-fonds-de-reserve-pour-les-retraites-pour-restaurer-les-finances-publiques/</w:t>
        </w:r>
      </w:hyperlink>
      <w:r w:rsidRPr="00D06B1C">
        <w:rPr>
          <w:sz w:val="16"/>
          <w:szCs w:val="16"/>
        </w:rPr>
        <w:t>).</w:t>
      </w:r>
    </w:p>
  </w:footnote>
  <w:footnote w:id="348">
    <w:p w14:paraId="559208E1"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Conseil de l’Union européenne, règlement (UE) 2020/672 du 19 mai 2020 portant création d’un instrument européen de soutien temporaire à l’atténuation des risques de chômage en situation d’urgence (SURE). Le mécanisme — emprunts conjoints émis par la Commission, garantis par les États membres, fléchés vers une dépense pré-identifiée — a servi de </w:t>
      </w:r>
      <w:proofErr w:type="gramStart"/>
      <w:r w:rsidRPr="00D06B1C">
        <w:rPr>
          <w:sz w:val="16"/>
          <w:szCs w:val="16"/>
        </w:rPr>
        <w:t>précédent technique</w:t>
      </w:r>
      <w:proofErr w:type="gramEnd"/>
      <w:r w:rsidRPr="00D06B1C">
        <w:rPr>
          <w:sz w:val="16"/>
          <w:szCs w:val="16"/>
        </w:rPr>
        <w:t xml:space="preserve"> pour la facilité européenne pour la reprise et la résilience (FERS) de 2021. Adaptation pour un instrument retraite : voir Beaufret O., </w:t>
      </w:r>
      <w:r w:rsidRPr="00D06B1C">
        <w:rPr>
          <w:i/>
          <w:iCs/>
          <w:sz w:val="16"/>
          <w:szCs w:val="16"/>
        </w:rPr>
        <w:t>Contribution à la mission flash de clarification du financement des retraites</w:t>
      </w:r>
      <w:r w:rsidRPr="00D06B1C">
        <w:rPr>
          <w:sz w:val="16"/>
          <w:szCs w:val="16"/>
        </w:rPr>
        <w:t>, Fondapol, février 2025 (</w:t>
      </w:r>
      <w:hyperlink r:id="rId37">
        <w:r w:rsidRPr="00D06B1C">
          <w:rPr>
            <w:rStyle w:val="Hyperlink"/>
            <w:sz w:val="16"/>
            <w:szCs w:val="16"/>
          </w:rPr>
          <w:t>https://www.fondapol.org/etude/contribution-a-la-mission-flash-de-clarification-du-financement-des-retraites/</w:t>
        </w:r>
      </w:hyperlink>
      <w:r w:rsidRPr="00D06B1C">
        <w:rPr>
          <w:sz w:val="16"/>
          <w:szCs w:val="16"/>
        </w:rPr>
        <w:t>).</w:t>
      </w:r>
    </w:p>
  </w:footnote>
  <w:footnote w:id="349">
    <w:p w14:paraId="5E6B754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Direction générale du Trésor, </w:t>
      </w:r>
      <w:r w:rsidRPr="00D06B1C">
        <w:rPr>
          <w:i/>
          <w:iCs/>
          <w:sz w:val="16"/>
          <w:szCs w:val="16"/>
        </w:rPr>
        <w:t>Évaluation des recettes de la CSG</w:t>
      </w:r>
      <w:r w:rsidRPr="00D06B1C">
        <w:rPr>
          <w:sz w:val="16"/>
          <w:szCs w:val="16"/>
        </w:rPr>
        <w:t>. Un point de contribution sociale généralisée représente entre 16 et 17 milliards d’euros de recettes annuelles pérennes (assiette élargie à l’ensemble des revenus d’activité, de remplacement et du patrimoine).</w:t>
      </w:r>
    </w:p>
  </w:footnote>
  <w:footnote w:id="350">
    <w:p w14:paraId="5B801BC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Ordonnance n° 45-2250 du 4 octobre 1945 portant organisation de la sécurité sociale ; loi n° 46-1146 du 22 mai 1946 portant généralisation de la sécurité sociale. Pour l’antériorité, voir aussi la loi du 14 mars 1941 portant création de l’Allocation aux Vieux Travailleurs Salariés (AVTS) sous le régime de Vichy (</w:t>
      </w:r>
      <w:hyperlink r:id="rId38">
        <w:r w:rsidRPr="00D06B1C">
          <w:rPr>
            <w:rStyle w:val="Hyperlink"/>
            <w:sz w:val="16"/>
            <w:szCs w:val="16"/>
          </w:rPr>
          <w:t>https://www.legifrance.gouv.fr/jorf/id/JORFTEXT000000521099</w:t>
        </w:r>
      </w:hyperlink>
      <w:r w:rsidRPr="00D06B1C">
        <w:rPr>
          <w:sz w:val="16"/>
          <w:szCs w:val="16"/>
        </w:rPr>
        <w:t>).</w:t>
      </w:r>
    </w:p>
  </w:footnote>
  <w:footnote w:id="351">
    <w:p w14:paraId="5CB7B24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la liquidation des dispositifs capitalisés d’avant-guerre par les chocs monétaires de 1914-1947, voir notamment Saly P., « Les tentatives de mise en place d’une retraite par capitalisation en France (1910-1941) », </w:t>
      </w:r>
      <w:r w:rsidRPr="00D06B1C">
        <w:rPr>
          <w:i/>
          <w:iCs/>
          <w:sz w:val="16"/>
          <w:szCs w:val="16"/>
        </w:rPr>
        <w:t>Revue d’histoire de la protection sociale</w:t>
      </w:r>
      <w:r w:rsidRPr="00D06B1C">
        <w:rPr>
          <w:sz w:val="16"/>
          <w:szCs w:val="16"/>
        </w:rPr>
        <w:t>, n° 13, 2020/1, p. 23-58 (</w:t>
      </w:r>
      <w:hyperlink r:id="rId39">
        <w:r w:rsidRPr="00D06B1C">
          <w:rPr>
            <w:rStyle w:val="Hyperlink"/>
            <w:sz w:val="16"/>
            <w:szCs w:val="16"/>
          </w:rPr>
          <w:t>https://shs.cairn.info/revue-d-histoire-de-la-protection-sociale-2020-1-page-23?lang=fr</w:t>
        </w:r>
      </w:hyperlink>
      <w:r w:rsidRPr="00D06B1C">
        <w:rPr>
          <w:sz w:val="16"/>
          <w:szCs w:val="16"/>
        </w:rPr>
        <w:t>).</w:t>
      </w:r>
    </w:p>
  </w:footnote>
  <w:footnote w:id="352">
    <w:p w14:paraId="0E405FF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Synthèse de la position défendue par Pierre Laroque (formulation de l’auteur, non un verbatim sourcé en archive primaire), telle que rapportée par les historiens de la Sécurité sociale : la substitution de la répartition à la capitalisation permettait de servir immédiatement des pensions aux travailleurs âgés qui n’avaient pu se constituer un capital. Voir Comité d’histoire de la sécurité sociale ; B. Valat et B. Palier, op. </w:t>
      </w:r>
      <w:proofErr w:type="gramStart"/>
      <w:r w:rsidRPr="00D06B1C">
        <w:rPr>
          <w:sz w:val="16"/>
          <w:szCs w:val="16"/>
        </w:rPr>
        <w:t>cit</w:t>
      </w:r>
      <w:proofErr w:type="gramEnd"/>
      <w:r w:rsidRPr="00D06B1C">
        <w:rPr>
          <w:sz w:val="16"/>
          <w:szCs w:val="16"/>
        </w:rPr>
        <w:t>. (</w:t>
      </w:r>
      <w:proofErr w:type="gramStart"/>
      <w:r w:rsidRPr="00D06B1C">
        <w:rPr>
          <w:sz w:val="16"/>
          <w:szCs w:val="16"/>
        </w:rPr>
        <w:t>cf.</w:t>
      </w:r>
      <w:proofErr w:type="gramEnd"/>
      <w:r w:rsidRPr="00D06B1C">
        <w:rPr>
          <w:sz w:val="16"/>
          <w:szCs w:val="16"/>
        </w:rPr>
        <w:t> note [^44]).</w:t>
      </w:r>
    </w:p>
  </w:footnote>
  <w:footnote w:id="353">
    <w:p w14:paraId="56AD287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AMF, </w:t>
      </w:r>
      <w:r w:rsidRPr="00D06B1C">
        <w:rPr>
          <w:i/>
          <w:iCs/>
          <w:sz w:val="16"/>
          <w:szCs w:val="16"/>
        </w:rPr>
        <w:t>Baromètre 2024 de l’épargne et de l’investissement</w:t>
      </w:r>
      <w:r w:rsidRPr="00D06B1C">
        <w:rPr>
          <w:sz w:val="16"/>
          <w:szCs w:val="16"/>
        </w:rPr>
        <w:t>, octobre 2024 (</w:t>
      </w:r>
      <w:hyperlink r:id="rId40">
        <w:r w:rsidRPr="00D06B1C">
          <w:rPr>
            <w:rStyle w:val="Hyperlink"/>
            <w:sz w:val="16"/>
            <w:szCs w:val="16"/>
          </w:rPr>
          <w:t>https://www.amf-france.org/sites/institutionnel/files/private/2025-01/barometre-amf-2024-octobre-2024-version-publiable_0.pdf</w:t>
        </w:r>
      </w:hyperlink>
      <w:r w:rsidRPr="00D06B1C">
        <w:rPr>
          <w:sz w:val="16"/>
          <w:szCs w:val="16"/>
        </w:rPr>
        <w:t xml:space="preserve">). Détention directe d’actions cotées par les ménages français : 12,5 % en 2024. Pour les comparaisons internationales : Federal Reserve, </w:t>
      </w:r>
      <w:r w:rsidRPr="00D06B1C">
        <w:rPr>
          <w:i/>
          <w:iCs/>
          <w:sz w:val="16"/>
          <w:szCs w:val="16"/>
        </w:rPr>
        <w:t>Survey of Consumer Finances 2022</w:t>
      </w:r>
      <w:r w:rsidRPr="00D06B1C">
        <w:rPr>
          <w:sz w:val="16"/>
          <w:szCs w:val="16"/>
        </w:rPr>
        <w:t xml:space="preserve"> (États-Unis, taux de détention directe ou indirecte d’actions ~58 % ; détention directe ~21 %) ; Office for National Statistics, </w:t>
      </w:r>
      <w:r w:rsidRPr="00D06B1C">
        <w:rPr>
          <w:i/>
          <w:iCs/>
          <w:sz w:val="16"/>
          <w:szCs w:val="16"/>
        </w:rPr>
        <w:t>Ownership of UK quoted shares 2022</w:t>
      </w:r>
      <w:r w:rsidRPr="00D06B1C">
        <w:rPr>
          <w:sz w:val="16"/>
          <w:szCs w:val="16"/>
        </w:rPr>
        <w:t>, 2024 (Royaume-Uni).</w:t>
      </w:r>
    </w:p>
  </w:footnote>
  <w:footnote w:id="354">
    <w:p w14:paraId="4BF74D5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OCDE/INFE, </w:t>
      </w:r>
      <w:r w:rsidRPr="00D06B1C">
        <w:rPr>
          <w:i/>
          <w:iCs/>
          <w:sz w:val="16"/>
          <w:szCs w:val="16"/>
          <w:lang w:val="en-GB"/>
        </w:rPr>
        <w:t>2023 International Survey of Adult Financial Literacy</w:t>
      </w:r>
      <w:r w:rsidRPr="00D06B1C">
        <w:rPr>
          <w:sz w:val="16"/>
          <w:szCs w:val="16"/>
          <w:lang w:val="en-GB"/>
        </w:rPr>
        <w:t>, OCDE Publishing, 2023 (</w:t>
      </w:r>
      <w:hyperlink r:id="rId41">
        <w:r w:rsidRPr="00D06B1C">
          <w:rPr>
            <w:rStyle w:val="Hyperlink"/>
            <w:sz w:val="16"/>
            <w:szCs w:val="16"/>
            <w:lang w:val="en-GB"/>
          </w:rPr>
          <w:t>https://www.oecd.org/en/publications/oecd-infe-2023-international-survey-of-adult-financial-literacy_56003a32-en.html</w:t>
        </w:r>
      </w:hyperlink>
      <w:r w:rsidRPr="00D06B1C">
        <w:rPr>
          <w:sz w:val="16"/>
          <w:szCs w:val="16"/>
          <w:lang w:val="en-GB"/>
        </w:rPr>
        <w:t xml:space="preserve">). </w:t>
      </w:r>
      <w:r w:rsidRPr="00D06B1C">
        <w:rPr>
          <w:sz w:val="16"/>
          <w:szCs w:val="16"/>
        </w:rPr>
        <w:t>Score moyen France : 62,25/100, 14ᵉ rang sur 39 pays, légèrement en dessous de la moyenne OCDE (63/100).</w:t>
      </w:r>
    </w:p>
  </w:footnote>
  <w:footnote w:id="355">
    <w:p w14:paraId="695F5EE4"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Sur l’érosion des rentes 14-18 par les inflations de l’entre-deux-guerres et les conversions forcées d’emprunts d’État après 1945, voir Hautcœur P.-C., </w:t>
      </w:r>
      <w:r w:rsidRPr="00D06B1C">
        <w:rPr>
          <w:i/>
          <w:iCs/>
          <w:sz w:val="16"/>
          <w:szCs w:val="16"/>
        </w:rPr>
        <w:t>Le marché financier français au XXᵉ siècle</w:t>
      </w:r>
      <w:r w:rsidRPr="00D06B1C">
        <w:rPr>
          <w:sz w:val="16"/>
          <w:szCs w:val="16"/>
        </w:rPr>
        <w:t xml:space="preserve">, Publications de la Sorbonne, 2007 ; Vergne A., </w:t>
      </w:r>
      <w:r w:rsidRPr="00D06B1C">
        <w:rPr>
          <w:i/>
          <w:iCs/>
          <w:sz w:val="16"/>
          <w:szCs w:val="16"/>
        </w:rPr>
        <w:t>La place financière de Paris</w:t>
      </w:r>
      <w:r w:rsidRPr="00D06B1C">
        <w:rPr>
          <w:sz w:val="16"/>
          <w:szCs w:val="16"/>
        </w:rPr>
        <w:t>, La Découverte, 2018.</w:t>
      </w:r>
    </w:p>
  </w:footnote>
  <w:footnote w:id="356">
    <w:p w14:paraId="0AC851E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de France, </w:t>
      </w:r>
      <w:r w:rsidRPr="00D06B1C">
        <w:rPr>
          <w:i/>
          <w:iCs/>
          <w:sz w:val="16"/>
          <w:szCs w:val="16"/>
        </w:rPr>
        <w:t>L’épargne financière des ménages 2024</w:t>
      </w:r>
      <w:r w:rsidRPr="00D06B1C">
        <w:rPr>
          <w:sz w:val="16"/>
          <w:szCs w:val="16"/>
        </w:rPr>
        <w:t xml:space="preserve">, 2025 ; AMF, </w:t>
      </w:r>
      <w:r w:rsidRPr="00D06B1C">
        <w:rPr>
          <w:i/>
          <w:iCs/>
          <w:sz w:val="16"/>
          <w:szCs w:val="16"/>
        </w:rPr>
        <w:t>Baromètre 2024 de l’épargne et de l’investissement</w:t>
      </w:r>
      <w:r w:rsidRPr="00D06B1C">
        <w:rPr>
          <w:sz w:val="16"/>
          <w:szCs w:val="16"/>
        </w:rPr>
        <w:t xml:space="preserve">, octobre 2024. PEA : ~7 millions de titulaires fin 2024 (1,8 M en 1995). PER : 11,2 millions de titulaires fin T3 2024 (France Assureurs, </w:t>
      </w:r>
      <w:r w:rsidRPr="00D06B1C">
        <w:rPr>
          <w:i/>
          <w:iCs/>
          <w:sz w:val="16"/>
          <w:szCs w:val="16"/>
        </w:rPr>
        <w:t>Plan d’Épargne Retraite : Bilan 2024</w:t>
      </w:r>
      <w:r w:rsidRPr="00D06B1C">
        <w:rPr>
          <w:sz w:val="16"/>
          <w:szCs w:val="16"/>
        </w:rPr>
        <w:t>, mars 2025). Détention directe d’actions : 12,5 % en 2024 contre 6,9 % en 2020 (AMF).</w:t>
      </w:r>
    </w:p>
  </w:footnote>
  <w:footnote w:id="357">
    <w:p w14:paraId="41FBF00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DARES, </w:t>
      </w:r>
      <w:r w:rsidRPr="00D06B1C">
        <w:rPr>
          <w:i/>
          <w:iCs/>
          <w:sz w:val="16"/>
          <w:szCs w:val="16"/>
        </w:rPr>
        <w:t>La syndicalisation en 2023</w:t>
      </w:r>
      <w:r w:rsidRPr="00D06B1C">
        <w:rPr>
          <w:sz w:val="16"/>
          <w:szCs w:val="16"/>
        </w:rPr>
        <w:t>, juin 2024. Taux de syndicalisation France : 10,1 % des salariés en 2023, l’un des plus faibles de l’OCDE, contre 16,3 % moyenne OCDE et plus de 60 % en Suède, Finlande et Danemark.</w:t>
      </w:r>
    </w:p>
  </w:footnote>
  <w:footnote w:id="358">
    <w:p w14:paraId="79340AD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Positions syndicales documentées sur les sites officiels des centrales en 2024-2025 : Confédération générale du travail, </w:t>
      </w:r>
      <w:r w:rsidRPr="00D06B1C">
        <w:rPr>
          <w:i/>
          <w:iCs/>
          <w:sz w:val="16"/>
          <w:szCs w:val="16"/>
        </w:rPr>
        <w:t>La capitalisation n’est pas une solution, c’est une régression sociale</w:t>
      </w:r>
      <w:r w:rsidRPr="00D06B1C">
        <w:rPr>
          <w:sz w:val="16"/>
          <w:szCs w:val="16"/>
        </w:rPr>
        <w:t>, 31 janvier 2025 (</w:t>
      </w:r>
      <w:hyperlink r:id="rId42">
        <w:r w:rsidRPr="00D06B1C">
          <w:rPr>
            <w:rStyle w:val="Hyperlink"/>
            <w:sz w:val="16"/>
            <w:szCs w:val="16"/>
          </w:rPr>
          <w:t>https://www.cgt.fr/actualites/retraites/la-capitalisation-nest-pas-une-solution-cest-une-regression-sociale-58</w:t>
        </w:r>
      </w:hyperlink>
      <w:r w:rsidRPr="00D06B1C">
        <w:rPr>
          <w:sz w:val="16"/>
          <w:szCs w:val="16"/>
        </w:rPr>
        <w:t xml:space="preserve">) ; Confédération française démocratique du travail, communiqués et interventions de Marylise Léon, 23 mai 2025 ; Confédération française de l’encadrement-Confédération générale des cadres, </w:t>
      </w:r>
      <w:r w:rsidRPr="00D06B1C">
        <w:rPr>
          <w:i/>
          <w:iCs/>
          <w:sz w:val="16"/>
          <w:szCs w:val="16"/>
        </w:rPr>
        <w:t>La retraite par capitalisation au cœur des discussions</w:t>
      </w:r>
      <w:r w:rsidRPr="00D06B1C">
        <w:rPr>
          <w:sz w:val="16"/>
          <w:szCs w:val="16"/>
        </w:rPr>
        <w:t>, 25 avril 2025 (</w:t>
      </w:r>
      <w:hyperlink r:id="rId43">
        <w:r w:rsidRPr="00D06B1C">
          <w:rPr>
            <w:rStyle w:val="Hyperlink"/>
            <w:sz w:val="16"/>
            <w:szCs w:val="16"/>
          </w:rPr>
          <w:t>https://www.cfecgc.org/actualites/la-retraite-par-capitalisation-au-coeur-des-discussions</w:t>
        </w:r>
      </w:hyperlink>
      <w:r w:rsidRPr="00D06B1C">
        <w:rPr>
          <w:sz w:val="16"/>
          <w:szCs w:val="16"/>
        </w:rPr>
        <w:t>).</w:t>
      </w:r>
    </w:p>
  </w:footnote>
  <w:footnote w:id="359">
    <w:p w14:paraId="5C90D33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w:t>
      </w:r>
      <w:r w:rsidRPr="00D06B1C">
        <w:rPr>
          <w:i/>
          <w:iCs/>
          <w:sz w:val="16"/>
          <w:szCs w:val="16"/>
        </w:rPr>
        <w:t>Pensioenakkoord</w:t>
      </w:r>
      <w:r w:rsidRPr="00D06B1C">
        <w:rPr>
          <w:sz w:val="16"/>
          <w:szCs w:val="16"/>
        </w:rPr>
        <w:t xml:space="preserve"> du 5 juin 2019 signé entre FNV, CNV, VCP côté syndical et VNO-NCW, AWVN, MKB-Nederland, LTO Nederland côté patronal, transposé en droit néerlandais par la </w:t>
      </w:r>
      <w:r w:rsidRPr="00D06B1C">
        <w:rPr>
          <w:i/>
          <w:iCs/>
          <w:sz w:val="16"/>
          <w:szCs w:val="16"/>
        </w:rPr>
        <w:t>Wet toekomst pensioenen</w:t>
      </w:r>
      <w:r w:rsidRPr="00D06B1C">
        <w:rPr>
          <w:sz w:val="16"/>
          <w:szCs w:val="16"/>
        </w:rPr>
        <w:t xml:space="preserve"> du 30 mai 2023 (vote </w:t>
      </w:r>
      <w:r w:rsidRPr="00D06B1C">
        <w:rPr>
          <w:i/>
          <w:iCs/>
          <w:sz w:val="16"/>
          <w:szCs w:val="16"/>
        </w:rPr>
        <w:t>Eerste Kamer</w:t>
      </w:r>
      <w:r w:rsidRPr="00D06B1C">
        <w:rPr>
          <w:sz w:val="16"/>
          <w:szCs w:val="16"/>
        </w:rPr>
        <w:t xml:space="preserve"> : 46 voix contre 27).</w:t>
      </w:r>
    </w:p>
  </w:footnote>
  <w:footnote w:id="360">
    <w:p w14:paraId="3B02C6A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Loi n° 93-936 du 22 juillet 1993 relative aux pensions de retraite (Balladur) ; loi n° 2003-775 du 21 août 2003 portant réforme des retraites (Fillon) ; loi n° 2010-1330 du 9 novembre 2010 portant réforme des retraites (Woerth) ; loi n° 2014-40 du 20 janvier 2014 garantissant l’avenir et la justice du système de retraites (Touraine) ; loi n° 2023-270 du 14 avril 2023 de financement rectificative de la sécurité sociale pour 2023 (Borne).</w:t>
      </w:r>
    </w:p>
  </w:footnote>
  <w:footnote w:id="361">
    <w:p w14:paraId="748BFC4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w:t>
      </w:r>
      <w:r w:rsidRPr="00D06B1C">
        <w:rPr>
          <w:i/>
          <w:iCs/>
          <w:sz w:val="16"/>
          <w:szCs w:val="16"/>
        </w:rPr>
        <w:t>Évolutions et perspectives des retraites en France</w:t>
      </w:r>
      <w:r w:rsidRPr="00D06B1C">
        <w:rPr>
          <w:sz w:val="16"/>
          <w:szCs w:val="16"/>
        </w:rPr>
        <w:t>, rapport annuel juin 2025 (</w:t>
      </w:r>
      <w:hyperlink r:id="rId44">
        <w:r w:rsidRPr="00D06B1C">
          <w:rPr>
            <w:rStyle w:val="Hyperlink"/>
            <w:sz w:val="16"/>
            <w:szCs w:val="16"/>
          </w:rPr>
          <w:t>https://www.cor-retraites.fr/sites/default/files/2025-06/RA_2025_def_publi.pdf</w:t>
        </w:r>
      </w:hyperlink>
      <w:r w:rsidRPr="00D06B1C">
        <w:rPr>
          <w:sz w:val="16"/>
          <w:szCs w:val="16"/>
        </w:rPr>
        <w:t>). Solde du système de retraite projeté à scénario central : −0,2 pt de PIB en 2030, −0,7 pt en 2040, −1,1 pt en 2050, −1,4 pt en 2070.</w:t>
      </w:r>
    </w:p>
  </w:footnote>
  <w:footnote w:id="362">
    <w:p w14:paraId="395A73E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UBS, </w:t>
      </w:r>
      <w:r w:rsidRPr="00D06B1C">
        <w:rPr>
          <w:i/>
          <w:iCs/>
          <w:sz w:val="16"/>
          <w:szCs w:val="16"/>
          <w:lang w:val="en-GB"/>
        </w:rPr>
        <w:t>Global Investment Returns Yearbook 2025</w:t>
      </w:r>
      <w:r w:rsidRPr="00D06B1C">
        <w:rPr>
          <w:sz w:val="16"/>
          <w:szCs w:val="16"/>
          <w:lang w:val="en-GB"/>
        </w:rPr>
        <w:t xml:space="preserve">, février 2025 (https://www.ubs.com/global/en/family-office-uhnw/reports/global-investment-returns-yearbook.html). </w:t>
      </w:r>
      <w:r w:rsidRPr="00D06B1C">
        <w:rPr>
          <w:sz w:val="16"/>
          <w:szCs w:val="16"/>
        </w:rPr>
        <w:t>Rendement réel annualisé actions monde 1900-2024 : 5,2 % ; obligations gouvernementales : 1,7 % ; bons du Trésor : 0,5 %.</w:t>
      </w:r>
    </w:p>
  </w:footnote>
  <w:footnote w:id="363">
    <w:p w14:paraId="5E1C6636"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rPr>
        <w:t xml:space="preserve"> ACPR, </w:t>
      </w:r>
      <w:r w:rsidRPr="00D06B1C">
        <w:rPr>
          <w:i/>
          <w:iCs/>
          <w:sz w:val="16"/>
          <w:szCs w:val="16"/>
        </w:rPr>
        <w:t>Revalorisation 2024 des contrats d’assurance-vie</w:t>
      </w:r>
      <w:r w:rsidRPr="00D06B1C">
        <w:rPr>
          <w:sz w:val="16"/>
          <w:szCs w:val="16"/>
        </w:rPr>
        <w:t xml:space="preserve">, août 2025. Rendement moyen brut des fonds euros 2024 : 2,63 %. Inflation France 2024 : 2,0 % (INSEE). Prélèvements sociaux 17,2 %. </w:t>
      </w:r>
      <w:r w:rsidRPr="00D06B1C">
        <w:rPr>
          <w:sz w:val="16"/>
          <w:szCs w:val="16"/>
          <w:lang w:val="en-GB"/>
        </w:rPr>
        <w:t>Rendement réel net moyen ≈ 0,15 %.</w:t>
      </w:r>
    </w:p>
  </w:footnote>
  <w:footnote w:id="364">
    <w:p w14:paraId="028A1FE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AP7, </w:t>
      </w:r>
      <w:r w:rsidRPr="00D06B1C">
        <w:rPr>
          <w:i/>
          <w:iCs/>
          <w:sz w:val="16"/>
          <w:szCs w:val="16"/>
          <w:lang w:val="en-GB"/>
        </w:rPr>
        <w:t>Annual Report 2024</w:t>
      </w:r>
      <w:r w:rsidRPr="00D06B1C">
        <w:rPr>
          <w:sz w:val="16"/>
          <w:szCs w:val="16"/>
          <w:lang w:val="en-GB"/>
        </w:rPr>
        <w:t xml:space="preserve">, 2025 (https://www.ap7.se) ; NEST Corporation, </w:t>
      </w:r>
      <w:r w:rsidRPr="00D06B1C">
        <w:rPr>
          <w:i/>
          <w:iCs/>
          <w:sz w:val="16"/>
          <w:szCs w:val="16"/>
          <w:lang w:val="en-GB"/>
        </w:rPr>
        <w:t>Annual Report and Accounts 2024-25</w:t>
      </w:r>
      <w:r w:rsidRPr="00D06B1C">
        <w:rPr>
          <w:sz w:val="16"/>
          <w:szCs w:val="16"/>
          <w:lang w:val="en-GB"/>
        </w:rPr>
        <w:t xml:space="preserve">, 2025 ; Thrift Savings Plan, </w:t>
      </w:r>
      <w:r w:rsidRPr="00D06B1C">
        <w:rPr>
          <w:i/>
          <w:iCs/>
          <w:sz w:val="16"/>
          <w:szCs w:val="16"/>
          <w:lang w:val="en-GB"/>
        </w:rPr>
        <w:t>Lifecycle Funds</w:t>
      </w:r>
      <w:r w:rsidRPr="00D06B1C">
        <w:rPr>
          <w:sz w:val="16"/>
          <w:szCs w:val="16"/>
          <w:lang w:val="en-GB"/>
        </w:rPr>
        <w:t xml:space="preserve">, 2025 (https://www.tsp.gov/funds-lifecycle/). </w:t>
      </w:r>
      <w:r w:rsidRPr="00D06B1C">
        <w:rPr>
          <w:sz w:val="16"/>
          <w:szCs w:val="16"/>
        </w:rPr>
        <w:t>Les trois dispositifs couvrent ensemble près de 26 millions de cotisants.</w:t>
      </w:r>
    </w:p>
  </w:footnote>
  <w:footnote w:id="365">
    <w:p w14:paraId="07F6A52E"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De Nederlandsche Bank, </w:t>
      </w:r>
      <w:r w:rsidRPr="00D06B1C">
        <w:rPr>
          <w:i/>
          <w:iCs/>
          <w:sz w:val="16"/>
          <w:szCs w:val="16"/>
          <w:lang w:val="en-GB"/>
        </w:rPr>
        <w:t>Toezicht op pensioenfondsen 2024</w:t>
      </w:r>
      <w:r w:rsidRPr="00D06B1C">
        <w:rPr>
          <w:sz w:val="16"/>
          <w:szCs w:val="16"/>
          <w:lang w:val="en-GB"/>
        </w:rPr>
        <w:t xml:space="preserve">, 2025 (https://www.dnb.nl). </w:t>
      </w:r>
      <w:r w:rsidRPr="00D06B1C">
        <w:rPr>
          <w:sz w:val="16"/>
          <w:szCs w:val="16"/>
        </w:rPr>
        <w:t>Funding ratio minimum 105 % ; ratio médian 2023-2024 ≈ 125 % ; part sous le seuil légal &lt; 0,5 %.</w:t>
      </w:r>
    </w:p>
  </w:footnote>
  <w:footnote w:id="366">
    <w:p w14:paraId="1C2B9B6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Pension Protection Fund, </w:t>
      </w:r>
      <w:r w:rsidRPr="00D06B1C">
        <w:rPr>
          <w:i/>
          <w:iCs/>
          <w:sz w:val="16"/>
          <w:szCs w:val="16"/>
          <w:lang w:val="en-GB"/>
        </w:rPr>
        <w:t>Annual Report 2023-24</w:t>
      </w:r>
      <w:r w:rsidRPr="00D06B1C">
        <w:rPr>
          <w:sz w:val="16"/>
          <w:szCs w:val="16"/>
          <w:lang w:val="en-GB"/>
        </w:rPr>
        <w:t xml:space="preserve">, 2024 (https://www.ppf.co.uk). </w:t>
      </w:r>
      <w:r w:rsidRPr="00D06B1C">
        <w:rPr>
          <w:sz w:val="16"/>
          <w:szCs w:val="16"/>
        </w:rPr>
        <w:t>8,8 millions de personnes dans ~5 000 fonds DB régulés. Actifs PPF : 31,2 Md£ au 31 mars 2024.</w:t>
      </w:r>
    </w:p>
  </w:footnote>
  <w:footnote w:id="367">
    <w:p w14:paraId="4FF55FA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Norges Bank Investment Management, </w:t>
      </w:r>
      <w:r w:rsidRPr="00D06B1C">
        <w:rPr>
          <w:i/>
          <w:iCs/>
          <w:sz w:val="16"/>
          <w:szCs w:val="16"/>
          <w:lang w:val="en-GB"/>
        </w:rPr>
        <w:t>Government Pension Fund Global</w:t>
      </w:r>
      <w:r w:rsidRPr="00D06B1C">
        <w:rPr>
          <w:sz w:val="16"/>
          <w:szCs w:val="16"/>
          <w:lang w:val="en-GB"/>
        </w:rPr>
        <w:t xml:space="preserve"> </w:t>
      </w:r>
      <w:r w:rsidRPr="00D06B1C">
        <w:rPr>
          <w:i/>
          <w:iCs/>
          <w:sz w:val="16"/>
          <w:szCs w:val="16"/>
          <w:lang w:val="en-GB"/>
        </w:rPr>
        <w:t>- Annual Report 2024</w:t>
      </w:r>
      <w:r w:rsidRPr="00D06B1C">
        <w:rPr>
          <w:sz w:val="16"/>
          <w:szCs w:val="16"/>
          <w:lang w:val="en-GB"/>
        </w:rPr>
        <w:t xml:space="preserve">, mars 2025 ; CPP Investments, </w:t>
      </w:r>
      <w:r w:rsidRPr="00D06B1C">
        <w:rPr>
          <w:i/>
          <w:iCs/>
          <w:sz w:val="16"/>
          <w:szCs w:val="16"/>
          <w:lang w:val="en-GB"/>
        </w:rPr>
        <w:t>Annual Report Fiscal 2025</w:t>
      </w:r>
      <w:r w:rsidRPr="00D06B1C">
        <w:rPr>
          <w:sz w:val="16"/>
          <w:szCs w:val="16"/>
          <w:lang w:val="en-GB"/>
        </w:rPr>
        <w:t xml:space="preserve">, 2025 ; AustralianSuper, </w:t>
      </w:r>
      <w:r w:rsidRPr="00D06B1C">
        <w:rPr>
          <w:i/>
          <w:iCs/>
          <w:sz w:val="16"/>
          <w:szCs w:val="16"/>
          <w:lang w:val="en-GB"/>
        </w:rPr>
        <w:t>Annual Report 2024-25</w:t>
      </w:r>
      <w:r w:rsidRPr="00D06B1C">
        <w:rPr>
          <w:sz w:val="16"/>
          <w:szCs w:val="16"/>
          <w:lang w:val="en-GB"/>
        </w:rPr>
        <w:t xml:space="preserve">, 2025 ; AP7, </w:t>
      </w:r>
      <w:r w:rsidRPr="00D06B1C">
        <w:rPr>
          <w:i/>
          <w:iCs/>
          <w:sz w:val="16"/>
          <w:szCs w:val="16"/>
          <w:lang w:val="en-GB"/>
        </w:rPr>
        <w:t>Annual Report 2024</w:t>
      </w:r>
      <w:r w:rsidRPr="00D06B1C">
        <w:rPr>
          <w:sz w:val="16"/>
          <w:szCs w:val="16"/>
          <w:lang w:val="en-GB"/>
        </w:rPr>
        <w:t xml:space="preserve">, 2025. </w:t>
      </w:r>
      <w:r w:rsidRPr="00D06B1C">
        <w:rPr>
          <w:sz w:val="16"/>
          <w:szCs w:val="16"/>
        </w:rPr>
        <w:t>GPFG : 4,1 % réel net depuis 1998 ; CPPIB : 8,3 % nominal net sur 10 ans ; AustralianSuper Balanced : 7,94 % sur 10 ans ; AP7 Equity : ~14 % nominal depuis 2010.</w:t>
      </w:r>
    </w:p>
  </w:footnote>
  <w:footnote w:id="368">
    <w:p w14:paraId="13645351"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U.S. Senate Committee on Governmental Affairs, </w:t>
      </w:r>
      <w:r w:rsidRPr="00D06B1C">
        <w:rPr>
          <w:i/>
          <w:iCs/>
          <w:sz w:val="16"/>
          <w:szCs w:val="16"/>
          <w:lang w:val="en-GB"/>
        </w:rPr>
        <w:t>Retirement Insecurity: The 401(k) Crisis at Enron Corp.</w:t>
      </w:r>
      <w:r w:rsidRPr="00D06B1C">
        <w:rPr>
          <w:sz w:val="16"/>
          <w:szCs w:val="16"/>
          <w:lang w:val="en-GB"/>
        </w:rPr>
        <w:t xml:space="preserve">, février 2002 ; GAO, </w:t>
      </w:r>
      <w:r w:rsidRPr="00D06B1C">
        <w:rPr>
          <w:i/>
          <w:iCs/>
          <w:sz w:val="16"/>
          <w:szCs w:val="16"/>
          <w:lang w:val="en-GB"/>
        </w:rPr>
        <w:t>Enron: 401(k) Pension Plans</w:t>
      </w:r>
      <w:r w:rsidRPr="00D06B1C">
        <w:rPr>
          <w:sz w:val="16"/>
          <w:szCs w:val="16"/>
          <w:lang w:val="en-GB"/>
        </w:rPr>
        <w:t>, GAO-02-376, 2002. Pertes 401(k) : ~1,2-1,3 Md$ pour ~15 000 salariés concentrés en actions employeur.</w:t>
      </w:r>
    </w:p>
  </w:footnote>
  <w:footnote w:id="369">
    <w:p w14:paraId="0ADD160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U.S. Securities and Exchange Commission, </w:t>
      </w:r>
      <w:r w:rsidRPr="00D06B1C">
        <w:rPr>
          <w:i/>
          <w:iCs/>
          <w:sz w:val="16"/>
          <w:szCs w:val="16"/>
          <w:lang w:val="en-GB"/>
        </w:rPr>
        <w:t>Report of Investigation: SEC’s Madoff Investigation</w:t>
      </w:r>
      <w:r w:rsidRPr="00D06B1C">
        <w:rPr>
          <w:sz w:val="16"/>
          <w:szCs w:val="16"/>
          <w:lang w:val="en-GB"/>
        </w:rPr>
        <w:t xml:space="preserve">, OIG-509, août 2009. </w:t>
      </w:r>
      <w:r w:rsidRPr="00D06B1C">
        <w:rPr>
          <w:sz w:val="16"/>
          <w:szCs w:val="16"/>
        </w:rPr>
        <w:t>Les 65 Md$ correspondent aux relevés fictifs ; pertes en cash réellement investies estimées à ~18 Md$ par le trustee Irving Picard.</w:t>
      </w:r>
    </w:p>
  </w:footnote>
  <w:footnote w:id="370">
    <w:p w14:paraId="5EA2EEF2"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Pew Charitable Trusts, </w:t>
      </w:r>
      <w:r w:rsidRPr="00D06B1C">
        <w:rPr>
          <w:i/>
          <w:iCs/>
          <w:sz w:val="16"/>
          <w:szCs w:val="16"/>
        </w:rPr>
        <w:t xml:space="preserve">The Challenge of </w:t>
      </w:r>
      <w:proofErr w:type="gramStart"/>
      <w:r w:rsidRPr="00D06B1C">
        <w:rPr>
          <w:i/>
          <w:iCs/>
          <w:sz w:val="16"/>
          <w:szCs w:val="16"/>
        </w:rPr>
        <w:t>Meeting</w:t>
      </w:r>
      <w:proofErr w:type="gramEnd"/>
      <w:r w:rsidRPr="00D06B1C">
        <w:rPr>
          <w:i/>
          <w:iCs/>
          <w:sz w:val="16"/>
          <w:szCs w:val="16"/>
        </w:rPr>
        <w:t xml:space="preserve"> Detroit’s Pension Promises</w:t>
      </w:r>
      <w:r w:rsidRPr="00D06B1C">
        <w:rPr>
          <w:sz w:val="16"/>
          <w:szCs w:val="16"/>
        </w:rPr>
        <w:t xml:space="preserve">, mars 2018 ; ville de Detroit, </w:t>
      </w:r>
      <w:r w:rsidRPr="00D06B1C">
        <w:rPr>
          <w:i/>
          <w:iCs/>
          <w:sz w:val="16"/>
          <w:szCs w:val="16"/>
        </w:rPr>
        <w:t>Chapter 9 Bankruptcy Filing</w:t>
      </w:r>
      <w:r w:rsidRPr="00D06B1C">
        <w:rPr>
          <w:sz w:val="16"/>
          <w:szCs w:val="16"/>
        </w:rPr>
        <w:t>, 18 juillet 2013. Dette totale 18 Md$ ; pensions non financées 3,5 Md$ ; 21 000 retraités, 15 000 actifs concernés.</w:t>
      </w:r>
    </w:p>
  </w:footnote>
  <w:footnote w:id="371">
    <w:p w14:paraId="2BB5A30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Mercer CFA Institute, </w:t>
      </w:r>
      <w:r w:rsidRPr="00D06B1C">
        <w:rPr>
          <w:i/>
          <w:iCs/>
          <w:sz w:val="16"/>
          <w:szCs w:val="16"/>
        </w:rPr>
        <w:t>Global Pension Index 2025</w:t>
      </w:r>
      <w:r w:rsidRPr="00D06B1C">
        <w:rPr>
          <w:sz w:val="16"/>
          <w:szCs w:val="16"/>
        </w:rPr>
        <w:t>, octobre 2025. France : grade B, score global 70,3, adéquation 85,2, viabilité 48,6, intégrité 76,8. Comparaison : Pays-Bas 84,8 ; Suède 78,2 ; Australie 76,4 ; Royaume-Uni 72,2.</w:t>
      </w:r>
    </w:p>
  </w:footnote>
  <w:footnote w:id="372">
    <w:p w14:paraId="723C8A66"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Assureurs, </w:t>
      </w:r>
      <w:r w:rsidRPr="00D06B1C">
        <w:rPr>
          <w:i/>
          <w:iCs/>
          <w:sz w:val="16"/>
          <w:szCs w:val="16"/>
        </w:rPr>
        <w:t>Plan d’Épargne Retraite : Bilan 2024</w:t>
      </w:r>
      <w:r w:rsidRPr="00D06B1C">
        <w:rPr>
          <w:sz w:val="16"/>
          <w:szCs w:val="16"/>
        </w:rPr>
        <w:t xml:space="preserve">, mars 2025 ; Cour des comptes, </w:t>
      </w:r>
      <w:r w:rsidRPr="00D06B1C">
        <w:rPr>
          <w:i/>
          <w:iCs/>
          <w:sz w:val="16"/>
          <w:szCs w:val="16"/>
        </w:rPr>
        <w:t>Le système de retraite par capitalisation en France</w:t>
      </w:r>
      <w:r w:rsidRPr="00D06B1C">
        <w:rPr>
          <w:sz w:val="16"/>
          <w:szCs w:val="16"/>
        </w:rPr>
        <w:t>, février 2024. PER : 11,2 millions de titulaires fin T3 2024, 118,9 Md€ d’encours, encours moyen ≈ 10 600 €. Concentration des versements : 70 % sur les déciles 8-10.</w:t>
      </w:r>
    </w:p>
  </w:footnote>
  <w:footnote w:id="373">
    <w:p w14:paraId="17966E1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Mercer CFA Institute, </w:t>
      </w:r>
      <w:r w:rsidRPr="00D06B1C">
        <w:rPr>
          <w:i/>
          <w:iCs/>
          <w:sz w:val="16"/>
          <w:szCs w:val="16"/>
        </w:rPr>
        <w:t>Global Pension Index 2025</w:t>
      </w:r>
      <w:r w:rsidRPr="00D06B1C">
        <w:rPr>
          <w:sz w:val="16"/>
          <w:szCs w:val="16"/>
        </w:rPr>
        <w:t xml:space="preserve"> </w:t>
      </w:r>
      <w:r w:rsidRPr="00D06B1C">
        <w:rPr>
          <w:i/>
          <w:iCs/>
          <w:sz w:val="16"/>
          <w:szCs w:val="16"/>
        </w:rPr>
        <w:t>- Gender Pension Gap Analysis</w:t>
      </w:r>
      <w:r w:rsidRPr="00D06B1C">
        <w:rPr>
          <w:sz w:val="16"/>
          <w:szCs w:val="16"/>
        </w:rPr>
        <w:t>, octobre 2025. Pays-Bas 17 %, Suède 25 %, Australie 25 % (en baisse depuis 30 %), France 28-30 % selon DREES.</w:t>
      </w:r>
    </w:p>
  </w:footnote>
  <w:footnote w:id="374">
    <w:p w14:paraId="010ACFD0"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OCDE, </w:t>
      </w:r>
      <w:r w:rsidRPr="00D06B1C">
        <w:rPr>
          <w:i/>
          <w:iCs/>
          <w:sz w:val="16"/>
          <w:szCs w:val="16"/>
        </w:rPr>
        <w:t>Pensions at a Glance 2025</w:t>
      </w:r>
      <w:r w:rsidRPr="00D06B1C">
        <w:rPr>
          <w:sz w:val="16"/>
          <w:szCs w:val="16"/>
        </w:rPr>
        <w:t xml:space="preserve">, fiches France et Pays-Bas, novembre 2025. Ratio P90/P10 des pensions : France ≈ 4,2 ; Pays-Bas ≈ 3,1. Source complémentaire : Eurostat </w:t>
      </w:r>
      <w:r w:rsidRPr="00D06B1C">
        <w:rPr>
          <w:i/>
          <w:iCs/>
          <w:sz w:val="16"/>
          <w:szCs w:val="16"/>
        </w:rPr>
        <w:t>EU-SILC</w:t>
      </w:r>
      <w:r w:rsidRPr="00D06B1C">
        <w:rPr>
          <w:sz w:val="16"/>
          <w:szCs w:val="16"/>
        </w:rPr>
        <w:t xml:space="preserve"> 2023.</w:t>
      </w:r>
    </w:p>
  </w:footnote>
  <w:footnote w:id="375">
    <w:p w14:paraId="16D3156A"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Odoxa pour Groupama, </w:t>
      </w:r>
      <w:r w:rsidRPr="00D06B1C">
        <w:rPr>
          <w:i/>
          <w:iCs/>
          <w:sz w:val="16"/>
          <w:szCs w:val="16"/>
        </w:rPr>
        <w:t>Les Français et la retraite par capitalisation</w:t>
      </w:r>
      <w:r w:rsidRPr="00D06B1C">
        <w:rPr>
          <w:sz w:val="16"/>
          <w:szCs w:val="16"/>
        </w:rPr>
        <w:t>, novembre 2025. 57 % favorables au mixte ; 22 % capitalisation seule ; 20 % répartition seule.</w:t>
      </w:r>
    </w:p>
  </w:footnote>
  <w:footnote w:id="376">
    <w:p w14:paraId="3AE9357D"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ATO, </w:t>
      </w:r>
      <w:r w:rsidRPr="00D06B1C">
        <w:rPr>
          <w:i/>
          <w:iCs/>
          <w:sz w:val="16"/>
          <w:szCs w:val="16"/>
        </w:rPr>
        <w:t>Compliance Statistics 2024-25</w:t>
      </w:r>
      <w:r w:rsidRPr="00D06B1C">
        <w:rPr>
          <w:sz w:val="16"/>
          <w:szCs w:val="16"/>
        </w:rPr>
        <w:t xml:space="preserve">, 2025 ; Paul Keating, </w:t>
      </w:r>
      <w:r w:rsidRPr="00D06B1C">
        <w:rPr>
          <w:i/>
          <w:iCs/>
          <w:sz w:val="16"/>
          <w:szCs w:val="16"/>
        </w:rPr>
        <w:t>The Story of Modern Superannuation</w:t>
      </w:r>
      <w:r w:rsidRPr="00D06B1C">
        <w:rPr>
          <w:sz w:val="16"/>
          <w:szCs w:val="16"/>
        </w:rPr>
        <w:t xml:space="preserve">, 31 octobre 2007. Accord Prices and Incomes Mark II signé en septembre 1985 (Hawke / Kelty-ACTU). Superannuation Guarantee : 3 % en 1992, 9 % en 2002, 12 % depuis juillet 2025. Coût budgétaire direct pour le Commonwealth ≈ 0,1 % du PIB (tax relief marginal sur les </w:t>
      </w:r>
      <w:r w:rsidRPr="00D06B1C">
        <w:rPr>
          <w:i/>
          <w:iCs/>
          <w:sz w:val="16"/>
          <w:szCs w:val="16"/>
        </w:rPr>
        <w:t>concessional contributions</w:t>
      </w:r>
      <w:r w:rsidRPr="00D06B1C">
        <w:rPr>
          <w:sz w:val="16"/>
          <w:szCs w:val="16"/>
        </w:rPr>
        <w:t>).</w:t>
      </w:r>
    </w:p>
  </w:footnote>
  <w:footnote w:id="377">
    <w:p w14:paraId="1FB5C14F" w14:textId="77777777" w:rsidR="00BF0342" w:rsidRPr="00D06B1C" w:rsidRDefault="00000000">
      <w:pPr>
        <w:pStyle w:val="FootnoteText"/>
        <w:rPr>
          <w:sz w:val="16"/>
          <w:szCs w:val="16"/>
          <w:lang w:val="en-GB"/>
        </w:rPr>
      </w:pPr>
      <w:r w:rsidRPr="00D06B1C">
        <w:rPr>
          <w:rStyle w:val="FootnoteReference"/>
          <w:sz w:val="16"/>
          <w:szCs w:val="16"/>
        </w:rPr>
        <w:footnoteRef/>
      </w:r>
      <w:r w:rsidRPr="00D06B1C">
        <w:rPr>
          <w:sz w:val="16"/>
          <w:szCs w:val="16"/>
          <w:lang w:val="en-GB"/>
        </w:rPr>
        <w:t xml:space="preserve"> </w:t>
      </w:r>
      <w:r w:rsidRPr="00D06B1C">
        <w:rPr>
          <w:sz w:val="16"/>
          <w:szCs w:val="16"/>
          <w:lang w:val="en-GB"/>
        </w:rPr>
        <w:t xml:space="preserve">Pensionsmyndigheten, </w:t>
      </w:r>
      <w:r w:rsidRPr="00D06B1C">
        <w:rPr>
          <w:i/>
          <w:iCs/>
          <w:sz w:val="16"/>
          <w:szCs w:val="16"/>
          <w:lang w:val="en-GB"/>
        </w:rPr>
        <w:t>Orange Report 2024</w:t>
      </w:r>
      <w:r w:rsidRPr="00D06B1C">
        <w:rPr>
          <w:sz w:val="16"/>
          <w:szCs w:val="16"/>
          <w:lang w:val="en-GB"/>
        </w:rPr>
        <w:t xml:space="preserve">, 2025 ; Bo Könberg, Edward Palmer, Annika Sundén, « The 1994 Swedish Pension Reform », </w:t>
      </w:r>
      <w:r w:rsidRPr="00D06B1C">
        <w:rPr>
          <w:i/>
          <w:iCs/>
          <w:sz w:val="16"/>
          <w:szCs w:val="16"/>
          <w:lang w:val="en-GB"/>
        </w:rPr>
        <w:t>International Social Security Review</w:t>
      </w:r>
      <w:r w:rsidRPr="00D06B1C">
        <w:rPr>
          <w:sz w:val="16"/>
          <w:szCs w:val="16"/>
          <w:lang w:val="en-GB"/>
        </w:rPr>
        <w:t xml:space="preserve">, vol. 59, 2006. </w:t>
      </w:r>
      <w:r w:rsidRPr="00D06B1C">
        <w:rPr>
          <w:sz w:val="16"/>
          <w:szCs w:val="16"/>
        </w:rPr>
        <w:t xml:space="preserve">Sur les 18,5 % de cotisation totale, 16 % vers l’inkomstpension NDC, 2,5 % vers la PPM capitalisée. </w:t>
      </w:r>
      <w:r w:rsidRPr="00D06B1C">
        <w:rPr>
          <w:sz w:val="16"/>
          <w:szCs w:val="16"/>
          <w:lang w:val="en-GB"/>
        </w:rPr>
        <w:t>Total inchangé depuis 1999.</w:t>
      </w:r>
    </w:p>
  </w:footnote>
  <w:footnote w:id="378">
    <w:p w14:paraId="1AC5BB1C"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lang w:val="en-GB"/>
        </w:rPr>
        <w:t xml:space="preserve"> Sebastián Edwards, </w:t>
      </w:r>
      <w:r w:rsidRPr="00D06B1C">
        <w:rPr>
          <w:i/>
          <w:iCs/>
          <w:sz w:val="16"/>
          <w:szCs w:val="16"/>
          <w:lang w:val="en-GB"/>
        </w:rPr>
        <w:t>The Chile Project: The Story of the Chicago Boys and the Downfall of Neoliberalism</w:t>
      </w:r>
      <w:r w:rsidRPr="00D06B1C">
        <w:rPr>
          <w:sz w:val="16"/>
          <w:szCs w:val="16"/>
          <w:lang w:val="en-GB"/>
        </w:rPr>
        <w:t xml:space="preserve">, Princeton University Press, 2023, chapitres 7-9. </w:t>
      </w:r>
      <w:r w:rsidRPr="00D06B1C">
        <w:rPr>
          <w:sz w:val="16"/>
          <w:szCs w:val="16"/>
        </w:rPr>
        <w:t xml:space="preserve">Coût cumulé des </w:t>
      </w:r>
      <w:r w:rsidRPr="00D06B1C">
        <w:rPr>
          <w:i/>
          <w:iCs/>
          <w:sz w:val="16"/>
          <w:szCs w:val="16"/>
        </w:rPr>
        <w:t>bonos de reconocimiento</w:t>
      </w:r>
      <w:r w:rsidRPr="00D06B1C">
        <w:rPr>
          <w:sz w:val="16"/>
          <w:szCs w:val="16"/>
        </w:rPr>
        <w:t xml:space="preserve"> 1981-2014 : ~30 % du PIB chilien sur la période, soit ~7 % de PIB par décennie.</w:t>
      </w:r>
    </w:p>
  </w:footnote>
  <w:footnote w:id="379">
    <w:p w14:paraId="2EA7D89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Fonds de Réserve pour les Retraites, </w:t>
      </w:r>
      <w:r w:rsidRPr="00D06B1C">
        <w:rPr>
          <w:i/>
          <w:iCs/>
          <w:sz w:val="16"/>
          <w:szCs w:val="16"/>
        </w:rPr>
        <w:t>Rapport annuel 2024</w:t>
      </w:r>
      <w:r w:rsidRPr="00D06B1C">
        <w:rPr>
          <w:sz w:val="16"/>
          <w:szCs w:val="16"/>
        </w:rPr>
        <w:t>, 2025. Encours fin 2024 : 20,4 Md€. Rendement réel net 2024 : +6,46 %.</w:t>
      </w:r>
    </w:p>
  </w:footnote>
  <w:footnote w:id="380">
    <w:p w14:paraId="782E0F1F"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Calcul à partir de la masse salariale brute du secteur privé France 2027 estimée à 1 100 Md€ (INSEE, </w:t>
      </w:r>
      <w:r w:rsidRPr="00D06B1C">
        <w:rPr>
          <w:i/>
          <w:iCs/>
          <w:sz w:val="16"/>
          <w:szCs w:val="16"/>
        </w:rPr>
        <w:t>Comptes nationaux 2025</w:t>
      </w:r>
      <w:r w:rsidRPr="00D06B1C">
        <w:rPr>
          <w:sz w:val="16"/>
          <w:szCs w:val="16"/>
        </w:rPr>
        <w:t>). Une cotisation patronale nouvelle de 2 % rapporte ~22 Md€/an à pleine charge.</w:t>
      </w:r>
    </w:p>
  </w:footnote>
  <w:footnote w:id="381">
    <w:p w14:paraId="1A06FD6B"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COR, </w:t>
      </w:r>
      <w:r w:rsidRPr="00D06B1C">
        <w:rPr>
          <w:i/>
          <w:iCs/>
          <w:sz w:val="16"/>
          <w:szCs w:val="16"/>
        </w:rPr>
        <w:t>Rapport annuel 2025</w:t>
      </w:r>
      <w:r w:rsidRPr="00D06B1C">
        <w:rPr>
          <w:sz w:val="16"/>
          <w:szCs w:val="16"/>
        </w:rPr>
        <w:t>, juin 2025. Scénario central : -45 Md€ en 2070, soit -1,4 % du PIB.</w:t>
      </w:r>
    </w:p>
  </w:footnote>
  <w:footnote w:id="382">
    <w:p w14:paraId="1934AD97"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Commission européenne, </w:t>
      </w:r>
      <w:r w:rsidRPr="00D06B1C">
        <w:rPr>
          <w:i/>
          <w:iCs/>
          <w:sz w:val="16"/>
          <w:szCs w:val="16"/>
        </w:rPr>
        <w:t>2024 Ageing Report</w:t>
      </w:r>
      <w:r w:rsidRPr="00D06B1C">
        <w:rPr>
          <w:sz w:val="16"/>
          <w:szCs w:val="16"/>
        </w:rPr>
        <w:t>, mai 2024. Passif implicite des retraites France ≈ 417 % du PIB en 2021 sous taux d’actualisation 1 %.</w:t>
      </w:r>
    </w:p>
  </w:footnote>
  <w:footnote w:id="383">
    <w:p w14:paraId="14F44AC8"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France Assureurs, </w:t>
      </w:r>
      <w:r w:rsidRPr="00D06B1C">
        <w:rPr>
          <w:i/>
          <w:iCs/>
          <w:sz w:val="16"/>
          <w:szCs w:val="16"/>
        </w:rPr>
        <w:t>Plan d’Épargne Retraite : Bilan 2024</w:t>
      </w:r>
      <w:r w:rsidRPr="00D06B1C">
        <w:rPr>
          <w:sz w:val="16"/>
          <w:szCs w:val="16"/>
        </w:rPr>
        <w:t xml:space="preserve">, mars 2025 ; Banque de France, </w:t>
      </w:r>
      <w:r w:rsidRPr="00D06B1C">
        <w:rPr>
          <w:i/>
          <w:iCs/>
          <w:sz w:val="16"/>
          <w:szCs w:val="16"/>
        </w:rPr>
        <w:t>L’épargne financière des ménages 2024</w:t>
      </w:r>
      <w:r w:rsidRPr="00D06B1C">
        <w:rPr>
          <w:sz w:val="16"/>
          <w:szCs w:val="16"/>
        </w:rPr>
        <w:t>. PER : 11,2 millions de titulaires fin T3 2024 (loi PACTE n° 2019-486 du 22 mai 2019). Encours 118,9 Md€, encours moyen ≈ 10 600 €.</w:t>
      </w:r>
    </w:p>
  </w:footnote>
  <w:footnote w:id="384">
    <w:p w14:paraId="7AE594B9" w14:textId="77777777" w:rsidR="00BF0342" w:rsidRPr="00D06B1C" w:rsidRDefault="00000000">
      <w:pPr>
        <w:pStyle w:val="FootnoteText"/>
        <w:rPr>
          <w:sz w:val="16"/>
          <w:szCs w:val="16"/>
        </w:rPr>
      </w:pPr>
      <w:r w:rsidRPr="00D06B1C">
        <w:rPr>
          <w:rStyle w:val="FootnoteReference"/>
          <w:sz w:val="16"/>
          <w:szCs w:val="16"/>
        </w:rPr>
        <w:footnoteRef/>
      </w:r>
      <w:r w:rsidRPr="00D06B1C">
        <w:rPr>
          <w:sz w:val="16"/>
          <w:szCs w:val="16"/>
        </w:rPr>
        <w:t xml:space="preserve"> Banque de France, </w:t>
      </w:r>
      <w:r w:rsidRPr="00D06B1C">
        <w:rPr>
          <w:i/>
          <w:iCs/>
          <w:sz w:val="16"/>
          <w:szCs w:val="16"/>
        </w:rPr>
        <w:t>L’épargne financière des ménages 2024</w:t>
      </w:r>
      <w:r w:rsidRPr="00D06B1C">
        <w:rPr>
          <w:sz w:val="16"/>
          <w:szCs w:val="16"/>
        </w:rPr>
        <w:t xml:space="preserve">, 2025 ; AMF, </w:t>
      </w:r>
      <w:r w:rsidRPr="00D06B1C">
        <w:rPr>
          <w:i/>
          <w:iCs/>
          <w:sz w:val="16"/>
          <w:szCs w:val="16"/>
        </w:rPr>
        <w:t>Baromètre 2024 de l’épargne et de l’investissement</w:t>
      </w:r>
      <w:r w:rsidRPr="00D06B1C">
        <w:rPr>
          <w:sz w:val="16"/>
          <w:szCs w:val="16"/>
        </w:rPr>
        <w:t>, octobre 2024. PEA : ~7 millions de titulaires fin 2024 (1,8 M en 1995). Détention d’actions cotées en direct : 12,5 % en 2024 (vs 6,9 % en 2020).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7C22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2E9B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77717420">
    <w:abstractNumId w:val="0"/>
  </w:num>
  <w:num w:numId="2" w16cid:durableId="418527325">
    <w:abstractNumId w:val="1"/>
  </w:num>
  <w:num w:numId="3" w16cid:durableId="573779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nuel blezes">
    <w15:presenceInfo w15:providerId="Windows Live" w15:userId="d56bfe70683df4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F0342"/>
    <w:rsid w:val="003642F7"/>
    <w:rsid w:val="006F67CF"/>
    <w:rsid w:val="00BF0342"/>
    <w:rsid w:val="00D06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F5241B"/>
  <w15:docId w15:val="{91C5EF1E-1199-F745-BD12-1822B06DF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06B1C"/>
    <w:pPr>
      <w:spacing w:after="100"/>
    </w:pPr>
  </w:style>
  <w:style w:type="paragraph" w:styleId="TOC2">
    <w:name w:val="toc 2"/>
    <w:basedOn w:val="Normal"/>
    <w:next w:val="Normal"/>
    <w:autoRedefine/>
    <w:uiPriority w:val="39"/>
    <w:rsid w:val="00D06B1C"/>
    <w:pPr>
      <w:spacing w:after="100"/>
      <w:ind w:left="240"/>
    </w:pPr>
  </w:style>
  <w:style w:type="paragraph" w:styleId="TOC3">
    <w:name w:val="toc 3"/>
    <w:basedOn w:val="Normal"/>
    <w:next w:val="Normal"/>
    <w:autoRedefine/>
    <w:uiPriority w:val="39"/>
    <w:rsid w:val="00D06B1C"/>
    <w:pPr>
      <w:spacing w:after="100"/>
      <w:ind w:left="480"/>
    </w:pPr>
  </w:style>
  <w:style w:type="paragraph" w:styleId="Revision">
    <w:name w:val="Revision"/>
    <w:hidden/>
    <w:rsid w:val="00D06B1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rafp.fr/en/about-us/about-us" TargetMode="External"/><Relationship Id="rId18" Type="http://schemas.openxmlformats.org/officeDocument/2006/relationships/hyperlink" Target="https://www.oecd.org/en/publications/2025/11/pensions-at-a-glance-2025_76510fe4.html" TargetMode="External"/><Relationship Id="rId26" Type="http://schemas.openxmlformats.org/officeDocument/2006/relationships/hyperlink" Target="https://rafp-ra2024.fr/" TargetMode="External"/><Relationship Id="rId39" Type="http://schemas.openxmlformats.org/officeDocument/2006/relationships/hyperlink" Target="https://shs.cairn.info/revue-d-histoire-de-la-protection-sociale-2020-1-page-23?lang=fr" TargetMode="External"/><Relationship Id="rId21" Type="http://schemas.openxmlformats.org/officeDocument/2006/relationships/hyperlink" Target="https://www.ccomptes.fr" TargetMode="External"/><Relationship Id="rId34" Type="http://schemas.openxmlformats.org/officeDocument/2006/relationships/hyperlink" Target="https://www.institutmolinari.org/2025/01/16/augmentons-le-fonds-de-reserve-pour-les-retraites-pour-restaurer-les-finances-publiques/" TargetMode="External"/><Relationship Id="rId42" Type="http://schemas.openxmlformats.org/officeDocument/2006/relationships/hyperlink" Target="https://www.cgt.fr/actualites/retraites/la-capitalisation-nest-pas-une-solution-cest-une-regression-sociale-58" TargetMode="External"/><Relationship Id="rId7" Type="http://schemas.openxmlformats.org/officeDocument/2006/relationships/hyperlink" Target="https://www.ipsos.com/fr-fr/barometre-les-francais-lepargne-et-la-retraite-lintention-depargner-atteint-un-niveau-record-en-2025" TargetMode="External"/><Relationship Id="rId2" Type="http://schemas.openxmlformats.org/officeDocument/2006/relationships/hyperlink" Target="https://www.calpers.ca.gov/documents/calpers-portfolio-partnership-report-as-of-december-31-2024/download?inline=" TargetMode="External"/><Relationship Id="rId16" Type="http://schemas.openxmlformats.org/officeDocument/2006/relationships/hyperlink" Target="https://www.fondapol.org/etude/retraites-optimiser-les-depenses-introduire-une-part-de-capitalisation/" TargetMode="External"/><Relationship Id="rId20" Type="http://schemas.openxmlformats.org/officeDocument/2006/relationships/hyperlink" Target="https://www.cor-retraites.fr/rapports-du-cor/rapport-annuel-cor-juin-2025-evolutions-perspectives-retraites-france" TargetMode="External"/><Relationship Id="rId29" Type="http://schemas.openxmlformats.org/officeDocument/2006/relationships/hyperlink" Target="https://ap2.se/en/the-ap-funds-strengthen-the-income-pension-system-by-sek-182-billion/" TargetMode="External"/><Relationship Id="rId41" Type="http://schemas.openxmlformats.org/officeDocument/2006/relationships/hyperlink" Target="https://www.oecd.org/en/publications/oecd-infe-2023-international-survey-of-adult-financial-literacy_56003a32-en.html" TargetMode="External"/><Relationship Id="rId1" Type="http://schemas.openxmlformats.org/officeDocument/2006/relationships/hyperlink" Target="https://presse.economie.gouv.fr/letat-obtient-les-garanties-du-maintien-et-du-developpement-dopella-en-france/" TargetMode="External"/><Relationship Id="rId6" Type="http://schemas.openxmlformats.org/officeDocument/2006/relationships/hyperlink" Target="https://elabe.fr/systeme-retraite-2025/" TargetMode="External"/><Relationship Id="rId11" Type="http://schemas.openxmlformats.org/officeDocument/2006/relationships/hyperlink" Target="https://rafp-ra2024.fr/" TargetMode="External"/><Relationship Id="rId24" Type="http://schemas.openxmlformats.org/officeDocument/2006/relationships/hyperlink" Target="https://rafp-ra2024.fr/" TargetMode="External"/><Relationship Id="rId32" Type="http://schemas.openxmlformats.org/officeDocument/2006/relationships/hyperlink" Target="https://www.espace-social.com/agirc-arrco-un-resultat-global-de-14-md-e-en-2025-et-des-reserves-de-plus-de-91-mds/" TargetMode="External"/><Relationship Id="rId37" Type="http://schemas.openxmlformats.org/officeDocument/2006/relationships/hyperlink" Target="https://www.fondapol.org/etude/contribution-a-la-mission-flash-de-clarification-du-financement-des-retraites/" TargetMode="External"/><Relationship Id="rId40" Type="http://schemas.openxmlformats.org/officeDocument/2006/relationships/hyperlink" Target="https://www.amf-france.org/sites/institutionnel/files/private/2025-01/barometre-amf-2024-octobre-2024-version-publiable_0.pdf" TargetMode="External"/><Relationship Id="rId5" Type="http://schemas.openxmlformats.org/officeDocument/2006/relationships/hyperlink" Target="https://presse.groupama.com/actualites/sondage-retraite-odoxa-pour-groupama-reforme-des-retraites-que-veulent-et-ne-veulent-plus-les-francais-3a371-55f34.html" TargetMode="External"/><Relationship Id="rId15" Type="http://schemas.openxmlformats.org/officeDocument/2006/relationships/hyperlink" Target="https://www.cor-retraites.fr/sites/default/files/2024-07/Fiche_RAFP_vf.pdf" TargetMode="External"/><Relationship Id="rId23" Type="http://schemas.openxmlformats.org/officeDocument/2006/relationships/hyperlink" Target="https://www.rafp.fr/en/actualites/presse/pour-ses-vingt-ans-regime-additionnel-fonction-publique-saffirme-comme-regime-performant" TargetMode="External"/><Relationship Id="rId28" Type="http://schemas.openxmlformats.org/officeDocument/2006/relationships/hyperlink" Target="https://www.heritage.org/social-security/report/pension-reform-sweden-lessons-american-policymakers" TargetMode="External"/><Relationship Id="rId36" Type="http://schemas.openxmlformats.org/officeDocument/2006/relationships/hyperlink" Target="https://www.institutmolinari.org/2025/01/16/augmentons-le-fonds-de-reserve-pour-les-retraites-pour-restaurer-les-finances-publiques/" TargetMode="External"/><Relationship Id="rId10" Type="http://schemas.openxmlformats.org/officeDocument/2006/relationships/hyperlink" Target="https://www.rafp.fr/en/actualites/presse/pour-ses-vingt-ans-regime-additionnel-fonction-publique-saffirme-comme-regime-performant" TargetMode="External"/><Relationship Id="rId19" Type="http://schemas.openxmlformats.org/officeDocument/2006/relationships/hyperlink" Target="https://www.banque-france.fr/fr/statistiques/epargne-et-patrimoine-financier-des-menages" TargetMode="External"/><Relationship Id="rId31" Type="http://schemas.openxmlformats.org/officeDocument/2006/relationships/hyperlink" Target="https://www.publicsenat.fr/actualites/politique/reforme-des-retraites-la-droite-senatoriale-envisage-de-ranimer-le-fonds-de" TargetMode="External"/><Relationship Id="rId44" Type="http://schemas.openxmlformats.org/officeDocument/2006/relationships/hyperlink" Target="https://www.cor-retraites.fr/sites/default/files/2025-06/RA_2025_def_publi.pdf" TargetMode="External"/><Relationship Id="rId4" Type="http://schemas.openxmlformats.org/officeDocument/2006/relationships/hyperlink" Target="https://www.opinion-way.com/fr/publications/les-francais-la-viabilite-du-systeme-de-retraites-et-linvestissement-2026-22219/" TargetMode="External"/><Relationship Id="rId9" Type="http://schemas.openxmlformats.org/officeDocument/2006/relationships/hyperlink" Target="https://www.amf-france.org/sites/institutionnel/files/private/2025-01/barometre-amf-2024-octobre-2024-version-publiable_0.pdf" TargetMode="External"/><Relationship Id="rId14" Type="http://schemas.openxmlformats.org/officeDocument/2006/relationships/hyperlink" Target="https://www.ifrap.org/retraite/retraite-par-capitalisation-de-la-fonction-publique-rafp-une-lecon-deconomie" TargetMode="External"/><Relationship Id="rId22" Type="http://schemas.openxmlformats.org/officeDocument/2006/relationships/hyperlink" Target="https://www.cor-retraites.fr/sites/default/files/2023-09/Doc_07_Note%20J-P.%20Beaufret.pdf" TargetMode="External"/><Relationship Id="rId27" Type="http://schemas.openxmlformats.org/officeDocument/2006/relationships/hyperlink" Target="https://www.ap4.se/en/about-ap4/our-history/" TargetMode="External"/><Relationship Id="rId30" Type="http://schemas.openxmlformats.org/officeDocument/2006/relationships/hyperlink" Target="https://www.europeanpensions.net/ep/Swedens-AP-Funds-achieve-combined-result-of-SEK-182bn-in-2024.php" TargetMode="External"/><Relationship Id="rId35" Type="http://schemas.openxmlformats.org/officeDocument/2006/relationships/hyperlink" Target="https://www.fondapol.org/etude/vers-un-systeme-de-retraite-mixte-repartition-capitalisation/" TargetMode="External"/><Relationship Id="rId43" Type="http://schemas.openxmlformats.org/officeDocument/2006/relationships/hyperlink" Target="https://www.cfecgc.org/actualites/la-retraite-par-capitalisation-au-coeur-des-discussions" TargetMode="External"/><Relationship Id="rId8" Type="http://schemas.openxmlformats.org/officeDocument/2006/relationships/hyperlink" Target="https://www.opinion-way.com/fr/publications/les-francais-la-viabilite-du-systeme-de-retraites-et-linvestissement-2026-22219/" TargetMode="External"/><Relationship Id="rId3" Type="http://schemas.openxmlformats.org/officeDocument/2006/relationships/hyperlink" Target="https://www.cdr-inc.com/firm-profile" TargetMode="External"/><Relationship Id="rId12" Type="http://schemas.openxmlformats.org/officeDocument/2006/relationships/hyperlink" Target="https://www.legifrance.gouv.fr/loda/article_lc/LEGIARTI000046874577" TargetMode="External"/><Relationship Id="rId17" Type="http://schemas.openxmlformats.org/officeDocument/2006/relationships/hyperlink" Target="https://presse.economie.gouv.fr/epargne-retraite-deploiement-du-per-plus-de-11-millions-de-titulaires-et-pres-de-119-milliards-dencours-au-troisieme-trimestre-2024/" TargetMode="External"/><Relationship Id="rId25" Type="http://schemas.openxmlformats.org/officeDocument/2006/relationships/hyperlink" Target="https://www.rafp.fr/en/actualites/presse/pour-ses-vingt-ans-regime-additionnel-fonction-publique-saffirme-comme-regime-performant" TargetMode="External"/><Relationship Id="rId33" Type="http://schemas.openxmlformats.org/officeDocument/2006/relationships/hyperlink" Target="https://www.fondapol.org/etude/vers-un-systeme-de-retraite-mixte-repartition-capitalisation/" TargetMode="External"/><Relationship Id="rId38" Type="http://schemas.openxmlformats.org/officeDocument/2006/relationships/hyperlink" Target="https://www.legifrance.gouv.fr/jorf/id/JORFTEXT0000005210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129</Pages>
  <Words>50339</Words>
  <Characters>260255</Characters>
  <Application>Microsoft Office Word</Application>
  <DocSecurity>0</DocSecurity>
  <Lines>3943</Lines>
  <Paragraphs>887</Paragraphs>
  <ScaleCrop>false</ScaleCrop>
  <Company/>
  <LinksUpToDate>false</LinksUpToDate>
  <CharactersWithSpaces>309707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Capitalisons</dc:title>
  <dc:creator>Où Va l’Argent</dc:creator>
  <cp:keywords/>
  <cp:lastModifiedBy>emmanuel blezes</cp:lastModifiedBy>
  <cp:revision>2</cp:revision>
  <dcterms:created xsi:type="dcterms:W3CDTF">2026-06-22T13:37:00Z</dcterms:created>
  <dcterms:modified xsi:type="dcterms:W3CDTF">2026-06-22T14:09:00Z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1.4</vt:lpwstr>
  </property>
  <property fmtid="{D5CDD505-2E9C-101B-9397-08002B2CF9AE}" pid="7" name="links-as-notes">
    <vt:lpwstr>True</vt:lpwstr>
  </property>
  <property fmtid="{D5CDD505-2E9C-101B-9397-08002B2CF9AE}" pid="8" name="mainfont">
    <vt:lpwstr>Cambria</vt:lpwstr>
  </property>
  <property fmtid="{D5CDD505-2E9C-101B-9397-08002B2CF9AE}" pid="9" name="notes-after-punctuation">
    <vt:lpwstr>True</vt:lpwstr>
  </property>
  <property fmtid="{D5CDD505-2E9C-101B-9397-08002B2CF9AE}" pid="10" name="numbersections">
    <vt:lpwstr>False</vt:lpwstr>
  </property>
  <property fmtid="{D5CDD505-2E9C-101B-9397-08002B2CF9AE}" pid="11" name="reference-section-title">
    <vt:lpwstr>Notes</vt:lpwstr>
  </property>
  <property fmtid="{D5CDD505-2E9C-101B-9397-08002B2CF9AE}" pid="12" name="secnumdepth">
    <vt:lpwstr>0</vt:lpwstr>
  </property>
  <property fmtid="{D5CDD505-2E9C-101B-9397-08002B2CF9AE}" pid="13" name="subtitle">
    <vt:lpwstr>La France et son capital absent</vt:lpwstr>
  </property>
  <property fmtid="{D5CDD505-2E9C-101B-9397-08002B2CF9AE}" pid="14" name="toc">
    <vt:lpwstr>True</vt:lpwstr>
  </property>
  <property fmtid="{D5CDD505-2E9C-101B-9397-08002B2CF9AE}" pid="15" name="toc-depth">
    <vt:lpwstr>2</vt:lpwstr>
  </property>
</Properties>
</file>