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L'intelligence artificielle, notre nouveau détroit d'Ormuz</w:t>
      </w:r>
    </w:p>
    <w:p>
      <w:pPr>
        <w:spacing w:after="280"/>
      </w:pPr>
      <w:r>
        <w:rPr>
          <w:i/>
          <w:iCs/>
          <w:color w:val="555555"/>
          <w:sz w:val="22"/>
          <w:szCs w:val="22"/>
        </w:rPr>
        <w:t xml:space="preserve">Tribune — Emmanuel Blézès (Où Va l'Argent ?)</w:t>
      </w:r>
    </w:p>
    <w:p>
      <w:pPr>
        <w:spacing w:after="160" w:line="276"/>
        <w:jc w:val="both"/>
      </w:pPr>
      <w:r>
        <w:t xml:space="preserve">Il y a quelques semaines, l'Iran a rappelé au monde une vérité oubliée : la géographie reste une arme. En annonçant la fermeture du détroit d'Ormuz après les frappes américaines sur son sol, Téhéran n'a pas eu besoin de tirer un missile sur les marchés — il lui a suffi de menacer de fermer un robinet. Par ce goulet de quelques kilomètres de large transite une part majeure du pétrole de la planète ; le fermer, c'est faire payer au monde entier le prix d'une escalade</w:t>
      </w:r>
      <w:r>
        <w:rPr>
          <w:rStyle w:val="FootnoteReference"/>
        </w:rPr>
        <w:footnoteReference w:id="20"/>
      </w:r>
      <w:r>
        <w:t xml:space="preserve">. Voilà la logique du point d'étranglement : celui qui le tient n'a pas besoin de frapper. Il lui suffit de couper.</w:t>
      </w:r>
    </w:p>
    <w:p>
      <w:pPr>
        <w:spacing w:after="160" w:line="276"/>
        <w:jc w:val="both"/>
      </w:pPr>
      <w:r>
        <w:t xml:space="preserve">Cette logique, une autre puissance vient de l'appliquer — à un tout autre robinet. En réservant à ses seuls ressortissants l'accès au dernier modèle de Claude, le plus avancé du marché, les États-Unis ont montré, eux aussi sans un coup de feu, qu'ils peuvent fermer une vanne : celle de la technologie. Car l'intelligence artificielle est devenue ce que fut le pétrole au XXᵉ siècle — une ressource stratégique. Et une ressource stratégique, cela se contrôle, se rationne, se ferme.</w:t>
      </w:r>
    </w:p>
    <w:p>
      <w:pPr>
        <w:spacing w:after="160" w:line="276"/>
        <w:jc w:val="both"/>
      </w:pPr>
      <w:r>
        <w:t xml:space="preserve">L'Iran n'a pas la technologie, mais il a un détroit. Les États-Unis n'ont pas Ormuz, mais ils tiennent les puces, les modèles et les centres de calcul du monde entier. Le Moyen-Orient a le pétrole, l'Amérique a la technologie — et nous, Européens, qu'avons-nous ?</w:t>
      </w:r>
    </w:p>
    <w:p>
      <w:pPr>
        <w:pStyle w:val="Heading2"/>
      </w:pPr>
      <w:r>
        <w:t xml:space="preserve">Qu'avons-nous ?</w:t>
      </w:r>
    </w:p>
    <w:p>
      <w:pPr>
        <w:spacing w:after="160" w:line="276"/>
        <w:jc w:val="both"/>
      </w:pPr>
      <w:r>
        <w:t xml:space="preserve">Regardons les chiffres en face, car ils sont sans appel. L'Europe ne pèse plus que 5 % de la puissance de calcul mondiale dédiée à l'IA, contre près de 75 % pour les seuls États-Unis</w:t>
      </w:r>
      <w:r>
        <w:rPr>
          <w:rStyle w:val="FootnoteReference"/>
        </w:rPr>
        <w:footnoteReference w:id="1"/>
      </w:r>
      <w:r>
        <w:t xml:space="preserve">. Plus de 70 % de notre marché du cloud est aux mains de trois groupes américains — Amazon, Microsoft, Google</w:t>
      </w:r>
      <w:r>
        <w:rPr>
          <w:rStyle w:val="FootnoteReference"/>
        </w:rPr>
        <w:footnoteReference w:id="2"/>
      </w:r>
      <w:r>
        <w:t xml:space="preserve">. Les laboratoires américains ont publié une quarantaine de modèles d'IA majeurs en 2024 ; l'Europe, trois</w:t>
      </w:r>
      <w:r>
        <w:rPr>
          <w:rStyle w:val="FootnoteReference"/>
        </w:rPr>
        <w:footnoteReference w:id="3"/>
      </w:r>
      <w:r>
        <w:t xml:space="preserve">. Côté financement, le grand écart devient vertige : OpenAI est valorisé autour de 850 milliards de dollars</w:t>
      </w:r>
      <w:r>
        <w:rPr>
          <w:rStyle w:val="FootnoteReference"/>
        </w:rPr>
        <w:footnoteReference w:id="4"/>
      </w:r>
      <w:r>
        <w:t xml:space="preserve">, Anthropic approche les 1 000</w:t>
      </w:r>
      <w:r>
        <w:rPr>
          <w:rStyle w:val="FootnoteReference"/>
        </w:rPr>
        <w:footnoteReference w:id="5"/>
      </w:r>
      <w:r>
        <w:t xml:space="preserve"> ; notre champion, Mistral, plafonne autour de 12 milliards d'euros</w:t>
      </w:r>
      <w:r>
        <w:rPr>
          <w:rStyle w:val="FootnoteReference"/>
        </w:rPr>
        <w:footnoteReference w:id="6"/>
      </w:r>
      <w:r>
        <w:t xml:space="preserve">. Soixante-dix fois moins. Les hyperscalers américains investissent plus de 300 milliards de dollars par an dans leurs infrastructures</w:t>
      </w:r>
      <w:r>
        <w:rPr>
          <w:rStyle w:val="FootnoteReference"/>
        </w:rPr>
        <w:footnoteReference w:id="7"/>
      </w:r>
      <w:r>
        <w:t xml:space="preserve"> ; l'Europe entière, à peine plus d'une dizaine.</w:t>
      </w:r>
    </w:p>
    <w:p>
      <w:pPr>
        <w:spacing w:after="160" w:line="276"/>
        <w:jc w:val="both"/>
      </w:pPr>
      <w:r>
        <w:t xml:space="preserve">La couche matérielle n'est pas plus rassurante. L'Europe ne fabrique plus que 8 % des semi-conducteurs mondiaux, contre 44 % en 1990</w:t>
      </w:r>
      <w:r>
        <w:rPr>
          <w:rStyle w:val="FootnoteReference"/>
        </w:rPr>
        <w:footnoteReference w:id="8"/>
      </w:r>
      <w:r>
        <w:t xml:space="preserve"> ; les plus avancés sortent à plus de 90 % d'une seule île, Taïwan</w:t>
      </w:r>
      <w:r>
        <w:rPr>
          <w:rStyle w:val="FootnoteReference"/>
        </w:rPr>
        <w:footnoteReference w:id="9"/>
      </w:r>
      <w:r>
        <w:t xml:space="preserve">. Et le talent, nerf de la guerre, file dans le même sens : 59 % des meilleurs chercheurs en IA de la planète travaillent aux États-Unis ; la France en retient 4 %</w:t>
      </w:r>
      <w:r>
        <w:rPr>
          <w:rStyle w:val="FootnoteReference"/>
        </w:rPr>
        <w:footnoteReference w:id="10"/>
      </w:r>
      <w:r>
        <w:t xml:space="preserve">. Chaque année, quelque 15 000 jeunes diplômés de nos écoles d'ingénieurs partent commencer leur carrière ailleurs</w:t>
      </w:r>
      <w:r>
        <w:rPr>
          <w:rStyle w:val="FootnoteReference"/>
        </w:rPr>
        <w:footnoteReference w:id="11"/>
      </w:r>
      <w:r>
        <w:t xml:space="preserve">. Nous formons, l'Amérique récolte.</w:t>
      </w:r>
    </w:p>
    <w:p>
      <w:pPr>
        <w:spacing w:after="160" w:line="276"/>
        <w:jc w:val="both"/>
      </w:pPr>
      <w:r>
        <w:t xml:space="preserve">Alors, qu'avons-nous ? Un marché de 450 millions de consommateurs — que nous ouvrons sans condition. Une épargne parmi les plus abondantes du monde — qui s'en va financer la Silicon Valley. Des ingénieurs formés à prix d'or par nos universités publiques — que nous laissons partir. Et un seul véritable goulet d'étranglement bien à nous : le néerlandais ASML, qui détient 100 % du marché des machines de gravure les plus fines</w:t>
      </w:r>
      <w:r>
        <w:rPr>
          <w:rStyle w:val="FootnoteReference"/>
        </w:rPr>
        <w:footnoteReference w:id="12"/>
      </w:r>
      <w:r>
        <w:t xml:space="preserve">, sans lesquelles aucune puce de pointe n'existe. Notre Ormuz à nous. Mais nous le traitons en simple fournisseur, pas en levier de puissance. Nous avons des cartes. Nous ne les abattons jamais. Voilà ce qu'est une colonie numérique : un territoire qui consomme la technologie d'un autre, lui confie ses données, finance son innovation avec son épargne, lui envoie ses cerveaux — et s'en félicite, au nom de la modernité.</w:t>
      </w:r>
    </w:p>
    <w:p>
      <w:pPr>
        <w:pStyle w:val="Heading2"/>
      </w:pPr>
      <w:r>
        <w:t xml:space="preserve">Le piège de l'adoption naïve</w:t>
      </w:r>
    </w:p>
    <w:p>
      <w:pPr>
        <w:spacing w:after="160" w:line="276"/>
        <w:jc w:val="both"/>
      </w:pPr>
      <w:r>
        <w:t xml:space="preserve">Car c'est là le paradoxe du moment. Le discours dominant nous presse de déployer l'IA américaine partout — dans chaque administration, chaque hôpital, chaque PME — au nom de la productivité. L'intention est juste : une économie qui n'utilise pas ces outils décrochera. Mais dans un monde de puissances et de prédateurs, brancher tout notre appareil productif sur une ressource que nous ne maîtrisons pas, ce n'est pas se moderniser : c'est se lier les mains.</w:t>
      </w:r>
    </w:p>
    <w:p>
      <w:pPr>
        <w:spacing w:after="160" w:line="276"/>
        <w:jc w:val="both"/>
      </w:pPr>
      <w:r>
        <w:t xml:space="preserve">Le risque n'est pas théorique. Le CLOUD Act américain autorise les autorités des États-Unis à exiger d'une entreprise américaine l'accès aux données qu'elle détient, où qu'elles soient stockées — y compris sur un serveur « souverain » installé à Paris. En juin 2025, devant le Sénat français, Microsoft France a reconnu, sous serment, ne pas pouvoir garantir qu'un client français échappe à ce droit</w:t>
      </w:r>
      <w:r>
        <w:rPr>
          <w:rStyle w:val="FootnoteReference"/>
        </w:rPr>
        <w:footnoteReference w:id="13"/>
      </w:r>
      <w:r>
        <w:t xml:space="preserve">. Notre régulation, pourtant abondante — RGPD, AI Act</w:t>
      </w:r>
      <w:r>
        <w:rPr>
          <w:rStyle w:val="FootnoteReference"/>
        </w:rPr>
        <w:footnoteReference w:id="14"/>
      </w:r>
      <w:r>
        <w:t xml:space="preserve">, Data Act —, encadre les usages mais reste muette sur l'essentiel : qui possède le calcul, qui héberge les modèles, qui peut nous couper l'accès. Quant à notre vieille loi de blocage de 1968, censée nous protéger de l'extraterritorialité américaine, un rapport parlementaire l'a qualifiée de « tigre de papier »</w:t>
      </w:r>
      <w:r>
        <w:rPr>
          <w:rStyle w:val="FootnoteReference"/>
        </w:rPr>
        <w:footnoteReference w:id="15"/>
      </w:r>
      <w:r>
        <w:t xml:space="preserve">.</w:t>
      </w:r>
    </w:p>
    <w:p>
      <w:pPr>
        <w:spacing w:after="160" w:line="276"/>
        <w:jc w:val="both"/>
      </w:pPr>
      <w:r>
        <w:t xml:space="preserve">Dépendre d'un fournisseur quand tout va bien est confortable. Le problème, c'est le jour où il décide que cela ne va plus. Ce jour est arrivé.</w:t>
      </w:r>
    </w:p>
    <w:p>
      <w:pPr>
        <w:pStyle w:val="Heading2"/>
      </w:pPr>
      <w:r>
        <w:t xml:space="preserve">Les conditions de notre souveraineté</w:t>
      </w:r>
    </w:p>
    <w:p>
      <w:pPr>
        <w:spacing w:after="160" w:line="276"/>
        <w:jc w:val="both"/>
      </w:pPr>
      <w:r>
        <w:t xml:space="preserve">La souveraineté ne se décrète pas, elle se construit — et elle a un coût. En refuser le principe au nom du libre-échange, c'est confondre l'ouverture avec la naïveté. Voici, sans angélisme, les quatre chantiers.</w:t>
      </w:r>
    </w:p>
    <w:p>
      <w:pPr>
        <w:spacing w:after="160" w:line="276"/>
        <w:jc w:val="both"/>
      </w:pPr>
      <w:r>
        <w:rPr>
          <w:b/>
          <w:bCs/>
        </w:rPr>
        <w:t xml:space="preserve">Juridique : faire de la souveraineté une norme, pas un vœu. </w:t>
      </w:r>
      <w:r>
        <w:t xml:space="preserve">L'État et les opérateurs critiques — santé, finance, énergie, défense — doivent réserver leurs marchés à des solutions immunisées contre les lois extraterritoriales, sur le modèle du label SecNumCloud de l'ANSSI. Une véritable préférence européenne dans la commande publique, comme les Américains la pratiquent sans complexe avec leur Buy American Act, donnerait à nos champions ce qui leur manque le plus : des clients. Il faut y ajouter une obligation de réversibilité — pouvoir changer de fournisseur sans tout reconstruire —, la localisation des données stratégiques sur le sol européen, et une loi de blocage enfin dotée de moyens, adossée au règlement européen de 1996</w:t>
      </w:r>
      <w:r>
        <w:rPr>
          <w:rStyle w:val="FootnoteReference"/>
        </w:rPr>
        <w:footnoteReference w:id="16"/>
      </w:r>
      <w:r>
        <w:t xml:space="preserve">. La règle doit être simple : pas de dépendance sans porte de sortie.</w:t>
      </w:r>
    </w:p>
    <w:p>
      <w:pPr>
        <w:spacing w:after="160" w:line="276"/>
        <w:jc w:val="both"/>
      </w:pPr>
      <w:r>
        <w:rPr>
          <w:b/>
          <w:bCs/>
        </w:rPr>
        <w:t xml:space="preserve">Fiscal : faire payer la rente pour financer l'autonomie. </w:t>
      </w:r>
      <w:r>
        <w:t xml:space="preserve">Les géants du numérique captent une valeur immense en Europe en y payant un impôt dérisoire. Le rendement de notre fiscalité du numérique doit être fléché vers l'IA souveraine : un crédit d'impôt orienté vers le calcul et la donnée, un suramortissement pour qui investit dans des centres de données européens, une fiscalité de la propriété intellectuelle (IP box) qui récompense ceux qui créent ici plutôt que ceux qui délocalisent. Et un régime fiscal des impatriés assez généreux pour redevenir attractif — l'impôt n'est pas qu'une recette, c'est aussi un signal.</w:t>
      </w:r>
    </w:p>
    <w:p>
      <w:pPr>
        <w:spacing w:after="160" w:line="276"/>
        <w:jc w:val="both"/>
      </w:pPr>
      <w:r>
        <w:rPr>
          <w:b/>
          <w:bCs/>
        </w:rPr>
        <w:t xml:space="preserve">Économique et financier : mobiliser notre propre argent. </w:t>
      </w:r>
      <w:r>
        <w:t xml:space="preserve">C'est notre angle mort le plus douloureux. L'Europe est riche : son épargne, parmi les plus abondantes du monde, finance massivement… l'économie américaine. Le rapport Draghi a chiffré le besoin à 800 milliards d'euros d'investissement supplémentaire par an pour rester dans la course</w:t>
      </w:r>
      <w:r>
        <w:rPr>
          <w:rStyle w:val="FootnoteReference"/>
        </w:rPr>
        <w:footnoteReference w:id="17"/>
      </w:r>
      <w:r>
        <w:t xml:space="preserve">. Cet argent existe — il dort sur des comptes ou s'expatrie. Une union de l'épargne et de l'investissement digne de ce nom, un fonds souverain européen, une fraction de notre assurance-vie orientée vers le calcul et les semi-conducteurs : voilà comment on rattrape un retard, pas avec quelques milliards d'argent public saupoudrés. La commande publique doit garantir la demande ; l'épargne privée doit financer l'offre ; et l'énergie, abondante et décarbonée, doit redevenir un avantage et non un goulet.</w:t>
      </w:r>
    </w:p>
    <w:p>
      <w:pPr>
        <w:spacing w:after="160" w:line="276"/>
        <w:jc w:val="both"/>
      </w:pPr>
      <w:r>
        <w:rPr>
          <w:b/>
          <w:bCs/>
        </w:rPr>
        <w:t xml:space="preserve">Talents : cesser de former pour les autres. </w:t>
      </w:r>
      <w:r>
        <w:t xml:space="preserve">On ne bâtira rien sans les femmes et les hommes qui font l'IA. L'initiative « Choose Europe » va dans le bon sens, mais l'intention ne suffit pas quand un chercheur gagne ici trois à cinq fois moins qu'à San Francisco. Il faut des rémunérations compétitives dans nos laboratoires, un accès garanti à la puissance de calcul pour nos universités, un visa « talent IA » délivré en quelques jours et non en quelques mois — aujourd'hui, l'Allemagne traite ces dossiers trois fois plus vite que nous</w:t>
      </w:r>
      <w:r>
        <w:rPr>
          <w:rStyle w:val="FootnoteReference"/>
        </w:rPr>
        <w:footnoteReference w:id="18"/>
      </w:r>
      <w:r>
        <w:t xml:space="preserve"> —, et une politique offensive de rapatriement, au moment précis où les coupes américaines dans la recherche poussent des milliers de scientifiques à regarder de nouveau vers l'Europe</w:t>
      </w:r>
      <w:r>
        <w:rPr>
          <w:rStyle w:val="FootnoteReference"/>
        </w:rPr>
        <w:footnoteReference w:id="19"/>
      </w:r>
      <w:r>
        <w:t xml:space="preserve">. La fenêtre est ouverte. Elle ne le restera pas.</w:t>
      </w:r>
    </w:p>
    <w:p>
      <w:pPr>
        <w:pStyle w:val="Heading2"/>
      </w:pPr>
      <w:r>
        <w:t xml:space="preserve">Lucidité, pas autarcie</w:t>
      </w:r>
    </w:p>
    <w:p>
      <w:pPr>
        <w:spacing w:after="160" w:line="276"/>
        <w:jc w:val="both"/>
      </w:pPr>
      <w:r>
        <w:t xml:space="preserve">Que les choses soient claires : il ne s'agit pas de se couper du monde ni de bannir les outils américains, qui sont remarquables et qu'il faudra continuer d'utiliser. Il s'agit de cesser d'être désarmés. La souveraineté n'est pas le repli ; c'est la liberté de choisir, et de ne pas pouvoir être coupé du jour au lendemain.</w:t>
      </w:r>
    </w:p>
    <w:p>
      <w:pPr>
        <w:spacing w:after="160" w:line="276"/>
        <w:jc w:val="both"/>
      </w:pPr>
      <w:r>
        <w:t xml:space="preserve">Le Moyen-Orient a fait du pétrole une arme ; l'Amérique fait de la technologie la sienne. La vraie question n'est donc plus de savoir ce que nous avons — un marché, une épargne, des cerveaux, un goulet d'étranglement. Elle est de savoir si nous déciderons, enfin, de nous en servir.</w:t>
      </w:r>
    </w:p>
    <w:p>
      <w:pPr>
        <w:spacing w:after="200" w:before="80"/>
        <w:jc w:val="both"/>
      </w:pPr>
      <w:r>
        <w:rPr>
          <w:b/>
          <w:bCs/>
        </w:rPr>
        <w:t xml:space="preserve">Où va l'argent ? Pour l'instant, à Washington. Il est encore temps de le ramener.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Epoch AI, « AI supercomputers : performance share by country », 2025. </w:t>
      </w:r>
      <w:hyperlink w:history="1" r:id="rIdfwg7_nv2mczyodchnmcv0">
        <w:r>
          <w:rPr>
            <w:rStyle w:val="Hyperlink"/>
            <w:sz w:val="18"/>
            <w:szCs w:val="18"/>
          </w:rPr>
          <w:t xml:space="preserve">https://epoch.ai/data-insights/ai-supercomputers-performance-share-by-country</w:t>
        </w:r>
      </w:hyperlink>
    </w:p>
  </w:footnote>
  <w:footnote w:id="2">
    <w:p>
      <w:r>
        <w:rPr>
          <w:rStyle w:val="FootnoteReference"/>
        </w:rPr>
        <w:footnoteRef/>
      </w:r>
      <w:r>
        <w:rPr>
          <w:sz w:val="18"/>
          <w:szCs w:val="18"/>
        </w:rPr>
        <w:t xml:space="preserve">Commission européenne, Cloud and AI Development Act (CADA) — part des hyperscalers américains &gt; 70 %. </w:t>
      </w:r>
      <w:hyperlink w:history="1" r:id="rIdvg4su_5d0-truwgbrvoni">
        <w:r>
          <w:rPr>
            <w:rStyle w:val="Hyperlink"/>
            <w:sz w:val="18"/>
            <w:szCs w:val="18"/>
          </w:rPr>
          <w:t xml:space="preserve">https://digital-strategy.ec.europa.eu/en/policies/cloud-and-ai-development-act</w:t>
        </w:r>
      </w:hyperlink>
    </w:p>
  </w:footnote>
  <w:footnote w:id="3">
    <w:p>
      <w:r>
        <w:rPr>
          <w:rStyle w:val="FootnoteReference"/>
        </w:rPr>
        <w:footnoteRef/>
      </w:r>
      <w:r>
        <w:rPr>
          <w:sz w:val="18"/>
          <w:szCs w:val="18"/>
        </w:rPr>
        <w:t xml:space="preserve">Stanford HAI, AI Index Report 2026. </w:t>
      </w:r>
      <w:hyperlink w:history="1" r:id="rIdkqkurchktzkl6wzl-iubt">
        <w:r>
          <w:rPr>
            <w:rStyle w:val="Hyperlink"/>
            <w:sz w:val="18"/>
            <w:szCs w:val="18"/>
          </w:rPr>
          <w:t xml:space="preserve">https://hai.stanford.edu/ai-index/2026-ai-index-report/economy</w:t>
        </w:r>
      </w:hyperlink>
    </w:p>
  </w:footnote>
  <w:footnote w:id="4">
    <w:p>
      <w:r>
        <w:rPr>
          <w:rStyle w:val="FootnoteReference"/>
        </w:rPr>
        <w:footnoteRef/>
      </w:r>
      <w:r>
        <w:rPr>
          <w:sz w:val="18"/>
          <w:szCs w:val="18"/>
        </w:rPr>
        <w:t xml:space="preserve">Bloomberg, « OpenAI valued at 852 billion », mars 2026. </w:t>
      </w:r>
      <w:hyperlink w:history="1" r:id="rIdxet10jeks34etga3bb_vf">
        <w:r>
          <w:rPr>
            <w:rStyle w:val="Hyperlink"/>
            <w:sz w:val="18"/>
            <w:szCs w:val="18"/>
          </w:rPr>
          <w:t xml:space="preserve">https://www.bloomberg.com/news/articles/2026-03-31/openai-valued-at-852-billion-after-completing-122-billion-round</w:t>
        </w:r>
      </w:hyperlink>
    </w:p>
  </w:footnote>
  <w:footnote w:id="5">
    <w:p>
      <w:r>
        <w:rPr>
          <w:rStyle w:val="FootnoteReference"/>
        </w:rPr>
        <w:footnoteRef/>
      </w:r>
      <w:r>
        <w:rPr>
          <w:sz w:val="18"/>
          <w:szCs w:val="18"/>
        </w:rPr>
        <w:t xml:space="preserve">TechCrunch, « Anthropic nears 1T valuation », mai 2026. </w:t>
      </w:r>
      <w:hyperlink w:history="1" r:id="rIdwoffqtjmy7e6gbedfemep">
        <w:r>
          <w:rPr>
            <w:rStyle w:val="Hyperlink"/>
            <w:sz w:val="18"/>
            <w:szCs w:val="18"/>
          </w:rPr>
          <w:t xml:space="preserve">https://techcrunch.com/2026/05/28/anthropic-raises-65-billion-nears-1t-valuation-ahead-of-ipo/</w:t>
        </w:r>
      </w:hyperlink>
    </w:p>
  </w:footnote>
  <w:footnote w:id="6">
    <w:p>
      <w:r>
        <w:rPr>
          <w:rStyle w:val="FootnoteReference"/>
        </w:rPr>
        <w:footnoteRef/>
      </w:r>
      <w:r>
        <w:rPr>
          <w:sz w:val="18"/>
          <w:szCs w:val="18"/>
        </w:rPr>
        <w:t xml:space="preserve">Mistral AI, levée Series C de 1,7 Md€ (valorisation ~12 Md€), sept. 2025. </w:t>
      </w:r>
      <w:hyperlink w:history="1" r:id="rIdgfjtps4t7j2l7vmkgrrpz">
        <w:r>
          <w:rPr>
            <w:rStyle w:val="Hyperlink"/>
            <w:sz w:val="18"/>
            <w:szCs w:val="18"/>
          </w:rPr>
          <w:t xml:space="preserve">https://mistral.ai/news/mistral-ai-raises-1-7-b-to-accelerate-technological-progress-with-ai/</w:t>
        </w:r>
      </w:hyperlink>
    </w:p>
  </w:footnote>
  <w:footnote w:id="7">
    <w:p>
      <w:r>
        <w:rPr>
          <w:rStyle w:val="FootnoteReference"/>
        </w:rPr>
        <w:footnoteRef/>
      </w:r>
      <w:r>
        <w:rPr>
          <w:sz w:val="18"/>
          <w:szCs w:val="18"/>
        </w:rPr>
        <w:t xml:space="preserve">GeoCoded / Sanchez VC, State of Global AI Compute, 2025. </w:t>
      </w:r>
      <w:hyperlink w:history="1" r:id="rIdqxd8zneqru700lkjwgvht">
        <w:r>
          <w:rPr>
            <w:rStyle w:val="Hyperlink"/>
            <w:sz w:val="18"/>
            <w:szCs w:val="18"/>
          </w:rPr>
          <w:t xml:space="preserve">https://www.sanchez.vc/geocoded-special-reports/state-of-global-ai-compute-2025-edition</w:t>
        </w:r>
      </w:hyperlink>
    </w:p>
  </w:footnote>
  <w:footnote w:id="8">
    <w:p>
      <w:r>
        <w:rPr>
          <w:rStyle w:val="FootnoteReference"/>
        </w:rPr>
        <w:footnoteRef/>
      </w:r>
      <w:r>
        <w:rPr>
          <w:sz w:val="18"/>
          <w:szCs w:val="18"/>
        </w:rPr>
        <w:t xml:space="preserve">SEMI Europe, « Europe's semiconductor awakening », 2025. </w:t>
      </w:r>
      <w:hyperlink w:history="1" r:id="rIdcjbalxq3xhuphgbmzze43">
        <w:r>
          <w:rPr>
            <w:rStyle w:val="Hyperlink"/>
            <w:sz w:val="18"/>
            <w:szCs w:val="18"/>
          </w:rPr>
          <w:t xml:space="preserve">https://www.semi.org/en/blogs/from-crisis-to-opportunity-europes-semiconductor-awakening</w:t>
        </w:r>
      </w:hyperlink>
    </w:p>
  </w:footnote>
  <w:footnote w:id="9">
    <w:p>
      <w:r>
        <w:rPr>
          <w:rStyle w:val="FootnoteReference"/>
        </w:rPr>
        <w:footnoteRef/>
      </w:r>
      <w:r>
        <w:rPr>
          <w:sz w:val="18"/>
          <w:szCs w:val="18"/>
        </w:rPr>
        <w:t xml:space="preserve">CSIS, « Silicon Island : Taiwan's importance », 2025. </w:t>
      </w:r>
      <w:hyperlink w:history="1" r:id="rIdjilimmwtc5oqllpjhwxq0">
        <w:r>
          <w:rPr>
            <w:rStyle w:val="Hyperlink"/>
            <w:sz w:val="18"/>
            <w:szCs w:val="18"/>
          </w:rPr>
          <w:t xml:space="preserve">https://www.csis.org/analysis/silicon-island-assessing-taiwans-importance-us-economic-growth-and-security</w:t>
        </w:r>
      </w:hyperlink>
    </w:p>
  </w:footnote>
  <w:footnote w:id="10">
    <w:p>
      <w:r>
        <w:rPr>
          <w:rStyle w:val="FootnoteReference"/>
        </w:rPr>
        <w:footnoteRef/>
      </w:r>
      <w:r>
        <w:rPr>
          <w:sz w:val="18"/>
          <w:szCs w:val="18"/>
        </w:rPr>
        <w:t xml:space="preserve">MacroPolo, The Global AI Talent Tracker 3.0. </w:t>
      </w:r>
      <w:hyperlink w:history="1" r:id="rIdp3wnvy7cwd6izzsb5lsn3">
        <w:r>
          <w:rPr>
            <w:rStyle w:val="Hyperlink"/>
            <w:sz w:val="18"/>
            <w:szCs w:val="18"/>
          </w:rPr>
          <w:t xml:space="preserve">https://macropolo.org/interactive/digital-projects/the-global-ai-talent-tracker/</w:t>
        </w:r>
      </w:hyperlink>
    </w:p>
  </w:footnote>
  <w:footnote w:id="11">
    <w:p>
      <w:r>
        <w:rPr>
          <w:rStyle w:val="FootnoteReference"/>
        </w:rPr>
        <w:footnoteRef/>
      </w:r>
      <w:r>
        <w:rPr>
          <w:sz w:val="18"/>
          <w:szCs w:val="18"/>
        </w:rPr>
        <w:t xml:space="preserve">GIS Reports, « Europe's brain drain ». </w:t>
      </w:r>
      <w:hyperlink w:history="1" r:id="rIdkgb0wadcmltcdnffjpzhw">
        <w:r>
          <w:rPr>
            <w:rStyle w:val="Hyperlink"/>
            <w:sz w:val="18"/>
            <w:szCs w:val="18"/>
          </w:rPr>
          <w:t xml:space="preserve">https://www.gisreportsonline.com/r/europe-brain-drain/</w:t>
        </w:r>
      </w:hyperlink>
    </w:p>
  </w:footnote>
  <w:footnote w:id="12">
    <w:p>
      <w:r>
        <w:rPr>
          <w:rStyle w:val="FootnoteReference"/>
        </w:rPr>
        <w:footnoteRef/>
      </w:r>
      <w:r>
        <w:rPr>
          <w:sz w:val="18"/>
          <w:szCs w:val="18"/>
        </w:rPr>
        <w:t xml:space="preserve">The Generalist, « ASML : a monopoly on magic » (ASML, 100 % du marché EUV). </w:t>
      </w:r>
      <w:hyperlink w:history="1" r:id="rIdupv4hlurgw0vhr_j0iydq">
        <w:r>
          <w:rPr>
            <w:rStyle w:val="Hyperlink"/>
            <w:sz w:val="18"/>
            <w:szCs w:val="18"/>
          </w:rPr>
          <w:t xml:space="preserve">https://www.generalist.com/p/asml</w:t>
        </w:r>
      </w:hyperlink>
    </w:p>
  </w:footnote>
  <w:footnote w:id="13">
    <w:p>
      <w:r>
        <w:rPr>
          <w:rStyle w:val="FootnoteReference"/>
        </w:rPr>
        <w:footnoteRef/>
      </w:r>
      <w:r>
        <w:rPr>
          <w:sz w:val="18"/>
          <w:szCs w:val="18"/>
        </w:rPr>
        <w:t xml:space="preserve">Audition de Microsoft France au Sénat, juin 2025 (Usine Digitale). </w:t>
      </w:r>
      <w:hyperlink w:history="1" r:id="rIddsl3xq80evfqce_dt50na">
        <w:r>
          <w:rPr>
            <w:rStyle w:val="Hyperlink"/>
            <w:sz w:val="18"/>
            <w:szCs w:val="18"/>
          </w:rPr>
          <w:t xml:space="preserve">https://www.usine-digitale.fr/article/microsoft-souverainete-cloud.html</w:t>
        </w:r>
      </w:hyperlink>
    </w:p>
  </w:footnote>
  <w:footnote w:id="14">
    <w:p>
      <w:r>
        <w:rPr>
          <w:rStyle w:val="FootnoteReference"/>
        </w:rPr>
        <w:footnoteRef/>
      </w:r>
      <w:r>
        <w:rPr>
          <w:sz w:val="18"/>
          <w:szCs w:val="18"/>
        </w:rPr>
        <w:t xml:space="preserve">Règlement (UE) 2024/1689 du 13 juin 2024 (AI Act). </w:t>
      </w:r>
      <w:hyperlink w:history="1" r:id="rIdqz7zki7omaqdk3mkkee4l">
        <w:r>
          <w:rPr>
            <w:rStyle w:val="Hyperlink"/>
            <w:sz w:val="18"/>
            <w:szCs w:val="18"/>
          </w:rPr>
          <w:t xml:space="preserve">https://eur-lex.europa.eu/legal-content/FR/TXT/?uri=OJ:L_202401689</w:t>
        </w:r>
      </w:hyperlink>
    </w:p>
  </w:footnote>
  <w:footnote w:id="15">
    <w:p>
      <w:r>
        <w:rPr>
          <w:rStyle w:val="FootnoteReference"/>
        </w:rPr>
        <w:footnoteRef/>
      </w:r>
      <w:r>
        <w:rPr>
          <w:sz w:val="18"/>
          <w:szCs w:val="18"/>
        </w:rPr>
        <w:t xml:space="preserve">Rapport Gauvain, « Rétablir la souveraineté de la France et de l'Europe », 2019. </w:t>
      </w:r>
      <w:hyperlink w:history="1" r:id="rIdfxlowny9x2jku_blhyx7a">
        <w:r>
          <w:rPr>
            <w:rStyle w:val="Hyperlink"/>
            <w:sz w:val="18"/>
            <w:szCs w:val="18"/>
          </w:rPr>
          <w:t xml:space="preserve">https://www.vie-publique.fr/files/rapport/pdf/194000532.pdf</w:t>
        </w:r>
      </w:hyperlink>
    </w:p>
  </w:footnote>
  <w:footnote w:id="16">
    <w:p>
      <w:r>
        <w:rPr>
          <w:rStyle w:val="FootnoteReference"/>
        </w:rPr>
        <w:footnoteRef/>
      </w:r>
      <w:r>
        <w:rPr>
          <w:sz w:val="18"/>
          <w:szCs w:val="18"/>
        </w:rPr>
        <w:t xml:space="preserve">Règlement (CE) 2271/96 (loi de blocage de l'Union européenne), 1996. </w:t>
      </w:r>
      <w:hyperlink w:history="1" r:id="rIdky6boo3nr9s0knhdsbmag">
        <w:r>
          <w:rPr>
            <w:rStyle w:val="Hyperlink"/>
            <w:sz w:val="18"/>
            <w:szCs w:val="18"/>
          </w:rPr>
          <w:t xml:space="preserve">https://eur-lex.europa.eu/legal-content/FR/ALL/?uri=CELEX:31996R2271</w:t>
        </w:r>
      </w:hyperlink>
    </w:p>
  </w:footnote>
  <w:footnote w:id="17">
    <w:p>
      <w:r>
        <w:rPr>
          <w:rStyle w:val="FootnoteReference"/>
        </w:rPr>
        <w:footnoteRef/>
      </w:r>
      <w:r>
        <w:rPr>
          <w:sz w:val="18"/>
          <w:szCs w:val="18"/>
        </w:rPr>
        <w:t xml:space="preserve">Commission européenne, Rapport Draghi sur la compétitivité, 2024. </w:t>
      </w:r>
      <w:hyperlink w:history="1" r:id="rId1rph0h5fogybnu7mw9hqq">
        <w:r>
          <w:rPr>
            <w:rStyle w:val="Hyperlink"/>
            <w:sz w:val="18"/>
            <w:szCs w:val="18"/>
          </w:rPr>
          <w:t xml:space="preserve">https://commission.europa.eu/topics/competitiveness/draghi-report_en</w:t>
        </w:r>
      </w:hyperlink>
    </w:p>
  </w:footnote>
  <w:footnote w:id="18">
    <w:p>
      <w:r>
        <w:rPr>
          <w:rStyle w:val="FootnoteReference"/>
        </w:rPr>
        <w:footnoteRef/>
      </w:r>
      <w:r>
        <w:rPr>
          <w:sz w:val="18"/>
          <w:szCs w:val="18"/>
        </w:rPr>
        <w:t xml:space="preserve">Jobbatical, délais de visa de travail en Allemagne, 2026. </w:t>
      </w:r>
      <w:hyperlink w:history="1" r:id="rIdpn6blcticl-v_d5p-35gm">
        <w:r>
          <w:rPr>
            <w:rStyle w:val="Hyperlink"/>
            <w:sz w:val="18"/>
            <w:szCs w:val="18"/>
          </w:rPr>
          <w:t xml:space="preserve">https://www.jobbatical.com/blog/germany-work-visa-processing-timeline</w:t>
        </w:r>
      </w:hyperlink>
    </w:p>
  </w:footnote>
  <w:footnote w:id="19">
    <w:p>
      <w:r>
        <w:rPr>
          <w:rStyle w:val="FootnoteReference"/>
        </w:rPr>
        <w:footnoteRef/>
      </w:r>
      <w:r>
        <w:rPr>
          <w:sz w:val="18"/>
          <w:szCs w:val="18"/>
        </w:rPr>
        <w:t xml:space="preserve">Euronews, « The AI brain drain : why Europe can't keep the talent it trains », 2026. </w:t>
      </w:r>
      <w:hyperlink w:history="1" r:id="rIduykivwno1f5k9koeeygoi">
        <w:r>
          <w:rPr>
            <w:rStyle w:val="Hyperlink"/>
            <w:sz w:val="18"/>
            <w:szCs w:val="18"/>
          </w:rPr>
          <w:t xml:space="preserve">https://www.euronews.com/my-europe/2026/01/29/the-ai-brain-drain-why-europe-cant-keep-the-talent-it-trains</w:t>
        </w:r>
      </w:hyperlink>
    </w:p>
  </w:footnote>
  <w:footnote w:id="20">
    <w:p>
      <w:r>
        <w:rPr>
          <w:rStyle w:val="FootnoteReference"/>
        </w:rPr>
        <w:footnoteRef/>
      </w:r>
      <w:r>
        <w:rPr>
          <w:sz w:val="18"/>
          <w:szCs w:val="18"/>
        </w:rPr>
        <w:t xml:space="preserve">Franceinfo, « Crise dans le détroit d'Ormuz » (fermeture annoncée par l'Iran après les frappes américaines), 2026. </w:t>
      </w:r>
      <w:hyperlink w:history="1" r:id="rIdntmqp5cu71uofxozuzqaz">
        <w:r>
          <w:rPr>
            <w:rStyle w:val="Hyperlink"/>
            <w:sz w:val="18"/>
            <w:szCs w:val="18"/>
          </w:rPr>
          <w:t xml:space="preserve">https://www.franceinfo.fr/monde/iran/crise-dans-le-detroit-d-ormuz/</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60"/>
      <w:outlineLvl w:val="1"/>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Relationship Id="rIdfwg7_nv2mczyodchnmcv0" Type="http://schemas.openxmlformats.org/officeDocument/2006/relationships/hyperlink" Target="https://epoch.ai/data-insights/ai-supercomputers-performance-share-by-country" TargetMode="External"/><Relationship Id="rIdvg4su_5d0-truwgbrvoni" Type="http://schemas.openxmlformats.org/officeDocument/2006/relationships/hyperlink" Target="https://digital-strategy.ec.europa.eu/en/policies/cloud-and-ai-development-act" TargetMode="External"/><Relationship Id="rIdkqkurchktzkl6wzl-iubt" Type="http://schemas.openxmlformats.org/officeDocument/2006/relationships/hyperlink" Target="https://hai.stanford.edu/ai-index/2026-ai-index-report/economy" TargetMode="External"/><Relationship Id="rIdxet10jeks34etga3bb_vf" Type="http://schemas.openxmlformats.org/officeDocument/2006/relationships/hyperlink" Target="https://www.bloomberg.com/news/articles/2026-03-31/openai-valued-at-852-billion-after-completing-122-billion-round" TargetMode="External"/><Relationship Id="rIdwoffqtjmy7e6gbedfemep" Type="http://schemas.openxmlformats.org/officeDocument/2006/relationships/hyperlink" Target="https://techcrunch.com/2026/05/28/anthropic-raises-65-billion-nears-1t-valuation-ahead-of-ipo/" TargetMode="External"/><Relationship Id="rIdgfjtps4t7j2l7vmkgrrpz" Type="http://schemas.openxmlformats.org/officeDocument/2006/relationships/hyperlink" Target="https://mistral.ai/news/mistral-ai-raises-1-7-b-to-accelerate-technological-progress-with-ai/" TargetMode="External"/><Relationship Id="rIdqxd8zneqru700lkjwgvht" Type="http://schemas.openxmlformats.org/officeDocument/2006/relationships/hyperlink" Target="https://www.sanchez.vc/geocoded-special-reports/state-of-global-ai-compute-2025-edition" TargetMode="External"/><Relationship Id="rIdcjbalxq3xhuphgbmzze43" Type="http://schemas.openxmlformats.org/officeDocument/2006/relationships/hyperlink" Target="https://www.semi.org/en/blogs/from-crisis-to-opportunity-europes-semiconductor-awakening" TargetMode="External"/><Relationship Id="rIdjilimmwtc5oqllpjhwxq0" Type="http://schemas.openxmlformats.org/officeDocument/2006/relationships/hyperlink" Target="https://www.csis.org/analysis/silicon-island-assessing-taiwans-importance-us-economic-growth-and-security" TargetMode="External"/><Relationship Id="rIdp3wnvy7cwd6izzsb5lsn3" Type="http://schemas.openxmlformats.org/officeDocument/2006/relationships/hyperlink" Target="https://macropolo.org/interactive/digital-projects/the-global-ai-talent-tracker/" TargetMode="External"/><Relationship Id="rIdkgb0wadcmltcdnffjpzhw" Type="http://schemas.openxmlformats.org/officeDocument/2006/relationships/hyperlink" Target="https://www.gisreportsonline.com/r/europe-brain-drain/" TargetMode="External"/><Relationship Id="rIdupv4hlurgw0vhr_j0iydq" Type="http://schemas.openxmlformats.org/officeDocument/2006/relationships/hyperlink" Target="https://www.generalist.com/p/asml" TargetMode="External"/><Relationship Id="rIddsl3xq80evfqce_dt50na" Type="http://schemas.openxmlformats.org/officeDocument/2006/relationships/hyperlink" Target="https://www.usine-digitale.fr/article/microsoft-souverainete-cloud.html" TargetMode="External"/><Relationship Id="rIdqz7zki7omaqdk3mkkee4l" Type="http://schemas.openxmlformats.org/officeDocument/2006/relationships/hyperlink" Target="https://eur-lex.europa.eu/legal-content/FR/TXT/?uri=OJ:L_202401689" TargetMode="External"/><Relationship Id="rIdfxlowny9x2jku_blhyx7a" Type="http://schemas.openxmlformats.org/officeDocument/2006/relationships/hyperlink" Target="https://www.vie-publique.fr/files/rapport/pdf/194000532.pdf" TargetMode="External"/><Relationship Id="rIdky6boo3nr9s0knhdsbmag" Type="http://schemas.openxmlformats.org/officeDocument/2006/relationships/hyperlink" Target="https://eur-lex.europa.eu/legal-content/FR/ALL/?uri=CELEX:31996R2271" TargetMode="External"/><Relationship Id="rId1rph0h5fogybnu7mw9hqq" Type="http://schemas.openxmlformats.org/officeDocument/2006/relationships/hyperlink" Target="https://commission.europa.eu/topics/competitiveness/draghi-report_en" TargetMode="External"/><Relationship Id="rIdpn6blcticl-v_d5p-35gm" Type="http://schemas.openxmlformats.org/officeDocument/2006/relationships/hyperlink" Target="https://www.jobbatical.com/blog/germany-work-visa-processing-timeline" TargetMode="External"/><Relationship Id="rIduykivwno1f5k9koeeygoi" Type="http://schemas.openxmlformats.org/officeDocument/2006/relationships/hyperlink" Target="https://www.euronews.com/my-europe/2026/01/29/the-ai-brain-drain-why-europe-cant-keep-the-talent-it-trains" TargetMode="External"/><Relationship Id="rIdntmqp5cu71uofxozuzqaz" Type="http://schemas.openxmlformats.org/officeDocument/2006/relationships/hyperlink" Target="https://www.franceinfo.fr/monde/iran/crise-dans-le-detroit-d-ormuz/"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2026-06-14T12:56:56.826Z</dcterms:created>
  <dcterms:modified xsi:type="dcterms:W3CDTF">2026-06-14T12:56:56.832Z</dcterms:modified>
</cp:coreProperties>
</file>

<file path=docProps/custom.xml><?xml version="1.0" encoding="utf-8"?>
<Properties xmlns="http://schemas.openxmlformats.org/officeDocument/2006/custom-properties" xmlns:vt="http://schemas.openxmlformats.org/officeDocument/2006/docPropsVTypes"/>
</file>