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500"/>
        <w:jc w:val="center"/>
      </w:pPr>
    </w:p>
    <w:p>
      <w:pPr>
        <w:spacing w:after="80"/>
        <w:jc w:val="center"/>
      </w:pPr>
      <w:r>
        <w:rPr>
          <w:rFonts w:ascii="Georgia" w:cs="Georgia" w:eastAsia="Georgia" w:hAnsi="Georgia"/>
          <w:b/>
          <w:bCs/>
          <w:color w:val="0099BB"/>
          <w:sz w:val="96"/>
          <w:szCs w:val="96"/>
        </w:rPr>
        <w:t xml:space="preserve">€</w:t>
      </w:r>
    </w:p>
    <w:p>
      <w:pPr>
        <w:spacing w:after="400"/>
        <w:jc w:val="center"/>
      </w:pPr>
      <w:r>
        <w:rPr>
          <w:rFonts w:ascii="Georgia" w:cs="Georgia" w:eastAsia="Georgia" w:hAnsi="Georgia"/>
          <w:b/>
          <w:bCs/>
          <w:color w:val="0A1628"/>
          <w:sz w:val="36"/>
          <w:szCs w:val="36"/>
        </w:rPr>
        <w:t xml:space="preserve">Ou Va l'Argent ?</w:t>
      </w:r>
    </w:p>
    <w:p>
      <w:pPr>
        <w:spacing w:after="100"/>
        <w:jc w:val="center"/>
      </w:pPr>
      <w:r>
        <w:rPr>
          <w:rFonts w:ascii="Georgia" w:cs="Georgia" w:eastAsia="Georgia" w:hAnsi="Georgia"/>
          <w:color w:val="0099BB"/>
          <w:sz w:val="28"/>
          <w:szCs w:val="28"/>
        </w:rPr>
        <w:t xml:space="preserve">____________________</w:t>
      </w:r>
    </w:p>
    <w:p>
      <w:pPr>
        <w:spacing w:after="200"/>
        <w:jc w:val="center"/>
      </w:pPr>
      <w:r>
        <w:rPr>
          <w:rFonts w:ascii="Georgia" w:cs="Georgia" w:eastAsia="Georgia" w:hAnsi="Georgia"/>
          <w:b/>
          <w:bCs/>
          <w:color w:val="0A1628"/>
          <w:sz w:val="72"/>
          <w:szCs w:val="72"/>
        </w:rPr>
        <w:t xml:space="preserve">FRANCE 2027</w:t>
      </w:r>
    </w:p>
    <w:p>
      <w:pPr>
        <w:spacing w:after="400"/>
        <w:jc w:val="center"/>
      </w:pPr>
      <w:r>
        <w:rPr>
          <w:rFonts w:ascii="Georgia" w:cs="Georgia" w:eastAsia="Georgia" w:hAnsi="Georgia"/>
          <w:color w:val="0099BB"/>
          <w:sz w:val="36"/>
          <w:szCs w:val="36"/>
        </w:rPr>
        <w:t xml:space="preserve">Programme economique liberal</w:t>
      </w:r>
    </w:p>
    <w:p>
      <w:pPr>
        <w:spacing w:after="100"/>
        <w:jc w:val="center"/>
      </w:pPr>
      <w:r>
        <w:rPr>
          <w:rFonts w:ascii="Arial" w:cs="Arial" w:eastAsia="Arial" w:hAnsi="Arial"/>
          <w:color w:val="6B7B8D"/>
          <w:sz w:val="28"/>
          <w:szCs w:val="28"/>
        </w:rPr>
        <w:t xml:space="preserve">10 thematiques — 80 propositions chiffrees</w:t>
      </w:r>
    </w:p>
    <w:p>
      <w:pPr>
        <w:spacing w:after="200"/>
        <w:jc w:val="center"/>
      </w:pPr>
      <w:r>
        <w:rPr>
          <w:rFonts w:ascii="Arial" w:cs="Arial" w:eastAsia="Arial" w:hAnsi="Arial"/>
          <w:i/>
          <w:iCs/>
          <w:color w:val="6B7B8D"/>
          <w:sz w:val="24"/>
          <w:szCs w:val="24"/>
        </w:rPr>
        <w:t xml:space="preserve">Un programme realiste et ambitieux pour la presidentielle</w:t>
      </w:r>
    </w:p>
    <w:p>
      <w:pPr>
        <w:spacing w:after="100"/>
        <w:jc w:val="center"/>
      </w:pPr>
      <w:r>
        <w:rPr>
          <w:rFonts w:ascii="Georgia" w:cs="Georgia" w:eastAsia="Georgia" w:hAnsi="Georgia"/>
          <w:color w:val="0099BB"/>
          <w:sz w:val="28"/>
          <w:szCs w:val="28"/>
        </w:rPr>
        <w:t xml:space="preserve">____________________</w:t>
      </w:r>
    </w:p>
    <w:p>
      <w:pPr>
        <w:spacing w:before="800"/>
        <w:jc w:val="center"/>
      </w:pPr>
      <w:r>
        <w:rPr>
          <w:rFonts w:ascii="Consolas" w:cs="Consolas" w:eastAsia="Consolas" w:hAnsi="Consolas"/>
          <w:color w:val="0099BB"/>
          <w:sz w:val="22"/>
          <w:szCs w:val="22"/>
        </w:rPr>
        <w:t xml:space="preserve">ouvalargent.com</w:t>
      </w:r>
    </w:p>
    <w:p>
      <w:pPr>
        <w:spacing w:after="100"/>
        <w:jc w:val="center"/>
      </w:pPr>
      <w:r>
        <w:rPr>
          <w:rFonts w:ascii="Arial" w:cs="Arial" w:eastAsia="Arial" w:hAnsi="Arial"/>
          <w:color w:val="6B7B8D"/>
          <w:sz w:val="22"/>
          <w:szCs w:val="22"/>
        </w:rPr>
        <w:t xml:space="preserve">Mars 2026</w:t>
      </w:r>
    </w:p>
    <w:p>
      <w:r>
        <w:br w:type="page"/>
      </w:r>
    </w:p>
    <w:p>
      <w:pPr>
        <w:sectPr>
          <w:pgSz w:w="11906" w:h="16838" w:orient="portrait"/>
          <w:pgMar w:top="1440" w:right="1440" w:bottom="1440" w:left="1440" w:header="708" w:footer="708" w:gutter="0"/>
          <w:pgNumType/>
          <w:docGrid w:linePitch="360"/>
        </w:sectPr>
      </w:pPr>
    </w:p>
    <w:p>
      <w:pPr>
        <w:pStyle w:val="Heading1"/>
        <w:spacing w:before="400" w:after="200"/>
      </w:pPr>
      <w:r>
        <w:rPr>
          <w:rFonts w:ascii="Georgia" w:cs="Georgia" w:eastAsia="Georgia" w:hAnsi="Georgia"/>
          <w:b/>
          <w:bCs/>
          <w:color w:val="0A1628"/>
          <w:sz w:val="36"/>
          <w:szCs w:val="36"/>
        </w:rPr>
        <w:t xml:space="preserve">Table des matieres</w:t>
      </w:r>
    </w:p>
    <w:sdt>
      <w:sdtPr>
        <w:alias w:val="Table des matieres"/>
      </w:sdtPr>
      <w:sdtContent>
        <w:p>
          <w:r>
            <w:fldChar w:fldCharType="begin" w:dirty="true"/>
            <w:instrText xml:space="preserve">TOC \h \o "1-2"</w:instrText>
            <w:fldChar w:fldCharType="separate"/>
          </w:r>
        </w:p>
        <w:p>
          <w:r>
            <w:fldChar w:fldCharType="end"/>
          </w:r>
        </w:p>
      </w:sdtContent>
    </w:sdt>
    <w:p>
      <w:r>
        <w:br w:type="page"/>
      </w:r>
    </w:p>
    <w:p>
      <w:pPr>
        <w:pStyle w:val="Heading1"/>
        <w:spacing w:before="400" w:after="200"/>
      </w:pPr>
      <w:r>
        <w:rPr>
          <w:rFonts w:ascii="Georgia" w:cs="Georgia" w:eastAsia="Georgia" w:hAnsi="Georgia"/>
          <w:b/>
          <w:bCs/>
          <w:color w:val="0A1628"/>
          <w:sz w:val="36"/>
          <w:szCs w:val="36"/>
        </w:rPr>
        <w:t xml:space="preserve">Preambule : Pourquoi ce programme ?</w:t>
      </w:r>
    </w:p>
    <w:p>
      <w:pPr>
        <w:spacing w:after="120"/>
        <w:jc w:val="both"/>
      </w:pPr>
      <w:r>
        <w:rPr>
          <w:rFonts w:ascii="Arial" w:cs="Arial" w:eastAsia="Arial" w:hAnsi="Arial"/>
          <w:color w:val="1A2332"/>
          <w:sz w:val="22"/>
          <w:szCs w:val="22"/>
        </w:rPr>
        <w:t xml:space="preserve">La France est a un tournant. Avec une </w:t>
      </w:r>
      <w:r>
        <w:rPr>
          <w:rFonts w:ascii="Arial" w:cs="Arial" w:eastAsia="Arial" w:hAnsi="Arial"/>
          <w:b/>
          <w:bCs/>
          <w:color w:val="D63031"/>
          <w:sz w:val="22"/>
          <w:szCs w:val="22"/>
        </w:rPr>
        <w:t xml:space="preserve">dette publique de 3 305 milliards d'euros</w:t>
      </w:r>
      <w:r>
        <w:rPr>
          <w:rFonts w:ascii="Arial" w:cs="Arial" w:eastAsia="Arial" w:hAnsi="Arial"/>
          <w:color w:val="1A2332"/>
          <w:sz w:val="22"/>
          <w:szCs w:val="22"/>
        </w:rPr>
        <w:t xml:space="preserve"> (113 % du PIB), un </w:t>
      </w:r>
      <w:r>
        <w:rPr>
          <w:rFonts w:ascii="Arial" w:cs="Arial" w:eastAsia="Arial" w:hAnsi="Arial"/>
          <w:b/>
          <w:bCs/>
          <w:color w:val="D63031"/>
          <w:sz w:val="22"/>
          <w:szCs w:val="22"/>
        </w:rPr>
        <w:t xml:space="preserve">deficit de 5,8 % du PIB</w:t>
      </w:r>
      <w:r>
        <w:rPr>
          <w:rFonts w:ascii="Arial" w:cs="Arial" w:eastAsia="Arial" w:hAnsi="Arial"/>
          <w:color w:val="1A2332"/>
          <w:sz w:val="22"/>
          <w:szCs w:val="22"/>
        </w:rPr>
        <w:t xml:space="preserve"> — le pire de l'Union europeenne — et des </w:t>
      </w:r>
      <w:r>
        <w:rPr>
          <w:rFonts w:ascii="Arial" w:cs="Arial" w:eastAsia="Arial" w:hAnsi="Arial"/>
          <w:b/>
          <w:bCs/>
          <w:color w:val="D63031"/>
          <w:sz w:val="22"/>
          <w:szCs w:val="22"/>
        </w:rPr>
        <w:t xml:space="preserve">depenses publiques a 57,1 % du PIB</w:t>
      </w:r>
      <w:r>
        <w:rPr>
          <w:rFonts w:ascii="Arial" w:cs="Arial" w:eastAsia="Arial" w:hAnsi="Arial"/>
          <w:color w:val="1A2332"/>
          <w:sz w:val="22"/>
          <w:szCs w:val="22"/>
        </w:rPr>
        <w:t xml:space="preserve"> (2e rang mondial), notre modele est a bout de souffle.</w:t>
      </w:r>
    </w:p>
    <w:p>
      <w:pPr>
        <w:spacing w:after="120"/>
        <w:jc w:val="both"/>
      </w:pPr>
      <w:r>
        <w:rPr>
          <w:rFonts w:ascii="Arial" w:cs="Arial" w:eastAsia="Arial" w:hAnsi="Arial"/>
          <w:color w:val="1A2332"/>
          <w:sz w:val="22"/>
          <w:szCs w:val="22"/>
        </w:rPr>
        <w:t xml:space="preserve">Les Francais travaillent dur, mais l'Etat capte </w:t>
      </w:r>
      <w:r>
        <w:rPr>
          <w:rFonts w:ascii="Arial" w:cs="Arial" w:eastAsia="Arial" w:hAnsi="Arial"/>
          <w:b/>
          <w:bCs/>
          <w:color w:val="D63031"/>
          <w:sz w:val="22"/>
          <w:szCs w:val="22"/>
        </w:rPr>
        <w:t xml:space="preserve">45,3 % de la richesse nationale</w:t>
      </w:r>
      <w:r>
        <w:rPr>
          <w:rFonts w:ascii="Arial" w:cs="Arial" w:eastAsia="Arial" w:hAnsi="Arial"/>
          <w:color w:val="1A2332"/>
          <w:sz w:val="22"/>
          <w:szCs w:val="22"/>
        </w:rPr>
        <w:t xml:space="preserve"> en prelevements obligatoires — record europeen. Malgre cela, les services publics se degradent : deserts medicaux, ecoles en recul dans les classements internationaux, insecurite croissante.</w:t>
      </w:r>
    </w:p>
    <w:p>
      <w:pPr>
        <w:spacing w:after="120"/>
        <w:jc w:val="both"/>
      </w:pPr>
      <w:r>
        <w:rPr>
          <w:rFonts w:ascii="Arial" w:cs="Arial" w:eastAsia="Arial" w:hAnsi="Arial"/>
          <w:color w:val="1A2332"/>
          <w:sz w:val="22"/>
          <w:szCs w:val="22"/>
        </w:rPr>
        <w:t xml:space="preserve">Ce programme propose une alternative : </w:t>
      </w:r>
      <w:r>
        <w:rPr>
          <w:rFonts w:ascii="Arial" w:cs="Arial" w:eastAsia="Arial" w:hAnsi="Arial"/>
          <w:b/>
          <w:bCs/>
          <w:color w:val="1A2332"/>
          <w:sz w:val="22"/>
          <w:szCs w:val="22"/>
        </w:rPr>
        <w:t xml:space="preserve">liberer l'energie des Francais</w:t>
      </w:r>
      <w:r>
        <w:rPr>
          <w:rFonts w:ascii="Arial" w:cs="Arial" w:eastAsia="Arial" w:hAnsi="Arial"/>
          <w:color w:val="1A2332"/>
          <w:sz w:val="22"/>
          <w:szCs w:val="22"/>
        </w:rPr>
        <w:t xml:space="preserve"> en reduisant le poids de l'Etat, en simplifiant radicalement la fiscalite, en attirant les talents et les investissements, tout en </w:t>
      </w:r>
      <w:r>
        <w:rPr>
          <w:rFonts w:ascii="Arial" w:cs="Arial" w:eastAsia="Arial" w:hAnsi="Arial"/>
          <w:b/>
          <w:bCs/>
          <w:color w:val="1A2332"/>
          <w:sz w:val="22"/>
          <w:szCs w:val="22"/>
        </w:rPr>
        <w:t xml:space="preserve">renforçant les fonctions regalienne</w:t>
      </w:r>
      <w:r>
        <w:rPr>
          <w:rFonts w:ascii="Arial" w:cs="Arial" w:eastAsia="Arial" w:hAnsi="Arial"/>
          <w:color w:val="1A2332"/>
          <w:sz w:val="22"/>
          <w:szCs w:val="22"/>
        </w:rPr>
        <w:t xml:space="preserve"> (defense, justice, securite) qui sont le coeur de mission de l'Etat.</w:t>
      </w:r>
    </w:p>
    <w:p>
      <w:pPr>
        <w:spacing w:after="120"/>
        <w:jc w:val="both"/>
      </w:pPr>
      <w:r>
        <w:rPr>
          <w:rFonts w:ascii="Arial" w:cs="Arial" w:eastAsia="Arial" w:hAnsi="Arial"/>
          <w:color w:val="1A2332"/>
          <w:sz w:val="22"/>
          <w:szCs w:val="22"/>
        </w:rPr>
        <w:t xml:space="preserve">Chaque proposition est chiffree. L'objectif est clair : </w:t>
      </w:r>
      <w:r>
        <w:rPr>
          <w:rFonts w:ascii="Arial" w:cs="Arial" w:eastAsia="Arial" w:hAnsi="Arial"/>
          <w:b/>
          <w:bCs/>
          <w:color w:val="D63031"/>
          <w:sz w:val="22"/>
          <w:szCs w:val="22"/>
        </w:rPr>
        <w:t xml:space="preserve">retour a l'equilibre budgetaire en 5 ans</w:t>
      </w:r>
      <w:r>
        <w:rPr>
          <w:rFonts w:ascii="Arial" w:cs="Arial" w:eastAsia="Arial" w:hAnsi="Arial"/>
          <w:color w:val="1A2332"/>
          <w:sz w:val="22"/>
          <w:szCs w:val="22"/>
        </w:rPr>
        <w:t xml:space="preserve">, tout en baissant les impots de </w:t>
      </w:r>
      <w:r>
        <w:rPr>
          <w:rFonts w:ascii="Arial" w:cs="Arial" w:eastAsia="Arial" w:hAnsi="Arial"/>
          <w:b/>
          <w:bCs/>
          <w:color w:val="D63031"/>
          <w:sz w:val="22"/>
          <w:szCs w:val="22"/>
        </w:rPr>
        <w:t xml:space="preserve">50 milliards d'euros</w:t>
      </w:r>
      <w:r>
        <w:rPr>
          <w:rFonts w:ascii="Arial" w:cs="Arial" w:eastAsia="Arial" w:hAnsi="Arial"/>
          <w:color w:val="1A2332"/>
          <w:sz w:val="22"/>
          <w:szCs w:val="22"/>
        </w:rPr>
        <w:t xml:space="preserve"> net. C'est possible, a condition de s'attaquer aux depenses inutiles, aux doublons administratifs et aux rentes de situation.</w:t>
      </w:r>
    </w:p>
    <w:p>
      <w:pPr>
        <w:spacing w:after="120"/>
        <w:jc w:val="both"/>
      </w:pPr>
      <w:r>
        <w:rPr>
          <w:rFonts w:ascii="Arial" w:cs="Arial" w:eastAsia="Arial" w:hAnsi="Arial"/>
          <w:color w:val="1A2332"/>
          <w:sz w:val="22"/>
          <w:szCs w:val="22"/>
        </w:rPr>
        <w:t xml:space="preserve">Ce programme s'inspire des reformes qui ont fonctionne ailleurs : la flexisecurite danoise, la fiscalite irlandaise, la capitalisation suedoise, l'immigration selective canadienne, le nucleaire coreeen. La France peut faire mieux, a condition d'oser.</w:t>
      </w:r>
    </w:p>
    <w:p>
      <w:r>
        <w:br w:type="page"/>
      </w:r>
    </w:p>
    <w:p>
      <w:pPr>
        <w:pStyle w:val="Heading1"/>
        <w:spacing w:before="400" w:after="200"/>
      </w:pPr>
      <w:r>
        <w:rPr>
          <w:rFonts w:ascii="Georgia" w:cs="Georgia" w:eastAsia="Georgia" w:hAnsi="Georgia"/>
          <w:b/>
          <w:bCs/>
          <w:color w:val="0A1628"/>
          <w:sz w:val="36"/>
          <w:szCs w:val="36"/>
        </w:rPr>
        <w:t xml:space="preserve">Synthese budgetaire du programme</w:t>
      </w:r>
    </w:p>
    <w:p>
      <w:pPr>
        <w:spacing w:after="120"/>
        <w:jc w:val="both"/>
      </w:pPr>
      <w:r>
        <w:rPr>
          <w:rFonts w:ascii="Arial" w:cs="Arial" w:eastAsia="Arial" w:hAnsi="Arial"/>
          <w:color w:val="1A2332"/>
          <w:sz w:val="22"/>
          <w:szCs w:val="22"/>
        </w:rPr>
        <w:t xml:space="preserve">Vue d'ensemble de l'impact financier des 80 propositions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3000"/>
        <w:gridCol w:w="2360"/>
      </w:tblGrid>
      <w:tr>
        <w:trPr>
          <w:tblHeader/>
        </w:trPr>
        <w:tc>
          <w:tcPr>
            <w:tcW w:type="dxa" w:w="40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Poste</w:t>
            </w:r>
          </w:p>
        </w:tc>
        <w:tc>
          <w:tcPr>
            <w:tcW w:type="dxa" w:w="30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Impact annuel (Md EUR)</w:t>
            </w:r>
          </w:p>
        </w:tc>
        <w:tc>
          <w:tcPr>
            <w:tcW w:type="dxa" w:w="23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Horizon</w:t>
            </w:r>
          </w:p>
        </w:tc>
      </w:tr>
      <w:tr>
        <w:tc>
          <w:tcPr>
            <w:tcW w:type="dxa" w:w="4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Economies de depenses publiques</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+90 a +110 Md EUR</w:t>
            </w:r>
          </w:p>
        </w:tc>
        <w:tc>
          <w:tcPr>
            <w:tcW w:type="dxa" w:w="23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 ans</w:t>
            </w:r>
          </w:p>
        </w:tc>
      </w:tr>
      <w:tr>
        <w:tc>
          <w:tcPr>
            <w:tcW w:type="dxa" w:w="4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Baisses d'impots (cout brut)</w:t>
            </w:r>
          </w:p>
        </w:tc>
        <w:tc>
          <w:tcPr>
            <w:tcW w:type="dxa" w:w="3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-50 a -60 Md EUR</w:t>
            </w:r>
          </w:p>
        </w:tc>
        <w:tc>
          <w:tcPr>
            <w:tcW w:type="dxa" w:w="23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 ans</w:t>
            </w:r>
          </w:p>
        </w:tc>
      </w:tr>
      <w:tr>
        <w:tc>
          <w:tcPr>
            <w:tcW w:type="dxa" w:w="4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Recettes supplementaires (croissance)</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+15 a +25 Md EUR</w:t>
            </w:r>
          </w:p>
        </w:tc>
        <w:tc>
          <w:tcPr>
            <w:tcW w:type="dxa" w:w="23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3-5 ans</w:t>
            </w:r>
          </w:p>
        </w:tc>
      </w:tr>
      <w:tr>
        <w:tc>
          <w:tcPr>
            <w:tcW w:type="dxa" w:w="4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Effet net sur le deficit</w:t>
            </w:r>
          </w:p>
        </w:tc>
        <w:tc>
          <w:tcPr>
            <w:tcW w:type="dxa" w:w="3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+55 a +75 Md EUR</w:t>
            </w:r>
          </w:p>
        </w:tc>
        <w:tc>
          <w:tcPr>
            <w:tcW w:type="dxa" w:w="23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 ans</w:t>
            </w:r>
          </w:p>
        </w:tc>
      </w:tr>
      <w:tr>
        <w:tc>
          <w:tcPr>
            <w:tcW w:type="dxa" w:w="4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Objectif deficit</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0 % du PIB</w:t>
            </w:r>
          </w:p>
        </w:tc>
        <w:tc>
          <w:tcPr>
            <w:tcW w:type="dxa" w:w="23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2032</w:t>
            </w:r>
          </w:p>
        </w:tc>
      </w:tr>
    </w:tbl>
    <w:p>
      <w:pPr>
        <w:spacing w:after="80"/>
      </w:pPr>
    </w:p>
    <w:p>
      <w:pPr>
        <w:spacing w:after="120"/>
        <w:jc w:val="both"/>
      </w:pPr>
      <w:r>
        <w:rPr>
          <w:rFonts w:ascii="Arial" w:cs="Arial" w:eastAsia="Arial" w:hAnsi="Arial"/>
          <w:color w:val="1A2332"/>
          <w:sz w:val="22"/>
          <w:szCs w:val="22"/>
        </w:rPr>
        <w:t xml:space="preserve">Avec un deficit 2024 de </w:t>
      </w:r>
      <w:r>
        <w:rPr>
          <w:rFonts w:ascii="Arial" w:cs="Arial" w:eastAsia="Arial" w:hAnsi="Arial"/>
          <w:b/>
          <w:bCs/>
          <w:color w:val="D63031"/>
          <w:sz w:val="22"/>
          <w:szCs w:val="22"/>
        </w:rPr>
        <w:t xml:space="preserve">~170 milliards d'euros</w:t>
      </w:r>
      <w:r>
        <w:rPr>
          <w:rFonts w:ascii="Arial" w:cs="Arial" w:eastAsia="Arial" w:hAnsi="Arial"/>
          <w:color w:val="1A2332"/>
          <w:sz w:val="22"/>
          <w:szCs w:val="22"/>
        </w:rPr>
        <w:t xml:space="preserve">, l'objectif de retour a l'equilibre en 5 ans necessite un effort de ~34 Md EUR/an — ambitieux mais realiste au vu des economies identifiees.</w:t>
      </w:r>
    </w:p>
    <w:p>
      <w:r>
        <w:br w:type="page"/>
      </w:r>
    </w:p>
    <w:p>
      <w:pPr>
        <w:pStyle w:val="Heading1"/>
        <w:spacing w:before="400" w:after="200"/>
      </w:pPr>
      <w:r>
        <w:rPr>
          <w:rFonts w:ascii="Georgia" w:cs="Georgia" w:eastAsia="Georgia" w:hAnsi="Georgia"/>
          <w:b/>
          <w:bCs/>
          <w:color w:val="0A1628"/>
          <w:sz w:val="36"/>
          <w:szCs w:val="36"/>
        </w:rPr>
        <w:t xml:space="preserve">1. Finances publiques &amp; reforme de l'Etat</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b/>
          <w:bCs/>
          <w:color w:val="D63031"/>
          <w:sz w:val="22"/>
          <w:szCs w:val="22"/>
        </w:rPr>
        <w:t xml:space="preserve">3 305 milliards d'euros de dette publique</w:t>
      </w:r>
      <w:r>
        <w:rPr>
          <w:rFonts w:ascii="Arial" w:cs="Arial" w:eastAsia="Arial" w:hAnsi="Arial"/>
          <w:color w:val="1A2332"/>
          <w:sz w:val="22"/>
          <w:szCs w:val="22"/>
        </w:rPr>
        <w:t xml:space="preserve"> fin 2024, soit 113 % du PIB (INSEE). La charge d'interets atteint </w:t>
      </w:r>
      <w:r>
        <w:rPr>
          <w:rFonts w:ascii="Arial" w:cs="Arial" w:eastAsia="Arial" w:hAnsi="Arial"/>
          <w:b/>
          <w:bCs/>
          <w:color w:val="D63031"/>
          <w:sz w:val="22"/>
          <w:szCs w:val="22"/>
        </w:rPr>
        <w:t xml:space="preserve">60,2 milliards d'euros en 2024</w:t>
      </w:r>
      <w:r>
        <w:rPr>
          <w:rFonts w:ascii="Arial" w:cs="Arial" w:eastAsia="Arial" w:hAnsi="Arial"/>
          <w:color w:val="1A2332"/>
          <w:sz w:val="22"/>
          <w:szCs w:val="22"/>
        </w:rPr>
        <w:t xml:space="preserve"> (+14 % en un an) et devrait depasser 67 milliards en 2025. En cinq ans, les interets de la dette ont double.</w:t>
      </w:r>
    </w:p>
    <w:p>
      <w:pPr>
        <w:spacing w:after="120"/>
        <w:jc w:val="both"/>
      </w:pPr>
      <w:r>
        <w:rPr>
          <w:rFonts w:ascii="Arial" w:cs="Arial" w:eastAsia="Arial" w:hAnsi="Arial"/>
          <w:color w:val="1A2332"/>
          <w:sz w:val="22"/>
          <w:szCs w:val="22"/>
        </w:rPr>
        <w:t xml:space="preserve">La France compte </w:t>
      </w:r>
      <w:r>
        <w:rPr>
          <w:rFonts w:ascii="Arial" w:cs="Arial" w:eastAsia="Arial" w:hAnsi="Arial"/>
          <w:b/>
          <w:bCs/>
          <w:color w:val="D63031"/>
          <w:sz w:val="22"/>
          <w:szCs w:val="22"/>
        </w:rPr>
        <w:t xml:space="preserve">5,9 millions d'agents publics</w:t>
      </w:r>
      <w:r>
        <w:rPr>
          <w:rFonts w:ascii="Arial" w:cs="Arial" w:eastAsia="Arial" w:hAnsi="Arial"/>
          <w:color w:val="1A2332"/>
          <w:sz w:val="22"/>
          <w:szCs w:val="22"/>
        </w:rPr>
        <w:t xml:space="preserve"> (+32 800 en 2024), </w:t>
      </w:r>
      <w:r>
        <w:rPr>
          <w:rFonts w:ascii="Arial" w:cs="Arial" w:eastAsia="Arial" w:hAnsi="Arial"/>
          <w:b/>
          <w:bCs/>
          <w:color w:val="D63031"/>
          <w:sz w:val="22"/>
          <w:szCs w:val="22"/>
        </w:rPr>
        <w:t xml:space="preserve">34 935 communes</w:t>
      </w:r>
      <w:r>
        <w:rPr>
          <w:rFonts w:ascii="Arial" w:cs="Arial" w:eastAsia="Arial" w:hAnsi="Arial"/>
          <w:color w:val="1A2332"/>
          <w:sz w:val="22"/>
          <w:szCs w:val="22"/>
        </w:rPr>
        <w:t xml:space="preserve"> (l'Allemagne en a 11 000), </w:t>
      </w:r>
      <w:r>
        <w:rPr>
          <w:rFonts w:ascii="Arial" w:cs="Arial" w:eastAsia="Arial" w:hAnsi="Arial"/>
          <w:b/>
          <w:bCs/>
          <w:color w:val="D63031"/>
          <w:sz w:val="22"/>
          <w:szCs w:val="22"/>
        </w:rPr>
        <w:t xml:space="preserve">567 222 elus locaux</w:t>
      </w:r>
      <w:r>
        <w:rPr>
          <w:rFonts w:ascii="Arial" w:cs="Arial" w:eastAsia="Arial" w:hAnsi="Arial"/>
          <w:color w:val="1A2332"/>
          <w:sz w:val="22"/>
          <w:szCs w:val="22"/>
        </w:rPr>
        <w:t xml:space="preserve"> (1 elu pour 119 habitants, record mondial) et 1 254 intercommunalites + 8 629 syndicats sur 6 niveaux d'administration. Le mille-feuille administratif coute des milliards en doublons.</w:t>
      </w:r>
    </w:p>
    <w:p>
      <w:pPr>
        <w:spacing w:after="120"/>
        <w:jc w:val="both"/>
      </w:pPr>
      <w:r>
        <w:rPr>
          <w:rFonts w:ascii="Arial" w:cs="Arial" w:eastAsia="Arial" w:hAnsi="Arial"/>
          <w:color w:val="1A2332"/>
          <w:sz w:val="22"/>
          <w:szCs w:val="22"/>
        </w:rPr>
        <w:t xml:space="preserve">Les depenses publiques representent </w:t>
      </w:r>
      <w:r>
        <w:rPr>
          <w:rFonts w:ascii="Arial" w:cs="Arial" w:eastAsia="Arial" w:hAnsi="Arial"/>
          <w:b/>
          <w:bCs/>
          <w:color w:val="D63031"/>
          <w:sz w:val="22"/>
          <w:szCs w:val="22"/>
        </w:rPr>
        <w:t xml:space="preserve">1 672 milliards d'euros</w:t>
      </w:r>
      <w:r>
        <w:rPr>
          <w:rFonts w:ascii="Arial" w:cs="Arial" w:eastAsia="Arial" w:hAnsi="Arial"/>
          <w:color w:val="1A2332"/>
          <w:sz w:val="22"/>
          <w:szCs w:val="22"/>
        </w:rPr>
        <w:t xml:space="preserve"> (57,1 % du PIB), soit 14 points de plus que la moyenne OCDE. La France depense plus que tous ses voisins pour des resultats souvent inferieurs.</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1.1 — Reduction de 150 000 postes de fonctionnaires en 5 ans</w:t>
      </w:r>
    </w:p>
    <w:p>
      <w:pPr>
        <w:pStyle w:val="ListParagraph"/>
        <w:numPr>
          <w:ilvl w:val="0"/>
          <w:numId w:val="2"/>
        </w:numPr>
        <w:spacing w:after="80"/>
      </w:pPr>
      <w:r>
        <w:rPr>
          <w:rFonts w:ascii="Arial" w:cs="Arial" w:eastAsia="Arial" w:hAnsi="Arial"/>
          <w:b/>
          <w:bCs/>
          <w:color w:val="1A2332"/>
          <w:sz w:val="22"/>
          <w:szCs w:val="22"/>
        </w:rPr>
        <w:t xml:space="preserve">Non-remplacement d'1 depart a la retraite sur 3</w:t>
      </w:r>
      <w:r>
        <w:rPr>
          <w:rFonts w:ascii="Arial" w:cs="Arial" w:eastAsia="Arial" w:hAnsi="Arial"/>
          <w:color w:val="1A2332"/>
          <w:sz w:val="22"/>
          <w:szCs w:val="22"/>
        </w:rPr>
        <w:t xml:space="preserve"> dans la fonction publique d'Etat et territoriale (hors securite, justice, hopital)</w:t>
      </w:r>
    </w:p>
    <w:p>
      <w:pPr>
        <w:pStyle w:val="ListParagraph"/>
        <w:numPr>
          <w:ilvl w:val="0"/>
          <w:numId w:val="2"/>
        </w:numPr>
        <w:spacing w:after="80"/>
      </w:pPr>
      <w:r>
        <w:rPr>
          <w:rFonts w:ascii="Arial" w:cs="Arial" w:eastAsia="Arial" w:hAnsi="Arial"/>
          <w:color w:val="1A2332"/>
          <w:sz w:val="22"/>
          <w:szCs w:val="22"/>
        </w:rPr>
        <w:t xml:space="preserve">La fonction publique perd ~80 000 agents/an par departs naturels. En ne remplacant qu'un tiers, on obtient ~30 000 postes/an = 150 000 en 5 ans</w:t>
      </w:r>
    </w:p>
    <w:p>
      <w:pPr>
        <w:pStyle w:val="ListParagraph"/>
        <w:numPr>
          <w:ilvl w:val="0"/>
          <w:numId w:val="2"/>
        </w:numPr>
        <w:spacing w:after="80"/>
      </w:pPr>
      <w:r>
        <w:rPr>
          <w:rFonts w:ascii="Arial" w:cs="Arial" w:eastAsia="Arial" w:hAnsi="Arial"/>
          <w:b/>
          <w:bCs/>
          <w:color w:val="1A2332"/>
          <w:sz w:val="22"/>
          <w:szCs w:val="22"/>
        </w:rPr>
        <w:t xml:space="preserve">Economie estimee : 7,5 milliards EUR/an</w:t>
      </w:r>
      <w:r>
        <w:rPr>
          <w:rFonts w:ascii="Arial" w:cs="Arial" w:eastAsia="Arial" w:hAnsi="Arial"/>
          <w:color w:val="1A2332"/>
          <w:sz w:val="22"/>
          <w:szCs w:val="22"/>
        </w:rPr>
        <w:t xml:space="preserve"> a terme (cout moyen chargee ~50 000 EUR/agent)</w:t>
      </w:r>
    </w:p>
    <w:p>
      <w:pPr>
        <w:spacing w:before="200" w:after="100"/>
      </w:pPr>
      <w:r>
        <w:rPr>
          <w:rFonts w:ascii="Arial" w:cs="Arial" w:eastAsia="Arial" w:hAnsi="Arial"/>
          <w:b/>
          <w:bCs/>
          <w:color w:val="0A1628"/>
          <w:sz w:val="24"/>
          <w:szCs w:val="24"/>
        </w:rPr>
        <w:t xml:space="preserve">1.2 — Fusion des communes : passer de 35 000 a 10 000</w:t>
      </w:r>
    </w:p>
    <w:p>
      <w:pPr>
        <w:pStyle w:val="ListParagraph"/>
        <w:numPr>
          <w:ilvl w:val="0"/>
          <w:numId w:val="3"/>
        </w:numPr>
        <w:spacing w:after="80"/>
      </w:pPr>
      <w:r>
        <w:rPr>
          <w:rFonts w:ascii="Arial" w:cs="Arial" w:eastAsia="Arial" w:hAnsi="Arial"/>
          <w:color w:val="1A2332"/>
          <w:sz w:val="22"/>
          <w:szCs w:val="22"/>
        </w:rPr>
        <w:t xml:space="preserve">Fusion obligatoire des communes de moins de 1 000 habitants avec leur intercommunalite</w:t>
      </w:r>
    </w:p>
    <w:p>
      <w:pPr>
        <w:pStyle w:val="ListParagraph"/>
        <w:numPr>
          <w:ilvl w:val="0"/>
          <w:numId w:val="3"/>
        </w:numPr>
        <w:spacing w:after="80"/>
      </w:pPr>
      <w:r>
        <w:rPr>
          <w:rFonts w:ascii="Arial" w:cs="Arial" w:eastAsia="Arial" w:hAnsi="Arial"/>
          <w:color w:val="1A2332"/>
          <w:sz w:val="22"/>
          <w:szCs w:val="22"/>
        </w:rPr>
        <w:t xml:space="preserve">Suppression de l'echelon departemental (transfert aux regions et intercommunalites)</w:t>
      </w:r>
    </w:p>
    <w:p>
      <w:pPr>
        <w:pStyle w:val="ListParagraph"/>
        <w:numPr>
          <w:ilvl w:val="0"/>
          <w:numId w:val="3"/>
        </w:numPr>
        <w:spacing w:after="80"/>
      </w:pPr>
      <w:r>
        <w:rPr>
          <w:rFonts w:ascii="Arial" w:cs="Arial" w:eastAsia="Arial" w:hAnsi="Arial"/>
          <w:color w:val="1A2332"/>
          <w:sz w:val="22"/>
          <w:szCs w:val="22"/>
        </w:rPr>
        <w:t xml:space="preserve">Le Danemark est passe de 271 a 98 communes en 2007 — </w:t>
      </w:r>
      <w:r>
        <w:rPr>
          <w:rFonts w:ascii="Arial" w:cs="Arial" w:eastAsia="Arial" w:hAnsi="Arial"/>
          <w:b/>
          <w:bCs/>
          <w:color w:val="1A2332"/>
          <w:sz w:val="22"/>
          <w:szCs w:val="22"/>
        </w:rPr>
        <w:t xml:space="preserve">economie de 1 milliard EUR/an</w:t>
      </w:r>
      <w:r>
        <w:rPr>
          <w:rFonts w:ascii="Arial" w:cs="Arial" w:eastAsia="Arial" w:hAnsi="Arial"/>
          <w:color w:val="1A2332"/>
          <w:sz w:val="22"/>
          <w:szCs w:val="22"/>
        </w:rPr>
        <w:t xml:space="preserve"> pour un pays de 6 millions d'habitants</w:t>
      </w:r>
    </w:p>
    <w:p>
      <w:pPr>
        <w:pStyle w:val="ListParagraph"/>
        <w:numPr>
          <w:ilvl w:val="0"/>
          <w:numId w:val="3"/>
        </w:numPr>
        <w:spacing w:after="80"/>
      </w:pPr>
      <w:r>
        <w:rPr>
          <w:rFonts w:ascii="Arial" w:cs="Arial" w:eastAsia="Arial" w:hAnsi="Arial"/>
          <w:b/>
          <w:bCs/>
          <w:color w:val="1A2332"/>
          <w:sz w:val="22"/>
          <w:szCs w:val="22"/>
        </w:rPr>
        <w:t xml:space="preserve">Economie estimee : 5 a 8 milliards EUR/an</w:t>
      </w:r>
      <w:r>
        <w:rPr>
          <w:rFonts w:ascii="Arial" w:cs="Arial" w:eastAsia="Arial" w:hAnsi="Arial"/>
          <w:color w:val="1A2332"/>
          <w:sz w:val="22"/>
          <w:szCs w:val="22"/>
        </w:rPr>
        <w:t xml:space="preserve"> (doublons administratifs, mutualisations)</w:t>
      </w:r>
    </w:p>
    <w:p>
      <w:pPr>
        <w:spacing w:before="200" w:after="100"/>
      </w:pPr>
      <w:r>
        <w:rPr>
          <w:rFonts w:ascii="Arial" w:cs="Arial" w:eastAsia="Arial" w:hAnsi="Arial"/>
          <w:b/>
          <w:bCs/>
          <w:color w:val="0A1628"/>
          <w:sz w:val="24"/>
          <w:szCs w:val="24"/>
        </w:rPr>
        <w:t xml:space="preserve">1.3 — Plafonnement constitutionnel de la depense publique</w:t>
      </w:r>
    </w:p>
    <w:p>
      <w:pPr>
        <w:pStyle w:val="ListParagraph"/>
        <w:numPr>
          <w:ilvl w:val="0"/>
          <w:numId w:val="4"/>
        </w:numPr>
        <w:spacing w:after="80"/>
      </w:pPr>
      <w:r>
        <w:rPr>
          <w:rFonts w:ascii="Arial" w:cs="Arial" w:eastAsia="Arial" w:hAnsi="Arial"/>
          <w:color w:val="1A2332"/>
          <w:sz w:val="22"/>
          <w:szCs w:val="22"/>
        </w:rPr>
        <w:t xml:space="preserve">Inscrire dans la Constitution une regle d'or : deficit structurel maximum de 0,5 % du PIB (comme l'Allemagne)</w:t>
      </w:r>
    </w:p>
    <w:p>
      <w:pPr>
        <w:pStyle w:val="ListParagraph"/>
        <w:numPr>
          <w:ilvl w:val="0"/>
          <w:numId w:val="4"/>
        </w:numPr>
        <w:spacing w:after="80"/>
      </w:pPr>
      <w:r>
        <w:rPr>
          <w:rFonts w:ascii="Arial" w:cs="Arial" w:eastAsia="Arial" w:hAnsi="Arial"/>
          <w:color w:val="1A2332"/>
          <w:sz w:val="22"/>
          <w:szCs w:val="22"/>
        </w:rPr>
        <w:t xml:space="preserve">Plafond de depenses publiques a 50 % du PIB a atteindre en 10 ans (vs 57 % aujourd'hui)</w:t>
      </w:r>
    </w:p>
    <w:p>
      <w:pPr>
        <w:pStyle w:val="ListParagraph"/>
        <w:numPr>
          <w:ilvl w:val="0"/>
          <w:numId w:val="4"/>
        </w:numPr>
        <w:spacing w:after="80"/>
      </w:pPr>
      <w:r>
        <w:rPr>
          <w:rFonts w:ascii="Arial" w:cs="Arial" w:eastAsia="Arial" w:hAnsi="Arial"/>
          <w:color w:val="1A2332"/>
          <w:sz w:val="22"/>
          <w:szCs w:val="22"/>
        </w:rPr>
        <w:t xml:space="preserve">Revue generale des depenses publiques annuelle, avec publication des resultats</w:t>
      </w:r>
    </w:p>
    <w:p>
      <w:pPr>
        <w:spacing w:before="200" w:after="100"/>
      </w:pPr>
      <w:r>
        <w:rPr>
          <w:rFonts w:ascii="Arial" w:cs="Arial" w:eastAsia="Arial" w:hAnsi="Arial"/>
          <w:b/>
          <w:bCs/>
          <w:color w:val="0A1628"/>
          <w:sz w:val="24"/>
          <w:szCs w:val="24"/>
        </w:rPr>
        <w:t xml:space="preserve">1.4 — Suppression des agences et operateurs inutiles</w:t>
      </w:r>
    </w:p>
    <w:p>
      <w:pPr>
        <w:pStyle w:val="ListParagraph"/>
        <w:numPr>
          <w:ilvl w:val="0"/>
          <w:numId w:val="5"/>
        </w:numPr>
        <w:spacing w:after="80"/>
      </w:pPr>
      <w:r>
        <w:rPr>
          <w:rFonts w:ascii="Arial" w:cs="Arial" w:eastAsia="Arial" w:hAnsi="Arial"/>
          <w:color w:val="1A2332"/>
          <w:sz w:val="22"/>
          <w:szCs w:val="22"/>
        </w:rPr>
        <w:t xml:space="preserve">La France compte 438 operateurs de l'Etat (81 Md EUR de budget). Supprimer ou fusionner au moins 150</w:t>
      </w:r>
    </w:p>
    <w:p>
      <w:pPr>
        <w:pStyle w:val="ListParagraph"/>
        <w:numPr>
          <w:ilvl w:val="0"/>
          <w:numId w:val="5"/>
        </w:numPr>
        <w:spacing w:after="80"/>
      </w:pPr>
      <w:r>
        <w:rPr>
          <w:rFonts w:ascii="Arial" w:cs="Arial" w:eastAsia="Arial" w:hAnsi="Arial"/>
          <w:b/>
          <w:bCs/>
          <w:color w:val="1A2332"/>
          <w:sz w:val="22"/>
          <w:szCs w:val="22"/>
        </w:rPr>
        <w:t xml:space="preserve">Economie estimee : 3 a 5 milliards EUR/an</w:t>
      </w:r>
    </w:p>
    <w:p>
      <w:pPr>
        <w:spacing w:before="200" w:after="100"/>
      </w:pPr>
      <w:r>
        <w:rPr>
          <w:rFonts w:ascii="Arial" w:cs="Arial" w:eastAsia="Arial" w:hAnsi="Arial"/>
          <w:b/>
          <w:bCs/>
          <w:color w:val="0A1628"/>
          <w:sz w:val="24"/>
          <w:szCs w:val="24"/>
        </w:rPr>
        <w:t xml:space="preserve">1.5 — Reduction du nombre de parlementaires</w:t>
      </w:r>
    </w:p>
    <w:p>
      <w:pPr>
        <w:pStyle w:val="ListParagraph"/>
        <w:numPr>
          <w:ilvl w:val="0"/>
          <w:numId w:val="6"/>
        </w:numPr>
        <w:spacing w:after="80"/>
      </w:pPr>
      <w:r>
        <w:rPr>
          <w:rFonts w:ascii="Arial" w:cs="Arial" w:eastAsia="Arial" w:hAnsi="Arial"/>
          <w:color w:val="1A2332"/>
          <w:sz w:val="22"/>
          <w:szCs w:val="22"/>
        </w:rPr>
        <w:t xml:space="preserve">Passer de 577 a 400 deputes et de 348 a 200 senateurs</w:t>
      </w:r>
    </w:p>
    <w:p>
      <w:pPr>
        <w:pStyle w:val="ListParagraph"/>
        <w:numPr>
          <w:ilvl w:val="0"/>
          <w:numId w:val="6"/>
        </w:numPr>
        <w:spacing w:after="80"/>
      </w:pPr>
      <w:r>
        <w:rPr>
          <w:rFonts w:ascii="Arial" w:cs="Arial" w:eastAsia="Arial" w:hAnsi="Arial"/>
          <w:color w:val="1A2332"/>
          <w:sz w:val="22"/>
          <w:szCs w:val="22"/>
        </w:rPr>
        <w:t xml:space="preserve">Introduire une dose de proportionnelle (25 %) pour la representativite</w:t>
      </w:r>
    </w:p>
    <w:p>
      <w:pPr>
        <w:pStyle w:val="ListParagraph"/>
        <w:numPr>
          <w:ilvl w:val="0"/>
          <w:numId w:val="6"/>
        </w:numPr>
        <w:spacing w:after="80"/>
      </w:pPr>
      <w:r>
        <w:rPr>
          <w:rFonts w:ascii="Arial" w:cs="Arial" w:eastAsia="Arial" w:hAnsi="Arial"/>
          <w:b/>
          <w:bCs/>
          <w:color w:val="1A2332"/>
          <w:sz w:val="22"/>
          <w:szCs w:val="22"/>
        </w:rPr>
        <w:t xml:space="preserve">Economie symbolique mais signal fort : ~200 millions EUR/an</w:t>
      </w:r>
    </w:p>
    <w:p>
      <w:pPr>
        <w:pStyle w:val="Heading2"/>
        <w:spacing w:before="300" w:after="150"/>
      </w:pPr>
      <w:r>
        <w:rPr>
          <w:rFonts w:ascii="Georgia" w:cs="Georgia" w:eastAsia="Georgia" w:hAnsi="Georgia"/>
          <w:b/>
          <w:bCs/>
          <w:color w:val="0099BB"/>
          <w:sz w:val="28"/>
          <w:szCs w:val="28"/>
        </w:rPr>
        <w:t xml:space="preserve">Impact budgetaire total du theme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Mesure</w:t>
            </w:r>
          </w:p>
        </w:tc>
        <w:tc>
          <w:tcPr>
            <w:tcW w:type="dxa" w:w="3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Economie annuelle</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Non-remplacement fonctionnaires</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7,5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Fusion communes + suppression departements</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5-8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Suppression agences/operateurs</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3-5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Reduction parlementaires</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0,2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TOTAL</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16 a 21 Md EUR</w:t>
            </w:r>
          </w:p>
        </w:tc>
      </w:tr>
    </w:tbl>
    <w:p>
      <w:r>
        <w:br w:type="page"/>
      </w:r>
    </w:p>
    <w:p>
      <w:pPr>
        <w:pStyle w:val="Heading1"/>
        <w:spacing w:before="400" w:after="200"/>
      </w:pPr>
      <w:r>
        <w:rPr>
          <w:rFonts w:ascii="Georgia" w:cs="Georgia" w:eastAsia="Georgia" w:hAnsi="Georgia"/>
          <w:b/>
          <w:bCs/>
          <w:color w:val="0A1628"/>
          <w:sz w:val="36"/>
          <w:szCs w:val="36"/>
        </w:rPr>
        <w:t xml:space="preserve">2. Fiscalite : simplifier et baisser</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La France detient le record europeen de prelevements obligatoires : </w:t>
      </w:r>
      <w:r>
        <w:rPr>
          <w:rFonts w:ascii="Arial" w:cs="Arial" w:eastAsia="Arial" w:hAnsi="Arial"/>
          <w:b/>
          <w:bCs/>
          <w:color w:val="D63031"/>
          <w:sz w:val="22"/>
          <w:szCs w:val="22"/>
        </w:rPr>
        <w:t xml:space="preserve">45,3 % du PIB</w:t>
      </w:r>
      <w:r>
        <w:rPr>
          <w:rFonts w:ascii="Arial" w:cs="Arial" w:eastAsia="Arial" w:hAnsi="Arial"/>
          <w:color w:val="1A2332"/>
          <w:sz w:val="22"/>
          <w:szCs w:val="22"/>
        </w:rPr>
        <w:t xml:space="preserve"> (FIPECO 2024), contre 40,9 % en Allemagne et 37 % en moyenne OCDE. Le systeme fiscal comprend </w:t>
      </w:r>
      <w:r>
        <w:rPr>
          <w:rFonts w:ascii="Arial" w:cs="Arial" w:eastAsia="Arial" w:hAnsi="Arial"/>
          <w:b/>
          <w:bCs/>
          <w:color w:val="D63031"/>
          <w:sz w:val="22"/>
          <w:szCs w:val="22"/>
        </w:rPr>
        <w:t xml:space="preserve">483 taxes, impots et cotisations</w:t>
      </w:r>
      <w:r>
        <w:rPr>
          <w:rFonts w:ascii="Arial" w:cs="Arial" w:eastAsia="Arial" w:hAnsi="Arial"/>
          <w:color w:val="1A2332"/>
          <w:sz w:val="22"/>
          <w:szCs w:val="22"/>
        </w:rPr>
        <w:t xml:space="preserve"> (IFRAP) et </w:t>
      </w:r>
      <w:r>
        <w:rPr>
          <w:rFonts w:ascii="Arial" w:cs="Arial" w:eastAsia="Arial" w:hAnsi="Arial"/>
          <w:b/>
          <w:bCs/>
          <w:color w:val="D63031"/>
          <w:sz w:val="22"/>
          <w:szCs w:val="22"/>
        </w:rPr>
        <w:t xml:space="preserve">467 niches fiscales</w:t>
      </w:r>
      <w:r>
        <w:rPr>
          <w:rFonts w:ascii="Arial" w:cs="Arial" w:eastAsia="Arial" w:hAnsi="Arial"/>
          <w:color w:val="1A2332"/>
          <w:sz w:val="22"/>
          <w:szCs w:val="22"/>
        </w:rPr>
        <w:t xml:space="preserve"> representant 83,3 milliards d'euros de depenses fiscales (Cour des Comptes).</w:t>
      </w:r>
    </w:p>
    <w:p>
      <w:pPr>
        <w:spacing w:after="120"/>
        <w:jc w:val="both"/>
      </w:pPr>
      <w:r>
        <w:rPr>
          <w:rFonts w:ascii="Arial" w:cs="Arial" w:eastAsia="Arial" w:hAnsi="Arial"/>
          <w:color w:val="1A2332"/>
          <w:sz w:val="22"/>
          <w:szCs w:val="22"/>
        </w:rPr>
        <w:t xml:space="preserve">Les impots de production pesent </w:t>
      </w:r>
      <w:r>
        <w:rPr>
          <w:rFonts w:ascii="Arial" w:cs="Arial" w:eastAsia="Arial" w:hAnsi="Arial"/>
          <w:b/>
          <w:bCs/>
          <w:color w:val="D63031"/>
          <w:sz w:val="22"/>
          <w:szCs w:val="22"/>
        </w:rPr>
        <w:t xml:space="preserve">105 milliards d'euros</w:t>
      </w:r>
      <w:r>
        <w:rPr>
          <w:rFonts w:ascii="Arial" w:cs="Arial" w:eastAsia="Arial" w:hAnsi="Arial"/>
          <w:color w:val="1A2332"/>
          <w:sz w:val="22"/>
          <w:szCs w:val="22"/>
        </w:rPr>
        <w:t xml:space="preserve"> en France (4,4 % du PIB) contre 29 milliards en Allemagne (1,0 % du PIB) — un ecart de 3,4 points de PIB (Institut Montaigne 2024). La France est 1ere en Europe. L'ecart se decompose en : +51,5 Md EUR de taxes sur la masse salariale, +24,6 Md EUR d'impots fonciers. Aucun autre pays europeen n'impose autant ses entreprises avant meme qu'elles ne fassent de benefice.</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2.1 — Impot sur le revenu : 3 tranches au lieu de 5</w:t>
      </w:r>
    </w:p>
    <w:p>
      <w:pPr>
        <w:pStyle w:val="ListParagraph"/>
        <w:numPr>
          <w:ilvl w:val="0"/>
          <w:numId w:val="7"/>
        </w:numPr>
        <w:spacing w:after="80"/>
      </w:pPr>
      <w:r>
        <w:rPr>
          <w:rFonts w:ascii="Arial" w:cs="Arial" w:eastAsia="Arial" w:hAnsi="Arial"/>
          <w:color w:val="1A2332"/>
          <w:sz w:val="22"/>
          <w:szCs w:val="22"/>
        </w:rPr>
        <w:t xml:space="preserve">Barème simplifie : 0 % (jusqu'a 15 000 EUR), 15 % (15 000-75 000 EUR), 30 % (au-dela)</w:t>
      </w:r>
    </w:p>
    <w:p>
      <w:pPr>
        <w:pStyle w:val="ListParagraph"/>
        <w:numPr>
          <w:ilvl w:val="0"/>
          <w:numId w:val="7"/>
        </w:numPr>
        <w:spacing w:after="80"/>
      </w:pPr>
      <w:r>
        <w:rPr>
          <w:rFonts w:ascii="Arial" w:cs="Arial" w:eastAsia="Arial" w:hAnsi="Arial"/>
          <w:color w:val="1A2332"/>
          <w:sz w:val="22"/>
          <w:szCs w:val="22"/>
        </w:rPr>
        <w:t xml:space="preserve">Suppression de 300 niches fiscales sur 467 (ne conserver que celles evaluees comme efficaces)</w:t>
      </w:r>
    </w:p>
    <w:p>
      <w:pPr>
        <w:pStyle w:val="ListParagraph"/>
        <w:numPr>
          <w:ilvl w:val="0"/>
          <w:numId w:val="7"/>
        </w:numPr>
        <w:spacing w:after="80"/>
      </w:pPr>
      <w:r>
        <w:rPr>
          <w:rFonts w:ascii="Arial" w:cs="Arial" w:eastAsia="Arial" w:hAnsi="Arial"/>
          <w:b/>
          <w:bCs/>
          <w:color w:val="1A2332"/>
          <w:sz w:val="22"/>
          <w:szCs w:val="22"/>
        </w:rPr>
        <w:t xml:space="preserve">Cout de la baisse : ~8 milliards EUR</w:t>
      </w:r>
      <w:r>
        <w:rPr>
          <w:rFonts w:ascii="Arial" w:cs="Arial" w:eastAsia="Arial" w:hAnsi="Arial"/>
          <w:color w:val="1A2332"/>
          <w:sz w:val="22"/>
          <w:szCs w:val="22"/>
        </w:rPr>
        <w:t xml:space="preserve">, compense par la suppression de niches (~15 Md EUR d'economies)</w:t>
      </w:r>
    </w:p>
    <w:p>
      <w:pPr>
        <w:spacing w:before="200" w:after="100"/>
      </w:pPr>
      <w:r>
        <w:rPr>
          <w:rFonts w:ascii="Arial" w:cs="Arial" w:eastAsia="Arial" w:hAnsi="Arial"/>
          <w:b/>
          <w:bCs/>
          <w:color w:val="0A1628"/>
          <w:sz w:val="24"/>
          <w:szCs w:val="24"/>
        </w:rPr>
        <w:t xml:space="preserve">2.2 — Impot sur les societes a 20 %, puis 15 %</w:t>
      </w:r>
    </w:p>
    <w:p>
      <w:pPr>
        <w:pStyle w:val="ListParagraph"/>
        <w:numPr>
          <w:ilvl w:val="0"/>
          <w:numId w:val="8"/>
        </w:numPr>
        <w:spacing w:after="80"/>
      </w:pPr>
      <w:r>
        <w:rPr>
          <w:rFonts w:ascii="Arial" w:cs="Arial" w:eastAsia="Arial" w:hAnsi="Arial"/>
          <w:color w:val="1A2332"/>
          <w:sz w:val="22"/>
          <w:szCs w:val="22"/>
        </w:rPr>
        <w:t xml:space="preserve">IS a 20 % des 2028, puis 15 % en 2032 (vs 25 % aujourd'hui)</w:t>
      </w:r>
    </w:p>
    <w:p>
      <w:pPr>
        <w:pStyle w:val="ListParagraph"/>
        <w:numPr>
          <w:ilvl w:val="0"/>
          <w:numId w:val="8"/>
        </w:numPr>
        <w:spacing w:after="80"/>
      </w:pPr>
      <w:r>
        <w:rPr>
          <w:rFonts w:ascii="Arial" w:cs="Arial" w:eastAsia="Arial" w:hAnsi="Arial"/>
          <w:color w:val="1A2332"/>
          <w:sz w:val="22"/>
          <w:szCs w:val="22"/>
        </w:rPr>
        <w:t xml:space="preserve">L'Irlande a 12,5 % attire 20 % des IDE europeens. Avec 15 %, la France deviendrait la destination #1</w:t>
      </w:r>
    </w:p>
    <w:p>
      <w:pPr>
        <w:pStyle w:val="ListParagraph"/>
        <w:numPr>
          <w:ilvl w:val="0"/>
          <w:numId w:val="8"/>
        </w:numPr>
        <w:spacing w:after="80"/>
      </w:pPr>
      <w:r>
        <w:rPr>
          <w:rFonts w:ascii="Arial" w:cs="Arial" w:eastAsia="Arial" w:hAnsi="Arial"/>
          <w:b/>
          <w:bCs/>
          <w:color w:val="1A2332"/>
          <w:sz w:val="22"/>
          <w:szCs w:val="22"/>
        </w:rPr>
        <w:t xml:space="preserve">Cout brut : ~10 milliards EUR</w:t>
      </w:r>
      <w:r>
        <w:rPr>
          <w:rFonts w:ascii="Arial" w:cs="Arial" w:eastAsia="Arial" w:hAnsi="Arial"/>
          <w:color w:val="1A2332"/>
          <w:sz w:val="22"/>
          <w:szCs w:val="22"/>
        </w:rPr>
        <w:t xml:space="preserve">. Cout net apres afflux d'investissements : ~5 milliards EUR</w:t>
      </w:r>
    </w:p>
    <w:p>
      <w:pPr>
        <w:spacing w:before="200" w:after="100"/>
      </w:pPr>
      <w:r>
        <w:rPr>
          <w:rFonts w:ascii="Arial" w:cs="Arial" w:eastAsia="Arial" w:hAnsi="Arial"/>
          <w:b/>
          <w:bCs/>
          <w:color w:val="0A1628"/>
          <w:sz w:val="24"/>
          <w:szCs w:val="24"/>
        </w:rPr>
        <w:t xml:space="preserve">2.3 — Suppression progressive des impots de production</w:t>
      </w:r>
    </w:p>
    <w:p>
      <w:pPr>
        <w:pStyle w:val="ListParagraph"/>
        <w:numPr>
          <w:ilvl w:val="0"/>
          <w:numId w:val="9"/>
        </w:numPr>
        <w:spacing w:after="80"/>
      </w:pPr>
      <w:r>
        <w:rPr>
          <w:rFonts w:ascii="Arial" w:cs="Arial" w:eastAsia="Arial" w:hAnsi="Arial"/>
          <w:color w:val="1A2332"/>
          <w:sz w:val="22"/>
          <w:szCs w:val="22"/>
        </w:rPr>
        <w:t xml:space="preserve">Diviser par deux les impots de production en 5 ans (-60 milliards EUR de charge pour les entreprises)</w:t>
      </w:r>
    </w:p>
    <w:p>
      <w:pPr>
        <w:pStyle w:val="ListParagraph"/>
        <w:numPr>
          <w:ilvl w:val="0"/>
          <w:numId w:val="9"/>
        </w:numPr>
        <w:spacing w:after="80"/>
      </w:pPr>
      <w:r>
        <w:rPr>
          <w:rFonts w:ascii="Arial" w:cs="Arial" w:eastAsia="Arial" w:hAnsi="Arial"/>
          <w:color w:val="1A2332"/>
          <w:sz w:val="22"/>
          <w:szCs w:val="22"/>
        </w:rPr>
        <w:t xml:space="preserve">Suppression prioritaire : C3S, CVAE residuelle, taxes sur les salaires</w:t>
      </w:r>
    </w:p>
    <w:p>
      <w:pPr>
        <w:pStyle w:val="ListParagraph"/>
        <w:numPr>
          <w:ilvl w:val="0"/>
          <w:numId w:val="9"/>
        </w:numPr>
        <w:spacing w:after="80"/>
      </w:pPr>
      <w:r>
        <w:rPr>
          <w:rFonts w:ascii="Arial" w:cs="Arial" w:eastAsia="Arial" w:hAnsi="Arial"/>
          <w:b/>
          <w:bCs/>
          <w:color w:val="1A2332"/>
          <w:sz w:val="22"/>
          <w:szCs w:val="22"/>
        </w:rPr>
        <w:t xml:space="preserve">Cout brut : 30 milliards EUR</w:t>
      </w:r>
      <w:r>
        <w:rPr>
          <w:rFonts w:ascii="Arial" w:cs="Arial" w:eastAsia="Arial" w:hAnsi="Arial"/>
          <w:color w:val="1A2332"/>
          <w:sz w:val="22"/>
          <w:szCs w:val="22"/>
        </w:rPr>
        <w:t xml:space="preserve">. L'Allemagne les a quasiment supprimes : son taux de chomage est de 3,4 %</w:t>
      </w:r>
    </w:p>
    <w:p>
      <w:pPr>
        <w:spacing w:before="200" w:after="100"/>
      </w:pPr>
      <w:r>
        <w:rPr>
          <w:rFonts w:ascii="Arial" w:cs="Arial" w:eastAsia="Arial" w:hAnsi="Arial"/>
          <w:b/>
          <w:bCs/>
          <w:color w:val="0A1628"/>
          <w:sz w:val="24"/>
          <w:szCs w:val="24"/>
        </w:rPr>
        <w:t xml:space="preserve">2.4 — Flat tax elargie a tous les revenus du capital</w:t>
      </w:r>
    </w:p>
    <w:p>
      <w:pPr>
        <w:pStyle w:val="ListParagraph"/>
        <w:numPr>
          <w:ilvl w:val="0"/>
          <w:numId w:val="10"/>
        </w:numPr>
        <w:spacing w:after="80"/>
      </w:pPr>
      <w:r>
        <w:rPr>
          <w:rFonts w:ascii="Arial" w:cs="Arial" w:eastAsia="Arial" w:hAnsi="Arial"/>
          <w:color w:val="1A2332"/>
          <w:sz w:val="22"/>
          <w:szCs w:val="22"/>
        </w:rPr>
        <w:t xml:space="preserve">Maintenir le PFU a 30 % et l'etendre a l'ensemble des revenus du patrimoine</w:t>
      </w:r>
    </w:p>
    <w:p>
      <w:pPr>
        <w:pStyle w:val="ListParagraph"/>
        <w:numPr>
          <w:ilvl w:val="0"/>
          <w:numId w:val="10"/>
        </w:numPr>
        <w:spacing w:after="80"/>
      </w:pPr>
      <w:r>
        <w:rPr>
          <w:rFonts w:ascii="Arial" w:cs="Arial" w:eastAsia="Arial" w:hAnsi="Arial"/>
          <w:color w:val="1A2332"/>
          <w:sz w:val="22"/>
          <w:szCs w:val="22"/>
        </w:rPr>
        <w:t xml:space="preserve">Suppression de l'IFI (cout : ~2 milliards EUR) — signal fort pour les investisseurs et entrepreneurs</w:t>
      </w:r>
    </w:p>
    <w:p>
      <w:pPr>
        <w:spacing w:before="200" w:after="100"/>
      </w:pPr>
      <w:r>
        <w:rPr>
          <w:rFonts w:ascii="Arial" w:cs="Arial" w:eastAsia="Arial" w:hAnsi="Arial"/>
          <w:b/>
          <w:bCs/>
          <w:color w:val="0A1628"/>
          <w:sz w:val="24"/>
          <w:szCs w:val="24"/>
        </w:rPr>
        <w:t xml:space="preserve">2.5 — Declaration pre-remplie et prelevement a la source unique</w:t>
      </w:r>
    </w:p>
    <w:p>
      <w:pPr>
        <w:pStyle w:val="ListParagraph"/>
        <w:numPr>
          <w:ilvl w:val="0"/>
          <w:numId w:val="11"/>
        </w:numPr>
        <w:spacing w:after="80"/>
      </w:pPr>
      <w:r>
        <w:rPr>
          <w:rFonts w:ascii="Arial" w:cs="Arial" w:eastAsia="Arial" w:hAnsi="Arial"/>
          <w:color w:val="1A2332"/>
          <w:sz w:val="22"/>
          <w:szCs w:val="22"/>
        </w:rPr>
        <w:t xml:space="preserve">Fusionner le recouvrement fiscal et social en une seule agence (URSSAF + DGFiP)</w:t>
      </w:r>
    </w:p>
    <w:p>
      <w:pPr>
        <w:pStyle w:val="ListParagraph"/>
        <w:numPr>
          <w:ilvl w:val="0"/>
          <w:numId w:val="11"/>
        </w:numPr>
        <w:spacing w:after="80"/>
      </w:pPr>
      <w:r>
        <w:rPr>
          <w:rFonts w:ascii="Arial" w:cs="Arial" w:eastAsia="Arial" w:hAnsi="Arial"/>
          <w:color w:val="1A2332"/>
          <w:sz w:val="22"/>
          <w:szCs w:val="22"/>
        </w:rPr>
        <w:t xml:space="preserve">Objectif : un seul prelevement sur la fiche de paie au lieu de 10 lignes</w:t>
      </w:r>
    </w:p>
    <w:p>
      <w:pPr>
        <w:pStyle w:val="ListParagraph"/>
        <w:numPr>
          <w:ilvl w:val="0"/>
          <w:numId w:val="11"/>
        </w:numPr>
        <w:spacing w:after="80"/>
      </w:pPr>
      <w:r>
        <w:rPr>
          <w:rFonts w:ascii="Arial" w:cs="Arial" w:eastAsia="Arial" w:hAnsi="Arial"/>
          <w:b/>
          <w:bCs/>
          <w:color w:val="1A2332"/>
          <w:sz w:val="22"/>
          <w:szCs w:val="22"/>
        </w:rPr>
        <w:t xml:space="preserve">Economie administrative : 2 milliards EUR/an</w:t>
      </w:r>
    </w:p>
    <w:p>
      <w:pPr>
        <w:pStyle w:val="Heading2"/>
        <w:spacing w:before="300" w:after="150"/>
      </w:pPr>
      <w:r>
        <w:rPr>
          <w:rFonts w:ascii="Georgia" w:cs="Georgia" w:eastAsia="Georgia" w:hAnsi="Georgia"/>
          <w:b/>
          <w:bCs/>
          <w:color w:val="0099BB"/>
          <w:sz w:val="28"/>
          <w:szCs w:val="28"/>
        </w:rPr>
        <w:t xml:space="preserve">Impact budgetaire total du theme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Mesure</w:t>
            </w:r>
          </w:p>
        </w:tc>
        <w:tc>
          <w:tcPr>
            <w:tcW w:type="dxa" w:w="3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Cout (-) / Economie (+)</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Simplification IR + suppression niches</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 Md EUR net</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Baisse IS a 20% puis 15%</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 Md EUR net</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Suppression impots de production</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-30 Md EUR brut</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Suppression IFI</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Fusion recouvrement</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TOTAL (cout net des baisses)</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-28 Md EUR brut</w:t>
            </w:r>
          </w:p>
        </w:tc>
      </w:tr>
    </w:tbl>
    <w:p>
      <w:pPr>
        <w:spacing w:after="120"/>
        <w:jc w:val="both"/>
      </w:pPr>
      <w:r>
        <w:rPr>
          <w:rFonts w:ascii="Arial" w:cs="Arial" w:eastAsia="Arial" w:hAnsi="Arial"/>
          <w:color w:val="1A2332"/>
          <w:sz w:val="22"/>
          <w:szCs w:val="22"/>
        </w:rPr>
        <w:t xml:space="preserve">Note : les baisses de fiscalite sont financees par les economies de la theme 1 (16-21 Md EUR) et par le surcroit de croissance attendu (+0,5 a +1 point de PIB).</w:t>
      </w:r>
    </w:p>
    <w:p>
      <w:r>
        <w:br w:type="page"/>
      </w:r>
    </w:p>
    <w:p>
      <w:pPr>
        <w:pStyle w:val="Heading1"/>
        <w:spacing w:before="400" w:after="200"/>
      </w:pPr>
      <w:r>
        <w:rPr>
          <w:rFonts w:ascii="Georgia" w:cs="Georgia" w:eastAsia="Georgia" w:hAnsi="Georgia"/>
          <w:b/>
          <w:bCs/>
          <w:color w:val="0A1628"/>
          <w:sz w:val="36"/>
          <w:szCs w:val="36"/>
        </w:rPr>
        <w:t xml:space="preserve">3. Emploi &amp; marche du travail</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Le taux de chomage francais reste a </w:t>
      </w:r>
      <w:r>
        <w:rPr>
          <w:rFonts w:ascii="Arial" w:cs="Arial" w:eastAsia="Arial" w:hAnsi="Arial"/>
          <w:b/>
          <w:bCs/>
          <w:color w:val="D63031"/>
          <w:sz w:val="22"/>
          <w:szCs w:val="22"/>
        </w:rPr>
        <w:t xml:space="preserve">7,4 %</w:t>
      </w:r>
      <w:r>
        <w:rPr>
          <w:rFonts w:ascii="Arial" w:cs="Arial" w:eastAsia="Arial" w:hAnsi="Arial"/>
          <w:color w:val="1A2332"/>
          <w:sz w:val="22"/>
          <w:szCs w:val="22"/>
        </w:rPr>
        <w:t xml:space="preserve"> (2024, INSEE), contre 3,0 % en Allemagne et 4,2 % au Royaume-Uni. La France se classe 6e taux le plus eleve de l'UE. Le taux d'emploi des seniors (55-64 ans) est de 60,4 %, contre 75,2 % en Allemagne et 82 % en Suede (DARES/OCDE 2024).</w:t>
      </w:r>
    </w:p>
    <w:p>
      <w:pPr>
        <w:spacing w:after="120"/>
        <w:jc w:val="both"/>
      </w:pPr>
      <w:r>
        <w:rPr>
          <w:rFonts w:ascii="Arial" w:cs="Arial" w:eastAsia="Arial" w:hAnsi="Arial"/>
          <w:color w:val="1A2332"/>
          <w:sz w:val="22"/>
          <w:szCs w:val="22"/>
        </w:rPr>
        <w:t xml:space="preserve">Le cout du travail est parmi les plus eleves d'Europe : pour verser </w:t>
      </w:r>
      <w:r>
        <w:rPr>
          <w:rFonts w:ascii="Arial" w:cs="Arial" w:eastAsia="Arial" w:hAnsi="Arial"/>
          <w:b/>
          <w:bCs/>
          <w:color w:val="D63031"/>
          <w:sz w:val="22"/>
          <w:szCs w:val="22"/>
        </w:rPr>
        <w:t xml:space="preserve">1 EUR net a un salarie, l'employeur debourse 1,82 EUR</w:t>
      </w:r>
      <w:r>
        <w:rPr>
          <w:rFonts w:ascii="Arial" w:cs="Arial" w:eastAsia="Arial" w:hAnsi="Arial"/>
          <w:color w:val="1A2332"/>
          <w:sz w:val="22"/>
          <w:szCs w:val="22"/>
        </w:rPr>
        <w:t xml:space="preserve"> en moyenne. Le coin fiscal francais (difference entre cout employeur et salaire net) depasse 47 %, contre 38 % en moyenne OCDE.</w:t>
      </w:r>
    </w:p>
    <w:p>
      <w:pPr>
        <w:spacing w:after="120"/>
        <w:jc w:val="both"/>
      </w:pPr>
      <w:r>
        <w:rPr>
          <w:rFonts w:ascii="Arial" w:cs="Arial" w:eastAsia="Arial" w:hAnsi="Arial"/>
          <w:color w:val="1A2332"/>
          <w:sz w:val="22"/>
          <w:szCs w:val="22"/>
        </w:rPr>
        <w:t xml:space="preserve">Le Code du travail compte </w:t>
      </w:r>
      <w:r>
        <w:rPr>
          <w:rFonts w:ascii="Arial" w:cs="Arial" w:eastAsia="Arial" w:hAnsi="Arial"/>
          <w:b/>
          <w:bCs/>
          <w:color w:val="D63031"/>
          <w:sz w:val="22"/>
          <w:szCs w:val="22"/>
        </w:rPr>
        <w:t xml:space="preserve">11 487 articles</w:t>
      </w:r>
      <w:r>
        <w:rPr>
          <w:rFonts w:ascii="Arial" w:cs="Arial" w:eastAsia="Arial" w:hAnsi="Arial"/>
          <w:color w:val="1A2332"/>
          <w:sz w:val="22"/>
          <w:szCs w:val="22"/>
        </w:rPr>
        <w:t xml:space="preserve"> (+124 % en 20 ans, Legifrance), soit plus de 4 020 pages, contre 54 articles en Suisse. Le coin fiscal atteint </w:t>
      </w:r>
      <w:r>
        <w:rPr>
          <w:rFonts w:ascii="Arial" w:cs="Arial" w:eastAsia="Arial" w:hAnsi="Arial"/>
          <w:b/>
          <w:bCs/>
          <w:color w:val="D63031"/>
          <w:sz w:val="22"/>
          <w:szCs w:val="22"/>
        </w:rPr>
        <w:t xml:space="preserve">47,2 %</w:t>
      </w:r>
      <w:r>
        <w:rPr>
          <w:rFonts w:ascii="Arial" w:cs="Arial" w:eastAsia="Arial" w:hAnsi="Arial"/>
          <w:color w:val="1A2332"/>
          <w:sz w:val="22"/>
          <w:szCs w:val="22"/>
        </w:rPr>
        <w:t xml:space="preserve"> (3e de l'OCDE apres la Belgique et l'Allemagne) : pour 1 EUR net, l'employeur debourse pres de 1,90 EUR.</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3.1 — Flexisecurite a la francaise</w:t>
      </w:r>
    </w:p>
    <w:p>
      <w:pPr>
        <w:pStyle w:val="ListParagraph"/>
        <w:numPr>
          <w:ilvl w:val="0"/>
          <w:numId w:val="12"/>
        </w:numPr>
        <w:spacing w:after="80"/>
      </w:pPr>
      <w:r>
        <w:rPr>
          <w:rFonts w:ascii="Arial" w:cs="Arial" w:eastAsia="Arial" w:hAnsi="Arial"/>
          <w:color w:val="1A2332"/>
          <w:sz w:val="22"/>
          <w:szCs w:val="22"/>
        </w:rPr>
        <w:t xml:space="preserve">Simplifier le licenciement economique : plafonnement definitif des indemnites prud'homales (bareme Macron sanctuarise)</w:t>
      </w:r>
    </w:p>
    <w:p>
      <w:pPr>
        <w:pStyle w:val="ListParagraph"/>
        <w:numPr>
          <w:ilvl w:val="0"/>
          <w:numId w:val="12"/>
        </w:numPr>
        <w:spacing w:after="80"/>
      </w:pPr>
      <w:r>
        <w:rPr>
          <w:rFonts w:ascii="Arial" w:cs="Arial" w:eastAsia="Arial" w:hAnsi="Arial"/>
          <w:color w:val="1A2332"/>
          <w:sz w:val="22"/>
          <w:szCs w:val="22"/>
        </w:rPr>
        <w:t xml:space="preserve">Contrat unique avec droits progressifs (anciennete) en remplacement du CDD/CDI</w:t>
      </w:r>
    </w:p>
    <w:p>
      <w:pPr>
        <w:pStyle w:val="ListParagraph"/>
        <w:numPr>
          <w:ilvl w:val="0"/>
          <w:numId w:val="12"/>
        </w:numPr>
        <w:spacing w:after="80"/>
      </w:pPr>
      <w:r>
        <w:rPr>
          <w:rFonts w:ascii="Arial" w:cs="Arial" w:eastAsia="Arial" w:hAnsi="Arial"/>
          <w:color w:val="1A2332"/>
          <w:sz w:val="22"/>
          <w:szCs w:val="22"/>
        </w:rPr>
        <w:t xml:space="preserve">En contrepartie : accompagnement intensif des demandeurs d'emploi (modele danois)</w:t>
      </w:r>
    </w:p>
    <w:p>
      <w:pPr>
        <w:pStyle w:val="ListParagraph"/>
        <w:numPr>
          <w:ilvl w:val="0"/>
          <w:numId w:val="12"/>
        </w:numPr>
        <w:spacing w:after="80"/>
      </w:pPr>
      <w:r>
        <w:rPr>
          <w:rFonts w:ascii="Arial" w:cs="Arial" w:eastAsia="Arial" w:hAnsi="Arial"/>
          <w:color w:val="1A2332"/>
          <w:sz w:val="22"/>
          <w:szCs w:val="22"/>
        </w:rPr>
        <w:t xml:space="preserve">Au Danemark, la flexisecurite a reduit le chomage de 9,6 % (1993) a 4,3 % (2007). </w:t>
      </w:r>
      <w:r>
        <w:rPr>
          <w:rFonts w:ascii="Arial" w:cs="Arial" w:eastAsia="Arial" w:hAnsi="Arial"/>
          <w:b/>
          <w:bCs/>
          <w:color w:val="1A2332"/>
          <w:sz w:val="22"/>
          <w:szCs w:val="22"/>
        </w:rPr>
        <w:t xml:space="preserve">Objectif France : passer sous 5 % en 5 ans</w:t>
      </w:r>
    </w:p>
    <w:p>
      <w:pPr>
        <w:spacing w:before="200" w:after="100"/>
      </w:pPr>
      <w:r>
        <w:rPr>
          <w:rFonts w:ascii="Arial" w:cs="Arial" w:eastAsia="Arial" w:hAnsi="Arial"/>
          <w:b/>
          <w:bCs/>
          <w:color w:val="0A1628"/>
          <w:sz w:val="24"/>
          <w:szCs w:val="24"/>
        </w:rPr>
        <w:t xml:space="preserve">3.2 — Allegement massif des charges sur les bas salaires</w:t>
      </w:r>
    </w:p>
    <w:p>
      <w:pPr>
        <w:pStyle w:val="ListParagraph"/>
        <w:numPr>
          <w:ilvl w:val="0"/>
          <w:numId w:val="13"/>
        </w:numPr>
        <w:spacing w:after="80"/>
      </w:pPr>
      <w:r>
        <w:rPr>
          <w:rFonts w:ascii="Arial" w:cs="Arial" w:eastAsia="Arial" w:hAnsi="Arial"/>
          <w:color w:val="1A2332"/>
          <w:sz w:val="22"/>
          <w:szCs w:val="22"/>
        </w:rPr>
        <w:t xml:space="preserve">Zero charges patronales pour les salaires entre le SMIC et 1,3 SMIC (vs allegements partiels aujourd'hui)</w:t>
      </w:r>
    </w:p>
    <w:p>
      <w:pPr>
        <w:pStyle w:val="ListParagraph"/>
        <w:numPr>
          <w:ilvl w:val="0"/>
          <w:numId w:val="13"/>
        </w:numPr>
        <w:spacing w:after="80"/>
      </w:pPr>
      <w:r>
        <w:rPr>
          <w:rFonts w:ascii="Arial" w:cs="Arial" w:eastAsia="Arial" w:hAnsi="Arial"/>
          <w:b/>
          <w:bCs/>
          <w:color w:val="1A2332"/>
          <w:sz w:val="22"/>
          <w:szCs w:val="22"/>
        </w:rPr>
        <w:t xml:space="preserve">Cout : ~5 milliards EUR supplementaires</w:t>
      </w:r>
      <w:r>
        <w:rPr>
          <w:rFonts w:ascii="Arial" w:cs="Arial" w:eastAsia="Arial" w:hAnsi="Arial"/>
          <w:color w:val="1A2332"/>
          <w:sz w:val="22"/>
          <w:szCs w:val="22"/>
        </w:rPr>
        <w:t xml:space="preserve">, compense par la reprise d'emploi et les economies d'allocations chomage</w:t>
      </w:r>
    </w:p>
    <w:p>
      <w:pPr>
        <w:spacing w:before="200" w:after="100"/>
      </w:pPr>
      <w:r>
        <w:rPr>
          <w:rFonts w:ascii="Arial" w:cs="Arial" w:eastAsia="Arial" w:hAnsi="Arial"/>
          <w:b/>
          <w:bCs/>
          <w:color w:val="0A1628"/>
          <w:sz w:val="24"/>
          <w:szCs w:val="24"/>
        </w:rPr>
        <w:t xml:space="preserve">3.3 — Liberalisation du temps de travail</w:t>
      </w:r>
    </w:p>
    <w:p>
      <w:pPr>
        <w:pStyle w:val="ListParagraph"/>
        <w:numPr>
          <w:ilvl w:val="0"/>
          <w:numId w:val="14"/>
        </w:numPr>
        <w:spacing w:after="80"/>
      </w:pPr>
      <w:r>
        <w:rPr>
          <w:rFonts w:ascii="Arial" w:cs="Arial" w:eastAsia="Arial" w:hAnsi="Arial"/>
          <w:color w:val="1A2332"/>
          <w:sz w:val="22"/>
          <w:szCs w:val="22"/>
        </w:rPr>
        <w:t xml:space="preserve">Passage aux 39h par defaut avec maintien des 35h pour ceux qui le souhaitent (heures sup detaxees)</w:t>
      </w:r>
    </w:p>
    <w:p>
      <w:pPr>
        <w:pStyle w:val="ListParagraph"/>
        <w:numPr>
          <w:ilvl w:val="0"/>
          <w:numId w:val="14"/>
        </w:numPr>
        <w:spacing w:after="80"/>
      </w:pPr>
      <w:r>
        <w:rPr>
          <w:rFonts w:ascii="Arial" w:cs="Arial" w:eastAsia="Arial" w:hAnsi="Arial"/>
          <w:color w:val="1A2332"/>
          <w:sz w:val="22"/>
          <w:szCs w:val="22"/>
        </w:rPr>
        <w:t xml:space="preserve">Suppression des seuils sociaux a 50 salaries (ou relèvement a 250)</w:t>
      </w:r>
    </w:p>
    <w:p>
      <w:pPr>
        <w:pStyle w:val="ListParagraph"/>
        <w:numPr>
          <w:ilvl w:val="0"/>
          <w:numId w:val="14"/>
        </w:numPr>
        <w:spacing w:after="80"/>
      </w:pPr>
      <w:r>
        <w:rPr>
          <w:rFonts w:ascii="Arial" w:cs="Arial" w:eastAsia="Arial" w:hAnsi="Arial"/>
          <w:b/>
          <w:bCs/>
          <w:color w:val="1A2332"/>
          <w:sz w:val="22"/>
          <w:szCs w:val="22"/>
        </w:rPr>
        <w:t xml:space="preserve">Impact PIB : +0,3 a +0,5 point</w:t>
      </w:r>
      <w:r>
        <w:rPr>
          <w:rFonts w:ascii="Arial" w:cs="Arial" w:eastAsia="Arial" w:hAnsi="Arial"/>
          <w:color w:val="1A2332"/>
          <w:sz w:val="22"/>
          <w:szCs w:val="22"/>
        </w:rPr>
        <w:t xml:space="preserve"> (estimation OFCE)</w:t>
      </w:r>
    </w:p>
    <w:p>
      <w:pPr>
        <w:spacing w:before="200" w:after="100"/>
      </w:pPr>
      <w:r>
        <w:rPr>
          <w:rFonts w:ascii="Arial" w:cs="Arial" w:eastAsia="Arial" w:hAnsi="Arial"/>
          <w:b/>
          <w:bCs/>
          <w:color w:val="0A1628"/>
          <w:sz w:val="24"/>
          <w:szCs w:val="24"/>
        </w:rPr>
        <w:t xml:space="preserve">3.4 — Reforme de l'assurance chomage</w:t>
      </w:r>
    </w:p>
    <w:p>
      <w:pPr>
        <w:pStyle w:val="ListParagraph"/>
        <w:numPr>
          <w:ilvl w:val="0"/>
          <w:numId w:val="15"/>
        </w:numPr>
        <w:spacing w:after="80"/>
      </w:pPr>
      <w:r>
        <w:rPr>
          <w:rFonts w:ascii="Arial" w:cs="Arial" w:eastAsia="Arial" w:hAnsi="Arial"/>
          <w:color w:val="1A2332"/>
          <w:sz w:val="22"/>
          <w:szCs w:val="22"/>
        </w:rPr>
        <w:t xml:space="preserve">Duree d'indemnisation maximale de 18 mois (vs 24 actuellement) sauf seniors</w:t>
      </w:r>
    </w:p>
    <w:p>
      <w:pPr>
        <w:pStyle w:val="ListParagraph"/>
        <w:numPr>
          <w:ilvl w:val="0"/>
          <w:numId w:val="15"/>
        </w:numPr>
        <w:spacing w:after="80"/>
      </w:pPr>
      <w:r>
        <w:rPr>
          <w:rFonts w:ascii="Arial" w:cs="Arial" w:eastAsia="Arial" w:hAnsi="Arial"/>
          <w:color w:val="1A2332"/>
          <w:sz w:val="22"/>
          <w:szCs w:val="22"/>
        </w:rPr>
        <w:t xml:space="preserve">Degressivite des allocations apres 6 mois (-25 %)</w:t>
      </w:r>
    </w:p>
    <w:p>
      <w:pPr>
        <w:pStyle w:val="ListParagraph"/>
        <w:numPr>
          <w:ilvl w:val="0"/>
          <w:numId w:val="15"/>
        </w:numPr>
        <w:spacing w:after="80"/>
      </w:pPr>
      <w:r>
        <w:rPr>
          <w:rFonts w:ascii="Arial" w:cs="Arial" w:eastAsia="Arial" w:hAnsi="Arial"/>
          <w:color w:val="1A2332"/>
          <w:sz w:val="22"/>
          <w:szCs w:val="22"/>
        </w:rPr>
        <w:t xml:space="preserve">Obligation de formation qualifiante pour les chomeurs de longue duree</w:t>
      </w:r>
    </w:p>
    <w:p>
      <w:pPr>
        <w:pStyle w:val="ListParagraph"/>
        <w:numPr>
          <w:ilvl w:val="0"/>
          <w:numId w:val="15"/>
        </w:numPr>
        <w:spacing w:after="80"/>
      </w:pPr>
      <w:r>
        <w:rPr>
          <w:rFonts w:ascii="Arial" w:cs="Arial" w:eastAsia="Arial" w:hAnsi="Arial"/>
          <w:b/>
          <w:bCs/>
          <w:color w:val="1A2332"/>
          <w:sz w:val="22"/>
          <w:szCs w:val="22"/>
        </w:rPr>
        <w:t xml:space="preserve">Economie : 3 a 4 milliards EUR/an</w:t>
      </w:r>
    </w:p>
    <w:p>
      <w:pPr>
        <w:spacing w:before="200" w:after="100"/>
      </w:pPr>
      <w:r>
        <w:rPr>
          <w:rFonts w:ascii="Arial" w:cs="Arial" w:eastAsia="Arial" w:hAnsi="Arial"/>
          <w:b/>
          <w:bCs/>
          <w:color w:val="0A1628"/>
          <w:sz w:val="24"/>
          <w:szCs w:val="24"/>
        </w:rPr>
        <w:t xml:space="preserve">3.5 — Apprentissage et formation continue</w:t>
      </w:r>
    </w:p>
    <w:p>
      <w:pPr>
        <w:pStyle w:val="ListParagraph"/>
        <w:numPr>
          <w:ilvl w:val="0"/>
          <w:numId w:val="16"/>
        </w:numPr>
        <w:spacing w:after="80"/>
      </w:pPr>
      <w:r>
        <w:rPr>
          <w:rFonts w:ascii="Arial" w:cs="Arial" w:eastAsia="Arial" w:hAnsi="Arial"/>
          <w:color w:val="1A2332"/>
          <w:sz w:val="22"/>
          <w:szCs w:val="22"/>
        </w:rPr>
        <w:t xml:space="preserve">Doubler le nombre d'apprentis : objectif 1,5 million (vs ~800 000 aujourd'hui)</w:t>
      </w:r>
    </w:p>
    <w:p>
      <w:pPr>
        <w:pStyle w:val="ListParagraph"/>
        <w:numPr>
          <w:ilvl w:val="0"/>
          <w:numId w:val="16"/>
        </w:numPr>
        <w:spacing w:after="80"/>
      </w:pPr>
      <w:r>
        <w:rPr>
          <w:rFonts w:ascii="Arial" w:cs="Arial" w:eastAsia="Arial" w:hAnsi="Arial"/>
          <w:color w:val="1A2332"/>
          <w:sz w:val="22"/>
          <w:szCs w:val="22"/>
        </w:rPr>
        <w:t xml:space="preserve">Creer un 'compte competences' utilisable a tout age, adosse a la capitalisation retraite</w:t>
      </w:r>
    </w:p>
    <w:p>
      <w:pPr>
        <w:pStyle w:val="ListParagraph"/>
        <w:numPr>
          <w:ilvl w:val="0"/>
          <w:numId w:val="16"/>
        </w:numPr>
        <w:spacing w:after="80"/>
      </w:pPr>
      <w:r>
        <w:rPr>
          <w:rFonts w:ascii="Arial" w:cs="Arial" w:eastAsia="Arial" w:hAnsi="Arial"/>
          <w:b/>
          <w:bCs/>
          <w:color w:val="1A2332"/>
          <w:sz w:val="22"/>
          <w:szCs w:val="22"/>
        </w:rPr>
        <w:t xml:space="preserve">Budget supplementaire : 2 milliards EUR/an</w:t>
      </w:r>
      <w:r>
        <w:rPr>
          <w:rFonts w:ascii="Arial" w:cs="Arial" w:eastAsia="Arial" w:hAnsi="Arial"/>
          <w:color w:val="1A2332"/>
          <w:sz w:val="22"/>
          <w:szCs w:val="22"/>
        </w:rPr>
        <w:t xml:space="preserve">, finances par la reforme de la formation professionnelle (31 Md EUR de budget actuel, largement inefficace)</w:t>
      </w:r>
    </w:p>
    <w:p>
      <w:pPr>
        <w:pStyle w:val="Heading2"/>
        <w:spacing w:before="300" w:after="150"/>
      </w:pPr>
      <w:r>
        <w:rPr>
          <w:rFonts w:ascii="Georgia" w:cs="Georgia" w:eastAsia="Georgia" w:hAnsi="Georgia"/>
          <w:b/>
          <w:bCs/>
          <w:color w:val="0099BB"/>
          <w:sz w:val="28"/>
          <w:szCs w:val="28"/>
        </w:rPr>
        <w:t xml:space="preserve">Impact budgetaire total du theme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Mesure</w:t>
            </w:r>
          </w:p>
        </w:tc>
        <w:tc>
          <w:tcPr>
            <w:tcW w:type="dxa" w:w="3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Cout (-) / Economie (+)</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Zero charges &lt; 1.3 SMIC</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Reforme assurance chomage</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+3-4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Retour a l'emploi (moins d'allocations)</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+3-5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Rationalisation formation pro</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+2-3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TOTAL</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 a +7 Md EUR net</w:t>
            </w:r>
          </w:p>
        </w:tc>
      </w:tr>
    </w:tbl>
    <w:p>
      <w:r>
        <w:br w:type="page"/>
      </w:r>
    </w:p>
    <w:p>
      <w:pPr>
        <w:pStyle w:val="Heading1"/>
        <w:spacing w:before="400" w:after="200"/>
      </w:pPr>
      <w:r>
        <w:rPr>
          <w:rFonts w:ascii="Georgia" w:cs="Georgia" w:eastAsia="Georgia" w:hAnsi="Georgia"/>
          <w:b/>
          <w:bCs/>
          <w:color w:val="0A1628"/>
          <w:sz w:val="36"/>
          <w:szCs w:val="36"/>
        </w:rPr>
        <w:t xml:space="preserve">4. Retraites : sauver le systeme</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La France consacre </w:t>
      </w:r>
      <w:r>
        <w:rPr>
          <w:rFonts w:ascii="Arial" w:cs="Arial" w:eastAsia="Arial" w:hAnsi="Arial"/>
          <w:b/>
          <w:bCs/>
          <w:color w:val="D63031"/>
          <w:sz w:val="22"/>
          <w:szCs w:val="22"/>
        </w:rPr>
        <w:t xml:space="preserve">13,9 % de son PIB aux retraites</w:t>
      </w:r>
      <w:r>
        <w:rPr>
          <w:rFonts w:ascii="Arial" w:cs="Arial" w:eastAsia="Arial" w:hAnsi="Arial"/>
          <w:color w:val="1A2332"/>
          <w:sz w:val="22"/>
          <w:szCs w:val="22"/>
        </w:rPr>
        <w:t xml:space="preserve"> (406,9 milliards EUR bruts en 2024, source COR), un record absolu dans l'OCDE. L'age effectif de depart est de </w:t>
      </w:r>
      <w:r>
        <w:rPr>
          <w:rFonts w:ascii="Arial" w:cs="Arial" w:eastAsia="Arial" w:hAnsi="Arial"/>
          <w:b/>
          <w:bCs/>
          <w:color w:val="D63031"/>
          <w:sz w:val="22"/>
          <w:szCs w:val="22"/>
        </w:rPr>
        <w:t xml:space="preserve">63 ans</w:t>
      </w:r>
      <w:r>
        <w:rPr>
          <w:rFonts w:ascii="Arial" w:cs="Arial" w:eastAsia="Arial" w:hAnsi="Arial"/>
          <w:color w:val="1A2332"/>
          <w:sz w:val="22"/>
          <w:szCs w:val="22"/>
        </w:rPr>
        <w:t xml:space="preserve"> en moyenne (OCDE : 64,5 ans), contre 64,4 ans en Allemagne, 65,2 ans en Suede et 67 ans au Danemark.</w:t>
      </w:r>
    </w:p>
    <w:p>
      <w:pPr>
        <w:spacing w:after="120"/>
        <w:jc w:val="both"/>
      </w:pPr>
      <w:r>
        <w:rPr>
          <w:rFonts w:ascii="Arial" w:cs="Arial" w:eastAsia="Arial" w:hAnsi="Arial"/>
          <w:color w:val="1A2332"/>
          <w:sz w:val="22"/>
          <w:szCs w:val="22"/>
        </w:rPr>
        <w:t xml:space="preserve">Le ratio cotisants/retraites se degrade inexorablement : de 4 pour 1 en 1960 a </w:t>
      </w:r>
      <w:r>
        <w:rPr>
          <w:rFonts w:ascii="Arial" w:cs="Arial" w:eastAsia="Arial" w:hAnsi="Arial"/>
          <w:b/>
          <w:bCs/>
          <w:color w:val="D63031"/>
          <w:sz w:val="22"/>
          <w:szCs w:val="22"/>
        </w:rPr>
        <w:t xml:space="preserve">1,79 pour 1 en 2023</w:t>
      </w:r>
      <w:r>
        <w:rPr>
          <w:rFonts w:ascii="Arial" w:cs="Arial" w:eastAsia="Arial" w:hAnsi="Arial"/>
          <w:color w:val="1A2332"/>
          <w:sz w:val="22"/>
          <w:szCs w:val="22"/>
        </w:rPr>
        <w:t xml:space="preserve"> (30,4 millions de cotisants pour 17,1 millions de retraites, COR 2025), et 1,41 pour 1 en 2070. Le systeme par repartition, concu pour une esperance de vie de 67 ans, doit fonctionner avec une esperance de 83 ans.</w:t>
      </w:r>
    </w:p>
    <w:p>
      <w:pPr>
        <w:spacing w:after="120"/>
        <w:jc w:val="both"/>
      </w:pPr>
      <w:r>
        <w:rPr>
          <w:rFonts w:ascii="Arial" w:cs="Arial" w:eastAsia="Arial" w:hAnsi="Arial"/>
          <w:color w:val="1A2332"/>
          <w:sz w:val="22"/>
          <w:szCs w:val="22"/>
        </w:rPr>
        <w:t xml:space="preserve">Pendant ce temps, les fonds de pension des Pays-Bas gerent </w:t>
      </w:r>
      <w:r>
        <w:rPr>
          <w:rFonts w:ascii="Arial" w:cs="Arial" w:eastAsia="Arial" w:hAnsi="Arial"/>
          <w:b/>
          <w:bCs/>
          <w:color w:val="D63031"/>
          <w:sz w:val="22"/>
          <w:szCs w:val="22"/>
        </w:rPr>
        <w:t xml:space="preserve">200 % de leur PIB</w:t>
      </w:r>
      <w:r>
        <w:rPr>
          <w:rFonts w:ascii="Arial" w:cs="Arial" w:eastAsia="Arial" w:hAnsi="Arial"/>
          <w:color w:val="1A2332"/>
          <w:sz w:val="22"/>
          <w:szCs w:val="22"/>
        </w:rPr>
        <w:t xml:space="preserve"> en actifs, ceux de la Suede 72 % du PIB, et la France... pratiquement zero. Les Francais sont prives du rendement long terme des marches financiers pour leur retraite.</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4.1 — Age legal a 65 ans en 2032</w:t>
      </w:r>
    </w:p>
    <w:p>
      <w:pPr>
        <w:pStyle w:val="ListParagraph"/>
        <w:numPr>
          <w:ilvl w:val="0"/>
          <w:numId w:val="17"/>
        </w:numPr>
        <w:spacing w:after="80"/>
      </w:pPr>
      <w:r>
        <w:rPr>
          <w:rFonts w:ascii="Arial" w:cs="Arial" w:eastAsia="Arial" w:hAnsi="Arial"/>
          <w:color w:val="1A2332"/>
          <w:sz w:val="22"/>
          <w:szCs w:val="22"/>
        </w:rPr>
        <w:t xml:space="preserve">Recul progressif : +4 mois par an a partir de 2028 pour atteindre 65 ans en 2032</w:t>
      </w:r>
    </w:p>
    <w:p>
      <w:pPr>
        <w:pStyle w:val="ListParagraph"/>
        <w:numPr>
          <w:ilvl w:val="0"/>
          <w:numId w:val="17"/>
        </w:numPr>
        <w:spacing w:after="80"/>
      </w:pPr>
      <w:r>
        <w:rPr>
          <w:rFonts w:ascii="Arial" w:cs="Arial" w:eastAsia="Arial" w:hAnsi="Arial"/>
          <w:color w:val="1A2332"/>
          <w:sz w:val="22"/>
          <w:szCs w:val="22"/>
        </w:rPr>
        <w:t xml:space="preserve">Maintien des departs anticipes pour carrières longues et penibilite averee</w:t>
      </w:r>
    </w:p>
    <w:p>
      <w:pPr>
        <w:pStyle w:val="ListParagraph"/>
        <w:numPr>
          <w:ilvl w:val="0"/>
          <w:numId w:val="17"/>
        </w:numPr>
        <w:spacing w:after="80"/>
      </w:pPr>
      <w:r>
        <w:rPr>
          <w:rFonts w:ascii="Arial" w:cs="Arial" w:eastAsia="Arial" w:hAnsi="Arial"/>
          <w:b/>
          <w:bCs/>
          <w:color w:val="1A2332"/>
          <w:sz w:val="22"/>
          <w:szCs w:val="22"/>
        </w:rPr>
        <w:t xml:space="preserve">Economie : 15 a 20 milliards EUR/an a terme</w:t>
      </w:r>
      <w:r>
        <w:rPr>
          <w:rFonts w:ascii="Arial" w:cs="Arial" w:eastAsia="Arial" w:hAnsi="Arial"/>
          <w:color w:val="1A2332"/>
          <w:sz w:val="22"/>
          <w:szCs w:val="22"/>
        </w:rPr>
        <w:t xml:space="preserve"> (chiffrage COR)</w:t>
      </w:r>
    </w:p>
    <w:p>
      <w:pPr>
        <w:spacing w:before="200" w:after="100"/>
      </w:pPr>
      <w:r>
        <w:rPr>
          <w:rFonts w:ascii="Arial" w:cs="Arial" w:eastAsia="Arial" w:hAnsi="Arial"/>
          <w:b/>
          <w:bCs/>
          <w:color w:val="0A1628"/>
          <w:sz w:val="24"/>
          <w:szCs w:val="24"/>
        </w:rPr>
        <w:t xml:space="preserve">4.2 — Creation d'un pilier capitalisation obligatoire</w:t>
      </w:r>
    </w:p>
    <w:p>
      <w:pPr>
        <w:pStyle w:val="ListParagraph"/>
        <w:numPr>
          <w:ilvl w:val="0"/>
          <w:numId w:val="18"/>
        </w:numPr>
        <w:spacing w:after="80"/>
      </w:pPr>
      <w:r>
        <w:rPr>
          <w:rFonts w:ascii="Arial" w:cs="Arial" w:eastAsia="Arial" w:hAnsi="Arial"/>
          <w:color w:val="1A2332"/>
          <w:sz w:val="22"/>
          <w:szCs w:val="22"/>
        </w:rPr>
        <w:t xml:space="preserve">5 % du salaire brut verse sur un compte individuel capitalise (inspire du modele suedois)</w:t>
      </w:r>
    </w:p>
    <w:p>
      <w:pPr>
        <w:pStyle w:val="ListParagraph"/>
        <w:numPr>
          <w:ilvl w:val="0"/>
          <w:numId w:val="18"/>
        </w:numPr>
        <w:spacing w:after="80"/>
      </w:pPr>
      <w:r>
        <w:rPr>
          <w:rFonts w:ascii="Arial" w:cs="Arial" w:eastAsia="Arial" w:hAnsi="Arial"/>
          <w:color w:val="1A2332"/>
          <w:sz w:val="22"/>
          <w:szCs w:val="22"/>
        </w:rPr>
        <w:t xml:space="preserve">Gestion par des fonds agrees en concurrence (avec option fonds public securise)</w:t>
      </w:r>
    </w:p>
    <w:p>
      <w:pPr>
        <w:pStyle w:val="ListParagraph"/>
        <w:numPr>
          <w:ilvl w:val="0"/>
          <w:numId w:val="18"/>
        </w:numPr>
        <w:spacing w:after="80"/>
      </w:pPr>
      <w:r>
        <w:rPr>
          <w:rFonts w:ascii="Arial" w:cs="Arial" w:eastAsia="Arial" w:hAnsi="Arial"/>
          <w:color w:val="1A2332"/>
          <w:sz w:val="22"/>
          <w:szCs w:val="22"/>
        </w:rPr>
        <w:t xml:space="preserve">Le rendement historique des marches actions est de ~7 %/an sur 30 ans, vs ~2 % pour la repartition</w:t>
      </w:r>
    </w:p>
    <w:p>
      <w:pPr>
        <w:pStyle w:val="ListParagraph"/>
        <w:numPr>
          <w:ilvl w:val="0"/>
          <w:numId w:val="18"/>
        </w:numPr>
        <w:spacing w:after="80"/>
      </w:pPr>
      <w:r>
        <w:rPr>
          <w:rFonts w:ascii="Arial" w:cs="Arial" w:eastAsia="Arial" w:hAnsi="Arial"/>
          <w:b/>
          <w:bCs/>
          <w:color w:val="1A2332"/>
          <w:sz w:val="22"/>
          <w:szCs w:val="22"/>
        </w:rPr>
        <w:t xml:space="preserve">Sur 40 ans de carriere, 200 EUR/mois capitalises a 6 % = ~400 000 EUR a la retraite</w:t>
      </w:r>
    </w:p>
    <w:p>
      <w:pPr>
        <w:pStyle w:val="ListParagraph"/>
        <w:numPr>
          <w:ilvl w:val="0"/>
          <w:numId w:val="18"/>
        </w:numPr>
        <w:spacing w:after="80"/>
      </w:pPr>
      <w:r>
        <w:rPr>
          <w:rFonts w:ascii="Arial" w:cs="Arial" w:eastAsia="Arial" w:hAnsi="Arial"/>
          <w:color w:val="1A2332"/>
          <w:sz w:val="22"/>
          <w:szCs w:val="22"/>
        </w:rPr>
        <w:t xml:space="preserve">Phase de transition : les cotisations repartition baissent de 5 points, compensees par le budget pendant 15 ans (~15 Md EUR/an de cout transitoire, degressif)</w:t>
      </w:r>
    </w:p>
    <w:p>
      <w:pPr>
        <w:spacing w:before="200" w:after="100"/>
      </w:pPr>
      <w:r>
        <w:rPr>
          <w:rFonts w:ascii="Arial" w:cs="Arial" w:eastAsia="Arial" w:hAnsi="Arial"/>
          <w:b/>
          <w:bCs/>
          <w:color w:val="0A1628"/>
          <w:sz w:val="24"/>
          <w:szCs w:val="24"/>
        </w:rPr>
        <w:t xml:space="preserve">4.3 — Alignement public/prive</w:t>
      </w:r>
    </w:p>
    <w:p>
      <w:pPr>
        <w:pStyle w:val="ListParagraph"/>
        <w:numPr>
          <w:ilvl w:val="0"/>
          <w:numId w:val="19"/>
        </w:numPr>
        <w:spacing w:after="80"/>
      </w:pPr>
      <w:r>
        <w:rPr>
          <w:rFonts w:ascii="Arial" w:cs="Arial" w:eastAsia="Arial" w:hAnsi="Arial"/>
          <w:color w:val="1A2332"/>
          <w:sz w:val="22"/>
          <w:szCs w:val="22"/>
        </w:rPr>
        <w:t xml:space="preserve">Meme regime pour tous : fonctionnaires, salaries du prive, independants</w:t>
      </w:r>
    </w:p>
    <w:p>
      <w:pPr>
        <w:pStyle w:val="ListParagraph"/>
        <w:numPr>
          <w:ilvl w:val="0"/>
          <w:numId w:val="19"/>
        </w:numPr>
        <w:spacing w:after="80"/>
      </w:pPr>
      <w:r>
        <w:rPr>
          <w:rFonts w:ascii="Arial" w:cs="Arial" w:eastAsia="Arial" w:hAnsi="Arial"/>
          <w:color w:val="1A2332"/>
          <w:sz w:val="22"/>
          <w:szCs w:val="22"/>
        </w:rPr>
        <w:t xml:space="preserve">Suppression des regimes speciaux restants</w:t>
      </w:r>
    </w:p>
    <w:p>
      <w:pPr>
        <w:pStyle w:val="ListParagraph"/>
        <w:numPr>
          <w:ilvl w:val="0"/>
          <w:numId w:val="19"/>
        </w:numPr>
        <w:spacing w:after="80"/>
      </w:pPr>
      <w:r>
        <w:rPr>
          <w:rFonts w:ascii="Arial" w:cs="Arial" w:eastAsia="Arial" w:hAnsi="Arial"/>
          <w:b/>
          <w:bCs/>
          <w:color w:val="1A2332"/>
          <w:sz w:val="22"/>
          <w:szCs w:val="22"/>
        </w:rPr>
        <w:t xml:space="preserve">Economie a terme : 3 a 5 milliards EUR/an</w:t>
      </w:r>
    </w:p>
    <w:p>
      <w:pPr>
        <w:spacing w:before="200" w:after="100"/>
      </w:pPr>
      <w:r>
        <w:rPr>
          <w:rFonts w:ascii="Arial" w:cs="Arial" w:eastAsia="Arial" w:hAnsi="Arial"/>
          <w:b/>
          <w:bCs/>
          <w:color w:val="0A1628"/>
          <w:sz w:val="24"/>
          <w:szCs w:val="24"/>
        </w:rPr>
        <w:t xml:space="preserve">4.4 — Incitation au cumul emploi-retraite</w:t>
      </w:r>
    </w:p>
    <w:p>
      <w:pPr>
        <w:pStyle w:val="ListParagraph"/>
        <w:numPr>
          <w:ilvl w:val="0"/>
          <w:numId w:val="20"/>
        </w:numPr>
        <w:spacing w:after="80"/>
      </w:pPr>
      <w:r>
        <w:rPr>
          <w:rFonts w:ascii="Arial" w:cs="Arial" w:eastAsia="Arial" w:hAnsi="Arial"/>
          <w:color w:val="1A2332"/>
          <w:sz w:val="22"/>
          <w:szCs w:val="22"/>
        </w:rPr>
        <w:t xml:space="preserve">Defiscalisation totale du cumul emploi-retraite pour les +65 ans</w:t>
      </w:r>
    </w:p>
    <w:p>
      <w:pPr>
        <w:pStyle w:val="ListParagraph"/>
        <w:numPr>
          <w:ilvl w:val="0"/>
          <w:numId w:val="20"/>
        </w:numPr>
        <w:spacing w:after="80"/>
      </w:pPr>
      <w:r>
        <w:rPr>
          <w:rFonts w:ascii="Arial" w:cs="Arial" w:eastAsia="Arial" w:hAnsi="Arial"/>
          <w:color w:val="1A2332"/>
          <w:sz w:val="22"/>
          <w:szCs w:val="22"/>
        </w:rPr>
        <w:t xml:space="preserve">Surcote de 10 % par annee travaillee au-dela de 65 ans</w:t>
      </w:r>
    </w:p>
    <w:p>
      <w:pPr>
        <w:pStyle w:val="ListParagraph"/>
        <w:numPr>
          <w:ilvl w:val="0"/>
          <w:numId w:val="20"/>
        </w:numPr>
        <w:spacing w:after="80"/>
      </w:pPr>
      <w:r>
        <w:rPr>
          <w:rFonts w:ascii="Arial" w:cs="Arial" w:eastAsia="Arial" w:hAnsi="Arial"/>
          <w:b/>
          <w:bCs/>
          <w:color w:val="1A2332"/>
          <w:sz w:val="22"/>
          <w:szCs w:val="22"/>
        </w:rPr>
        <w:t xml:space="preserve">Recettes supplementaires : 2 a 3 milliards EUR/an</w:t>
      </w:r>
      <w:r>
        <w:rPr>
          <w:rFonts w:ascii="Arial" w:cs="Arial" w:eastAsia="Arial" w:hAnsi="Arial"/>
          <w:color w:val="1A2332"/>
          <w:sz w:val="22"/>
          <w:szCs w:val="22"/>
        </w:rPr>
        <w:t xml:space="preserve"> (cotisations des actifs seniors)</w:t>
      </w:r>
    </w:p>
    <w:p>
      <w:pPr>
        <w:pStyle w:val="Heading2"/>
        <w:spacing w:before="300" w:after="150"/>
      </w:pPr>
      <w:r>
        <w:rPr>
          <w:rFonts w:ascii="Georgia" w:cs="Georgia" w:eastAsia="Georgia" w:hAnsi="Georgia"/>
          <w:b/>
          <w:bCs/>
          <w:color w:val="0099BB"/>
          <w:sz w:val="28"/>
          <w:szCs w:val="28"/>
        </w:rPr>
        <w:t xml:space="preserve">Impact budgetaire total du theme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Mesure</w:t>
            </w:r>
          </w:p>
        </w:tc>
        <w:tc>
          <w:tcPr>
            <w:tcW w:type="dxa" w:w="3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Impact annuel (a terme)</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Recul age legal a 65 ans</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+15-20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Capitalisation (cout de transition)</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-15 Md EUR (degressif sur 15 ans)</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Alignement regimes</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+3-5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Cumul emploi-retraite</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+2-3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TOTAL (hors transition)</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+20-28 Md EUR</w:t>
            </w:r>
          </w:p>
        </w:tc>
      </w:tr>
    </w:tbl>
    <w:p>
      <w:r>
        <w:br w:type="page"/>
      </w:r>
    </w:p>
    <w:p>
      <w:pPr>
        <w:pStyle w:val="Heading1"/>
        <w:spacing w:before="400" w:after="200"/>
      </w:pPr>
      <w:r>
        <w:rPr>
          <w:rFonts w:ascii="Georgia" w:cs="Georgia" w:eastAsia="Georgia" w:hAnsi="Georgia"/>
          <w:b/>
          <w:bCs/>
          <w:color w:val="0A1628"/>
          <w:sz w:val="36"/>
          <w:szCs w:val="36"/>
        </w:rPr>
        <w:t xml:space="preserve">5. Sante : efficacite et acces aux soins</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La depense courante de sante atteint </w:t>
      </w:r>
      <w:r>
        <w:rPr>
          <w:rFonts w:ascii="Arial" w:cs="Arial" w:eastAsia="Arial" w:hAnsi="Arial"/>
          <w:b/>
          <w:bCs/>
          <w:color w:val="D63031"/>
          <w:sz w:val="22"/>
          <w:szCs w:val="22"/>
        </w:rPr>
        <w:t xml:space="preserve">333 milliards d'euros</w:t>
      </w:r>
      <w:r>
        <w:rPr>
          <w:rFonts w:ascii="Arial" w:cs="Arial" w:eastAsia="Arial" w:hAnsi="Arial"/>
          <w:color w:val="1A2332"/>
          <w:sz w:val="22"/>
          <w:szCs w:val="22"/>
        </w:rPr>
        <w:t xml:space="preserve"> (11,4 % du PIB, DREES 2025), en hausse de 3,6 % sur un an. Le deficit de la Securite sociale atteint </w:t>
      </w:r>
      <w:r>
        <w:rPr>
          <w:rFonts w:ascii="Arial" w:cs="Arial" w:eastAsia="Arial" w:hAnsi="Arial"/>
          <w:b/>
          <w:bCs/>
          <w:color w:val="D63031"/>
          <w:sz w:val="22"/>
          <w:szCs w:val="22"/>
        </w:rPr>
        <w:t xml:space="preserve">15,3 milliards d'euros en 2024</w:t>
      </w:r>
      <w:r>
        <w:rPr>
          <w:rFonts w:ascii="Arial" w:cs="Arial" w:eastAsia="Arial" w:hAnsi="Arial"/>
          <w:color w:val="1A2332"/>
          <w:sz w:val="22"/>
          <w:szCs w:val="22"/>
        </w:rPr>
        <w:t xml:space="preserve"> (dont 13,8 Md EUR pour l'Assurance Maladie seule). Les ALD concernent 13,8 millions de personnes et coutent 123 milliards d'euros (60 % des depenses d'assurance maladie).</w:t>
      </w:r>
    </w:p>
    <w:p>
      <w:pPr>
        <w:spacing w:after="120"/>
        <w:jc w:val="both"/>
      </w:pPr>
      <w:r>
        <w:rPr>
          <w:rFonts w:ascii="Arial" w:cs="Arial" w:eastAsia="Arial" w:hAnsi="Arial"/>
          <w:color w:val="1A2332"/>
          <w:sz w:val="22"/>
          <w:szCs w:val="22"/>
        </w:rPr>
        <w:t xml:space="preserve">La France compte 3,6 medecins pour 1 000 habitants en moyenne, mais les inegalites territoriales sont abyssales : de 49 a 290 medecins pour 100 000 habitants selon les departements. </w:t>
      </w:r>
      <w:r>
        <w:rPr>
          <w:rFonts w:ascii="Arial" w:cs="Arial" w:eastAsia="Arial" w:hAnsi="Arial"/>
          <w:b/>
          <w:bCs/>
          <w:color w:val="D63031"/>
          <w:sz w:val="22"/>
          <w:szCs w:val="22"/>
        </w:rPr>
        <w:t xml:space="preserve">6 millions de Francais n'ont pas de medecin traitant</w:t>
      </w:r>
      <w:r>
        <w:rPr>
          <w:rFonts w:ascii="Arial" w:cs="Arial" w:eastAsia="Arial" w:hAnsi="Arial"/>
          <w:color w:val="1A2332"/>
          <w:sz w:val="22"/>
          <w:szCs w:val="22"/>
        </w:rPr>
        <w:t xml:space="preserve">.</w:t>
      </w:r>
    </w:p>
    <w:p>
      <w:pPr>
        <w:spacing w:after="120"/>
        <w:jc w:val="both"/>
      </w:pPr>
      <w:r>
        <w:rPr>
          <w:rFonts w:ascii="Arial" w:cs="Arial" w:eastAsia="Arial" w:hAnsi="Arial"/>
          <w:color w:val="1A2332"/>
          <w:sz w:val="22"/>
          <w:szCs w:val="22"/>
        </w:rPr>
        <w:t xml:space="preserve">Les depenses de medicaments atteignent </w:t>
      </w:r>
      <w:r>
        <w:rPr>
          <w:rFonts w:ascii="Arial" w:cs="Arial" w:eastAsia="Arial" w:hAnsi="Arial"/>
          <w:b/>
          <w:bCs/>
          <w:color w:val="D63031"/>
          <w:sz w:val="22"/>
          <w:szCs w:val="22"/>
        </w:rPr>
        <w:t xml:space="preserve">34,5 milliards d'euros</w:t>
      </w:r>
      <w:r>
        <w:rPr>
          <w:rFonts w:ascii="Arial" w:cs="Arial" w:eastAsia="Arial" w:hAnsi="Arial"/>
          <w:color w:val="1A2332"/>
          <w:sz w:val="22"/>
          <w:szCs w:val="22"/>
        </w:rPr>
        <w:t xml:space="preserve">. L'hopital absorbe 27 % des depenses avec des inefficiences majeures : duree d'hospitalisation elevee, retard en chirurgie ambulatoire.</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5.1 — Liberalisation de l'installation des medecins</w:t>
      </w:r>
    </w:p>
    <w:p>
      <w:pPr>
        <w:pStyle w:val="ListParagraph"/>
        <w:numPr>
          <w:ilvl w:val="0"/>
          <w:numId w:val="21"/>
        </w:numPr>
        <w:spacing w:after="80"/>
      </w:pPr>
      <w:r>
        <w:rPr>
          <w:rFonts w:ascii="Arial" w:cs="Arial" w:eastAsia="Arial" w:hAnsi="Arial"/>
          <w:color w:val="1A2332"/>
          <w:sz w:val="22"/>
          <w:szCs w:val="22"/>
        </w:rPr>
        <w:t xml:space="preserve">Fin du numerus clausus residuel : doubler les places en medecine en 5 ans</w:t>
      </w:r>
    </w:p>
    <w:p>
      <w:pPr>
        <w:pStyle w:val="ListParagraph"/>
        <w:numPr>
          <w:ilvl w:val="0"/>
          <w:numId w:val="21"/>
        </w:numPr>
        <w:spacing w:after="80"/>
      </w:pPr>
      <w:r>
        <w:rPr>
          <w:rFonts w:ascii="Arial" w:cs="Arial" w:eastAsia="Arial" w:hAnsi="Arial"/>
          <w:color w:val="1A2332"/>
          <w:sz w:val="22"/>
          <w:szCs w:val="22"/>
        </w:rPr>
        <w:t xml:space="preserve">Conventionnement selectif : dans les zones surdotees, pas de nouveau conventionnement sauf remplacement</w:t>
      </w:r>
    </w:p>
    <w:p>
      <w:pPr>
        <w:pStyle w:val="ListParagraph"/>
        <w:numPr>
          <w:ilvl w:val="0"/>
          <w:numId w:val="21"/>
        </w:numPr>
        <w:spacing w:after="80"/>
      </w:pPr>
      <w:r>
        <w:rPr>
          <w:rFonts w:ascii="Arial" w:cs="Arial" w:eastAsia="Arial" w:hAnsi="Arial"/>
          <w:color w:val="1A2332"/>
          <w:sz w:val="22"/>
          <w:szCs w:val="22"/>
        </w:rPr>
        <w:t xml:space="preserve">Prime d'installation de 50 000 EUR en zone sous-dotee (financement : redirection des aides existantes)</w:t>
      </w:r>
    </w:p>
    <w:p>
      <w:pPr>
        <w:spacing w:before="200" w:after="100"/>
      </w:pPr>
      <w:r>
        <w:rPr>
          <w:rFonts w:ascii="Arial" w:cs="Arial" w:eastAsia="Arial" w:hAnsi="Arial"/>
          <w:b/>
          <w:bCs/>
          <w:color w:val="0A1628"/>
          <w:sz w:val="24"/>
          <w:szCs w:val="24"/>
        </w:rPr>
        <w:t xml:space="preserve">5.2 — Developpement massif de la chirurgie ambulatoire</w:t>
      </w:r>
    </w:p>
    <w:p>
      <w:pPr>
        <w:pStyle w:val="ListParagraph"/>
        <w:numPr>
          <w:ilvl w:val="0"/>
          <w:numId w:val="22"/>
        </w:numPr>
        <w:spacing w:after="80"/>
      </w:pPr>
      <w:r>
        <w:rPr>
          <w:rFonts w:ascii="Arial" w:cs="Arial" w:eastAsia="Arial" w:hAnsi="Arial"/>
          <w:color w:val="1A2332"/>
          <w:sz w:val="22"/>
          <w:szCs w:val="22"/>
        </w:rPr>
        <w:t xml:space="preserve">Objectif : 80 % des actes chirurgicaux en ambulatoire (vs ~60 % aujourd'hui, 85 % au Danemark)</w:t>
      </w:r>
    </w:p>
    <w:p>
      <w:pPr>
        <w:pStyle w:val="ListParagraph"/>
        <w:numPr>
          <w:ilvl w:val="0"/>
          <w:numId w:val="22"/>
        </w:numPr>
        <w:spacing w:after="80"/>
      </w:pPr>
      <w:r>
        <w:rPr>
          <w:rFonts w:ascii="Arial" w:cs="Arial" w:eastAsia="Arial" w:hAnsi="Arial"/>
          <w:color w:val="1A2332"/>
          <w:sz w:val="22"/>
          <w:szCs w:val="22"/>
        </w:rPr>
        <w:t xml:space="preserve">Fermeture des services hospitaliers sous-dimensionnes (&lt;500 actes/an)</w:t>
      </w:r>
    </w:p>
    <w:p>
      <w:pPr>
        <w:pStyle w:val="ListParagraph"/>
        <w:numPr>
          <w:ilvl w:val="0"/>
          <w:numId w:val="22"/>
        </w:numPr>
        <w:spacing w:after="80"/>
      </w:pPr>
      <w:r>
        <w:rPr>
          <w:rFonts w:ascii="Arial" w:cs="Arial" w:eastAsia="Arial" w:hAnsi="Arial"/>
          <w:b/>
          <w:bCs/>
          <w:color w:val="1A2332"/>
          <w:sz w:val="22"/>
          <w:szCs w:val="22"/>
        </w:rPr>
        <w:t xml:space="preserve">Economie : 5 a 8 milliards EUR/an</w:t>
      </w:r>
      <w:r>
        <w:rPr>
          <w:rFonts w:ascii="Arial" w:cs="Arial" w:eastAsia="Arial" w:hAnsi="Arial"/>
          <w:color w:val="1A2332"/>
          <w:sz w:val="22"/>
          <w:szCs w:val="22"/>
        </w:rPr>
        <w:t xml:space="preserve"> (une journee d'hospitalisation coute ~2 000 EUR)</w:t>
      </w:r>
    </w:p>
    <w:p>
      <w:pPr>
        <w:spacing w:before="200" w:after="100"/>
      </w:pPr>
      <w:r>
        <w:rPr>
          <w:rFonts w:ascii="Arial" w:cs="Arial" w:eastAsia="Arial" w:hAnsi="Arial"/>
          <w:b/>
          <w:bCs/>
          <w:color w:val="0A1628"/>
          <w:sz w:val="24"/>
          <w:szCs w:val="24"/>
        </w:rPr>
        <w:t xml:space="preserve">5.3 — Numerisation et telesante</w:t>
      </w:r>
    </w:p>
    <w:p>
      <w:pPr>
        <w:pStyle w:val="ListParagraph"/>
        <w:numPr>
          <w:ilvl w:val="0"/>
          <w:numId w:val="23"/>
        </w:numPr>
        <w:spacing w:after="80"/>
      </w:pPr>
      <w:r>
        <w:rPr>
          <w:rFonts w:ascii="Arial" w:cs="Arial" w:eastAsia="Arial" w:hAnsi="Arial"/>
          <w:color w:val="1A2332"/>
          <w:sz w:val="22"/>
          <w:szCs w:val="22"/>
        </w:rPr>
        <w:t xml:space="preserve">Generaliser la teleconsultation : objectif 20 % des consultations (vs ~3 % aujourd'hui)</w:t>
      </w:r>
    </w:p>
    <w:p>
      <w:pPr>
        <w:pStyle w:val="ListParagraph"/>
        <w:numPr>
          <w:ilvl w:val="0"/>
          <w:numId w:val="23"/>
        </w:numPr>
        <w:spacing w:after="80"/>
      </w:pPr>
      <w:r>
        <w:rPr>
          <w:rFonts w:ascii="Arial" w:cs="Arial" w:eastAsia="Arial" w:hAnsi="Arial"/>
          <w:color w:val="1A2332"/>
          <w:sz w:val="22"/>
          <w:szCs w:val="22"/>
        </w:rPr>
        <w:t xml:space="preserve">Dossier medical unique interoperable obligatoire</w:t>
      </w:r>
    </w:p>
    <w:p>
      <w:pPr>
        <w:pStyle w:val="ListParagraph"/>
        <w:numPr>
          <w:ilvl w:val="0"/>
          <w:numId w:val="23"/>
        </w:numPr>
        <w:spacing w:after="80"/>
      </w:pPr>
      <w:r>
        <w:rPr>
          <w:rFonts w:ascii="Arial" w:cs="Arial" w:eastAsia="Arial" w:hAnsi="Arial"/>
          <w:color w:val="1A2332"/>
          <w:sz w:val="22"/>
          <w:szCs w:val="22"/>
        </w:rPr>
        <w:t xml:space="preserve">IA d'aide au diagnostic dans chaque cabinet (financement etatique)</w:t>
      </w:r>
    </w:p>
    <w:p>
      <w:pPr>
        <w:pStyle w:val="ListParagraph"/>
        <w:numPr>
          <w:ilvl w:val="0"/>
          <w:numId w:val="23"/>
        </w:numPr>
        <w:spacing w:after="80"/>
      </w:pPr>
      <w:r>
        <w:rPr>
          <w:rFonts w:ascii="Arial" w:cs="Arial" w:eastAsia="Arial" w:hAnsi="Arial"/>
          <w:b/>
          <w:bCs/>
          <w:color w:val="1A2332"/>
          <w:sz w:val="22"/>
          <w:szCs w:val="22"/>
        </w:rPr>
        <w:t xml:space="preserve">Economie potentielle : 2 a 3 milliards EUR/an</w:t>
      </w:r>
    </w:p>
    <w:p>
      <w:pPr>
        <w:spacing w:before="200" w:after="100"/>
      </w:pPr>
      <w:r>
        <w:rPr>
          <w:rFonts w:ascii="Arial" w:cs="Arial" w:eastAsia="Arial" w:hAnsi="Arial"/>
          <w:b/>
          <w:bCs/>
          <w:color w:val="0A1628"/>
          <w:sz w:val="24"/>
          <w:szCs w:val="24"/>
        </w:rPr>
        <w:t xml:space="preserve">5.4 — Reforme du remboursement des medicaments</w:t>
      </w:r>
    </w:p>
    <w:p>
      <w:pPr>
        <w:pStyle w:val="ListParagraph"/>
        <w:numPr>
          <w:ilvl w:val="0"/>
          <w:numId w:val="24"/>
        </w:numPr>
        <w:spacing w:after="80"/>
      </w:pPr>
      <w:r>
        <w:rPr>
          <w:rFonts w:ascii="Arial" w:cs="Arial" w:eastAsia="Arial" w:hAnsi="Arial"/>
          <w:color w:val="1A2332"/>
          <w:sz w:val="22"/>
          <w:szCs w:val="22"/>
        </w:rPr>
        <w:t xml:space="preserve">Negociation europeenne groupee des prix des medicaments (modele BeNeLuxA)</w:t>
      </w:r>
    </w:p>
    <w:p>
      <w:pPr>
        <w:pStyle w:val="ListParagraph"/>
        <w:numPr>
          <w:ilvl w:val="0"/>
          <w:numId w:val="24"/>
        </w:numPr>
        <w:spacing w:after="80"/>
      </w:pPr>
      <w:r>
        <w:rPr>
          <w:rFonts w:ascii="Arial" w:cs="Arial" w:eastAsia="Arial" w:hAnsi="Arial"/>
          <w:color w:val="1A2332"/>
          <w:sz w:val="22"/>
          <w:szCs w:val="22"/>
        </w:rPr>
        <w:t xml:space="preserve">Developpement massif des generiques : objectif 80 % de prescriptions en DCI</w:t>
      </w:r>
    </w:p>
    <w:p>
      <w:pPr>
        <w:pStyle w:val="ListParagraph"/>
        <w:numPr>
          <w:ilvl w:val="0"/>
          <w:numId w:val="24"/>
        </w:numPr>
        <w:spacing w:after="80"/>
      </w:pPr>
      <w:r>
        <w:rPr>
          <w:rFonts w:ascii="Arial" w:cs="Arial" w:eastAsia="Arial" w:hAnsi="Arial"/>
          <w:b/>
          <w:bCs/>
          <w:color w:val="1A2332"/>
          <w:sz w:val="22"/>
          <w:szCs w:val="22"/>
        </w:rPr>
        <w:t xml:space="preserve">Economie : 3 a 4 milliards EUR/an</w:t>
      </w:r>
    </w:p>
    <w:p>
      <w:pPr>
        <w:spacing w:before="200" w:after="100"/>
      </w:pPr>
      <w:r>
        <w:rPr>
          <w:rFonts w:ascii="Arial" w:cs="Arial" w:eastAsia="Arial" w:hAnsi="Arial"/>
          <w:b/>
          <w:bCs/>
          <w:color w:val="0A1628"/>
          <w:sz w:val="24"/>
          <w:szCs w:val="24"/>
        </w:rPr>
        <w:t xml:space="preserve">5.5 — Prevention plutot que guerison</w:t>
      </w:r>
    </w:p>
    <w:p>
      <w:pPr>
        <w:pStyle w:val="ListParagraph"/>
        <w:numPr>
          <w:ilvl w:val="0"/>
          <w:numId w:val="25"/>
        </w:numPr>
        <w:spacing w:after="80"/>
      </w:pPr>
      <w:r>
        <w:rPr>
          <w:rFonts w:ascii="Arial" w:cs="Arial" w:eastAsia="Arial" w:hAnsi="Arial"/>
          <w:color w:val="1A2332"/>
          <w:sz w:val="22"/>
          <w:szCs w:val="22"/>
        </w:rPr>
        <w:t xml:space="preserve">Budget prevention triple : de 2 % a 6 % des depenses de sante</w:t>
      </w:r>
    </w:p>
    <w:p>
      <w:pPr>
        <w:pStyle w:val="ListParagraph"/>
        <w:numPr>
          <w:ilvl w:val="0"/>
          <w:numId w:val="25"/>
        </w:numPr>
        <w:spacing w:after="80"/>
      </w:pPr>
      <w:r>
        <w:rPr>
          <w:rFonts w:ascii="Arial" w:cs="Arial" w:eastAsia="Arial" w:hAnsi="Arial"/>
          <w:color w:val="1A2332"/>
          <w:sz w:val="22"/>
          <w:szCs w:val="22"/>
        </w:rPr>
        <w:t xml:space="preserve">Bilan de sante obligatoire tous les 2 ans (pris en charge a 100 %)</w:t>
      </w:r>
    </w:p>
    <w:p>
      <w:pPr>
        <w:pStyle w:val="ListParagraph"/>
        <w:numPr>
          <w:ilvl w:val="0"/>
          <w:numId w:val="25"/>
        </w:numPr>
        <w:spacing w:after="80"/>
      </w:pPr>
      <w:r>
        <w:rPr>
          <w:rFonts w:ascii="Arial" w:cs="Arial" w:eastAsia="Arial" w:hAnsi="Arial"/>
          <w:b/>
          <w:bCs/>
          <w:color w:val="1A2332"/>
          <w:sz w:val="22"/>
          <w:szCs w:val="22"/>
        </w:rPr>
        <w:t xml:space="preserve">Investissement : 3 milliards EUR/an</w:t>
      </w:r>
      <w:r>
        <w:rPr>
          <w:rFonts w:ascii="Arial" w:cs="Arial" w:eastAsia="Arial" w:hAnsi="Arial"/>
          <w:color w:val="1A2332"/>
          <w:sz w:val="22"/>
          <w:szCs w:val="22"/>
        </w:rPr>
        <w:t xml:space="preserve">, rembourse par la reduction des maladies chroniques a 10 ans</w:t>
      </w:r>
    </w:p>
    <w:p>
      <w:pPr>
        <w:pStyle w:val="Heading2"/>
        <w:spacing w:before="300" w:after="150"/>
      </w:pPr>
      <w:r>
        <w:rPr>
          <w:rFonts w:ascii="Georgia" w:cs="Georgia" w:eastAsia="Georgia" w:hAnsi="Georgia"/>
          <w:b/>
          <w:bCs/>
          <w:color w:val="0099BB"/>
          <w:sz w:val="28"/>
          <w:szCs w:val="28"/>
        </w:rPr>
        <w:t xml:space="preserve">Impact budgetaire total du theme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Mesure</w:t>
            </w:r>
          </w:p>
        </w:tc>
        <w:tc>
          <w:tcPr>
            <w:tcW w:type="dxa" w:w="3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Impact annuel</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Chirurgie ambulatoire</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+5-8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Numerisation/telesante</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+2-3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Reforme medicaments</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+3-4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Budget prevention (investissement)</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TOTAL</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 a +12 Md EUR</w:t>
            </w:r>
          </w:p>
        </w:tc>
      </w:tr>
    </w:tbl>
    <w:p>
      <w:r>
        <w:br w:type="page"/>
      </w:r>
    </w:p>
    <w:p>
      <w:pPr>
        <w:pStyle w:val="Heading1"/>
        <w:spacing w:before="400" w:after="200"/>
      </w:pPr>
      <w:r>
        <w:rPr>
          <w:rFonts w:ascii="Georgia" w:cs="Georgia" w:eastAsia="Georgia" w:hAnsi="Georgia"/>
          <w:b/>
          <w:bCs/>
          <w:color w:val="0A1628"/>
          <w:sz w:val="36"/>
          <w:szCs w:val="36"/>
        </w:rPr>
        <w:t xml:space="preserve">6. Education : autonomie, merite, resultats</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La France depense </w:t>
      </w:r>
      <w:r>
        <w:rPr>
          <w:rFonts w:ascii="Arial" w:cs="Arial" w:eastAsia="Arial" w:hAnsi="Arial"/>
          <w:b/>
          <w:bCs/>
          <w:color w:val="D63031"/>
          <w:sz w:val="22"/>
          <w:szCs w:val="22"/>
        </w:rPr>
        <w:t xml:space="preserve">197 milliards d'euros pour l'education</w:t>
      </w:r>
      <w:r>
        <w:rPr>
          <w:rFonts w:ascii="Arial" w:cs="Arial" w:eastAsia="Arial" w:hAnsi="Arial"/>
          <w:color w:val="1A2332"/>
          <w:sz w:val="22"/>
          <w:szCs w:val="22"/>
        </w:rPr>
        <w:t xml:space="preserve"> (6,8 % du PIB, dont 88,6 Md EUR pour le budget du ministere seul). Pourtant, les resultats reculent : au classement </w:t>
      </w:r>
      <w:r>
        <w:rPr>
          <w:rFonts w:ascii="Arial" w:cs="Arial" w:eastAsia="Arial" w:hAnsi="Arial"/>
          <w:b/>
          <w:bCs/>
          <w:color w:val="D63031"/>
          <w:sz w:val="22"/>
          <w:szCs w:val="22"/>
        </w:rPr>
        <w:t xml:space="preserve">PISA 2024, la France est 23e en maths, 28e en lecture</w:t>
      </w:r>
      <w:r>
        <w:rPr>
          <w:rFonts w:ascii="Arial" w:cs="Arial" w:eastAsia="Arial" w:hAnsi="Arial"/>
          <w:color w:val="1A2332"/>
          <w:sz w:val="22"/>
          <w:szCs w:val="22"/>
        </w:rPr>
        <w:t xml:space="preserve">. A l'etude TIMSS 2023, </w:t>
      </w:r>
      <w:r>
        <w:rPr>
          <w:rFonts w:ascii="Arial" w:cs="Arial" w:eastAsia="Arial" w:hAnsi="Arial"/>
          <w:b/>
          <w:bCs/>
          <w:color w:val="D63031"/>
          <w:sz w:val="22"/>
          <w:szCs w:val="22"/>
        </w:rPr>
        <w:t xml:space="preserve">15 % des eleves de CM1 n'atteignent pas le niveau minimal en maths</w:t>
      </w:r>
      <w:r>
        <w:rPr>
          <w:rFonts w:ascii="Arial" w:cs="Arial" w:eastAsia="Arial" w:hAnsi="Arial"/>
          <w:color w:val="1A2332"/>
          <w:sz w:val="22"/>
          <w:szCs w:val="22"/>
        </w:rPr>
        <w:t xml:space="preserve"> et l'ecart garcons-filles a explose (6 points en 2015, 23 points en 2023).</w:t>
      </w:r>
    </w:p>
    <w:p>
      <w:pPr>
        <w:spacing w:after="120"/>
        <w:jc w:val="both"/>
      </w:pPr>
      <w:r>
        <w:rPr>
          <w:rFonts w:ascii="Arial" w:cs="Arial" w:eastAsia="Arial" w:hAnsi="Arial"/>
          <w:color w:val="1A2332"/>
          <w:sz w:val="22"/>
          <w:szCs w:val="22"/>
        </w:rPr>
        <w:t xml:space="preserve">Le taux de decrochage scolaire est de 7,6 % (sous l'objectif UE de 9 %). Mais l'ecart entre ecoles favorisees (523 points PIRLS) et defavorisees (466 points) — </w:t>
      </w:r>
      <w:r>
        <w:rPr>
          <w:rFonts w:ascii="Arial" w:cs="Arial" w:eastAsia="Arial" w:hAnsi="Arial"/>
          <w:b/>
          <w:bCs/>
          <w:color w:val="D63031"/>
          <w:sz w:val="22"/>
          <w:szCs w:val="22"/>
        </w:rPr>
        <w:t xml:space="preserve">57 points d'ecart</w:t>
      </w:r>
      <w:r>
        <w:rPr>
          <w:rFonts w:ascii="Arial" w:cs="Arial" w:eastAsia="Arial" w:hAnsi="Arial"/>
          <w:color w:val="1A2332"/>
          <w:sz w:val="22"/>
          <w:szCs w:val="22"/>
        </w:rPr>
        <w:t xml:space="preserve"> — est l'un des plus eleves d'Europe, et se creuse malgre le cout des dedoublements. La France depense </w:t>
      </w:r>
      <w:r>
        <w:rPr>
          <w:rFonts w:ascii="Arial" w:cs="Arial" w:eastAsia="Arial" w:hAnsi="Arial"/>
          <w:b/>
          <w:bCs/>
          <w:color w:val="D63031"/>
          <w:sz w:val="22"/>
          <w:szCs w:val="22"/>
        </w:rPr>
        <w:t xml:space="preserve">11 % de moins par eleve en primaire</w:t>
      </w:r>
      <w:r>
        <w:rPr>
          <w:rFonts w:ascii="Arial" w:cs="Arial" w:eastAsia="Arial" w:hAnsi="Arial"/>
          <w:color w:val="1A2332"/>
          <w:sz w:val="22"/>
          <w:szCs w:val="22"/>
        </w:rPr>
        <w:t xml:space="preserve"> que la moyenne OCDE.</w:t>
      </w:r>
    </w:p>
    <w:p>
      <w:pPr>
        <w:spacing w:after="120"/>
        <w:jc w:val="both"/>
      </w:pPr>
      <w:r>
        <w:rPr>
          <w:rFonts w:ascii="Arial" w:cs="Arial" w:eastAsia="Arial" w:hAnsi="Arial"/>
          <w:color w:val="1A2332"/>
          <w:sz w:val="22"/>
          <w:szCs w:val="22"/>
        </w:rPr>
        <w:t xml:space="preserve">Les depenses administratives du ministere sont disproportionnees : la France a un taux d'encadrement administratif parmi les plus eleves de l'OCDE, au detriment du nombre d'enseignants devant les eleves.</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6.1 — Autonomie des etablissements</w:t>
      </w:r>
    </w:p>
    <w:p>
      <w:pPr>
        <w:pStyle w:val="ListParagraph"/>
        <w:numPr>
          <w:ilvl w:val="0"/>
          <w:numId w:val="26"/>
        </w:numPr>
        <w:spacing w:after="80"/>
      </w:pPr>
      <w:r>
        <w:rPr>
          <w:rFonts w:ascii="Arial" w:cs="Arial" w:eastAsia="Arial" w:hAnsi="Arial"/>
          <w:color w:val="1A2332"/>
          <w:sz w:val="22"/>
          <w:szCs w:val="22"/>
        </w:rPr>
        <w:t xml:space="preserve">Chaque college et lycee recrute ses enseignants et gere son budget (modele neerlandais)</w:t>
      </w:r>
    </w:p>
    <w:p>
      <w:pPr>
        <w:pStyle w:val="ListParagraph"/>
        <w:numPr>
          <w:ilvl w:val="0"/>
          <w:numId w:val="26"/>
        </w:numPr>
        <w:spacing w:after="80"/>
      </w:pPr>
      <w:r>
        <w:rPr>
          <w:rFonts w:ascii="Arial" w:cs="Arial" w:eastAsia="Arial" w:hAnsi="Arial"/>
          <w:color w:val="1A2332"/>
          <w:sz w:val="22"/>
          <w:szCs w:val="22"/>
        </w:rPr>
        <w:t xml:space="preserve">Publication obligatoire des resultats et de la valeur ajoutee de chaque etablissement</w:t>
      </w:r>
    </w:p>
    <w:p>
      <w:pPr>
        <w:pStyle w:val="ListParagraph"/>
        <w:numPr>
          <w:ilvl w:val="0"/>
          <w:numId w:val="26"/>
        </w:numPr>
        <w:spacing w:after="80"/>
      </w:pPr>
      <w:r>
        <w:rPr>
          <w:rFonts w:ascii="Arial" w:cs="Arial" w:eastAsia="Arial" w:hAnsi="Arial"/>
          <w:color w:val="1A2332"/>
          <w:sz w:val="22"/>
          <w:szCs w:val="22"/>
        </w:rPr>
        <w:t xml:space="preserve">Possibilite d'experimentation pedagogique (modele finlandais)</w:t>
      </w:r>
    </w:p>
    <w:p>
      <w:pPr>
        <w:pStyle w:val="ListParagraph"/>
        <w:numPr>
          <w:ilvl w:val="0"/>
          <w:numId w:val="26"/>
        </w:numPr>
        <w:spacing w:after="80"/>
      </w:pPr>
      <w:r>
        <w:rPr>
          <w:rFonts w:ascii="Arial" w:cs="Arial" w:eastAsia="Arial" w:hAnsi="Arial"/>
          <w:b/>
          <w:bCs/>
          <w:color w:val="1A2332"/>
          <w:sz w:val="22"/>
          <w:szCs w:val="22"/>
        </w:rPr>
        <w:t xml:space="preserve">Cout zero</w:t>
      </w:r>
      <w:r>
        <w:rPr>
          <w:rFonts w:ascii="Arial" w:cs="Arial" w:eastAsia="Arial" w:hAnsi="Arial"/>
          <w:color w:val="1A2332"/>
          <w:sz w:val="22"/>
          <w:szCs w:val="22"/>
        </w:rPr>
        <w:t xml:space="preserve"> — c'est une reforme organisationnelle, pas budgetaire</w:t>
      </w:r>
    </w:p>
    <w:p>
      <w:pPr>
        <w:spacing w:before="200" w:after="100"/>
      </w:pPr>
      <w:r>
        <w:rPr>
          <w:rFonts w:ascii="Arial" w:cs="Arial" w:eastAsia="Arial" w:hAnsi="Arial"/>
          <w:b/>
          <w:bCs/>
          <w:color w:val="0A1628"/>
          <w:sz w:val="24"/>
          <w:szCs w:val="24"/>
        </w:rPr>
        <w:t xml:space="preserve">6.2 — Revalorisation des enseignants liee aux resultats</w:t>
      </w:r>
    </w:p>
    <w:p>
      <w:pPr>
        <w:pStyle w:val="ListParagraph"/>
        <w:numPr>
          <w:ilvl w:val="0"/>
          <w:numId w:val="27"/>
        </w:numPr>
        <w:spacing w:after="80"/>
      </w:pPr>
      <w:r>
        <w:rPr>
          <w:rFonts w:ascii="Arial" w:cs="Arial" w:eastAsia="Arial" w:hAnsi="Arial"/>
          <w:color w:val="1A2332"/>
          <w:sz w:val="22"/>
          <w:szCs w:val="22"/>
        </w:rPr>
        <w:t xml:space="preserve">Salaire de base des enseignants debutants a 2 500 EUR net/mois (vs ~2 000 EUR aujourd'hui)</w:t>
      </w:r>
    </w:p>
    <w:p>
      <w:pPr>
        <w:pStyle w:val="ListParagraph"/>
        <w:numPr>
          <w:ilvl w:val="0"/>
          <w:numId w:val="27"/>
        </w:numPr>
        <w:spacing w:after="80"/>
      </w:pPr>
      <w:r>
        <w:rPr>
          <w:rFonts w:ascii="Arial" w:cs="Arial" w:eastAsia="Arial" w:hAnsi="Arial"/>
          <w:color w:val="1A2332"/>
          <w:sz w:val="22"/>
          <w:szCs w:val="22"/>
        </w:rPr>
        <w:t xml:space="preserve">Prime de performance pouvant atteindre 30 % du salaire, liee aux progres des eleves</w:t>
      </w:r>
    </w:p>
    <w:p>
      <w:pPr>
        <w:pStyle w:val="ListParagraph"/>
        <w:numPr>
          <w:ilvl w:val="0"/>
          <w:numId w:val="27"/>
        </w:numPr>
        <w:spacing w:after="80"/>
      </w:pPr>
      <w:r>
        <w:rPr>
          <w:rFonts w:ascii="Arial" w:cs="Arial" w:eastAsia="Arial" w:hAnsi="Arial"/>
          <w:b/>
          <w:bCs/>
          <w:color w:val="1A2332"/>
          <w:sz w:val="22"/>
          <w:szCs w:val="22"/>
        </w:rPr>
        <w:t xml:space="preserve">Cout : 4 milliards EUR/an</w:t>
      </w:r>
      <w:r>
        <w:rPr>
          <w:rFonts w:ascii="Arial" w:cs="Arial" w:eastAsia="Arial" w:hAnsi="Arial"/>
          <w:color w:val="1A2332"/>
          <w:sz w:val="22"/>
          <w:szCs w:val="22"/>
        </w:rPr>
        <w:t xml:space="preserve">, finance par la reduction des postes administratifs (-20 %)</w:t>
      </w:r>
    </w:p>
    <w:p>
      <w:pPr>
        <w:spacing w:before="200" w:after="100"/>
      </w:pPr>
      <w:r>
        <w:rPr>
          <w:rFonts w:ascii="Arial" w:cs="Arial" w:eastAsia="Arial" w:hAnsi="Arial"/>
          <w:b/>
          <w:bCs/>
          <w:color w:val="0A1628"/>
          <w:sz w:val="24"/>
          <w:szCs w:val="24"/>
        </w:rPr>
        <w:t xml:space="preserve">6.3 — Liberte scolaire renforcee</w:t>
      </w:r>
    </w:p>
    <w:p>
      <w:pPr>
        <w:pStyle w:val="ListParagraph"/>
        <w:numPr>
          <w:ilvl w:val="0"/>
          <w:numId w:val="28"/>
        </w:numPr>
        <w:spacing w:after="80"/>
      </w:pPr>
      <w:r>
        <w:rPr>
          <w:rFonts w:ascii="Arial" w:cs="Arial" w:eastAsia="Arial" w:hAnsi="Arial"/>
          <w:color w:val="1A2332"/>
          <w:sz w:val="22"/>
          <w:szCs w:val="22"/>
        </w:rPr>
        <w:t xml:space="preserve">Cheque education pour chaque famille, utilisable dans le public ou le prive</w:t>
      </w:r>
    </w:p>
    <w:p>
      <w:pPr>
        <w:pStyle w:val="ListParagraph"/>
        <w:numPr>
          <w:ilvl w:val="0"/>
          <w:numId w:val="28"/>
        </w:numPr>
        <w:spacing w:after="80"/>
      </w:pPr>
      <w:r>
        <w:rPr>
          <w:rFonts w:ascii="Arial" w:cs="Arial" w:eastAsia="Arial" w:hAnsi="Arial"/>
          <w:color w:val="1A2332"/>
          <w:sz w:val="22"/>
          <w:szCs w:val="22"/>
        </w:rPr>
        <w:t xml:space="preserve">Ouverture d'ecoles libres simplifiee (regime declaratif, controle a posteriori)</w:t>
      </w:r>
    </w:p>
    <w:p>
      <w:pPr>
        <w:pStyle w:val="ListParagraph"/>
        <w:numPr>
          <w:ilvl w:val="0"/>
          <w:numId w:val="28"/>
        </w:numPr>
        <w:spacing w:after="80"/>
      </w:pPr>
      <w:r>
        <w:rPr>
          <w:rFonts w:ascii="Arial" w:cs="Arial" w:eastAsia="Arial" w:hAnsi="Arial"/>
          <w:color w:val="1A2332"/>
          <w:sz w:val="22"/>
          <w:szCs w:val="22"/>
        </w:rPr>
        <w:t xml:space="preserve">La Suede a introduit le cheque education en 1992 : diversite de l'offre accrue, satisfaction parentale en hausse</w:t>
      </w:r>
    </w:p>
    <w:p>
      <w:pPr>
        <w:pStyle w:val="ListParagraph"/>
        <w:numPr>
          <w:ilvl w:val="0"/>
          <w:numId w:val="28"/>
        </w:numPr>
        <w:spacing w:after="80"/>
      </w:pPr>
      <w:r>
        <w:rPr>
          <w:rFonts w:ascii="Arial" w:cs="Arial" w:eastAsia="Arial" w:hAnsi="Arial"/>
          <w:b/>
          <w:bCs/>
          <w:color w:val="1A2332"/>
          <w:sz w:val="22"/>
          <w:szCs w:val="22"/>
        </w:rPr>
        <w:t xml:space="preserve">Cout net : zero</w:t>
      </w:r>
      <w:r>
        <w:rPr>
          <w:rFonts w:ascii="Arial" w:cs="Arial" w:eastAsia="Arial" w:hAnsi="Arial"/>
          <w:color w:val="1A2332"/>
          <w:sz w:val="22"/>
          <w:szCs w:val="22"/>
        </w:rPr>
        <w:t xml:space="preserve"> (redistribution du budget par eleve existant)</w:t>
      </w:r>
    </w:p>
    <w:p>
      <w:pPr>
        <w:spacing w:before="200" w:after="100"/>
      </w:pPr>
      <w:r>
        <w:rPr>
          <w:rFonts w:ascii="Arial" w:cs="Arial" w:eastAsia="Arial" w:hAnsi="Arial"/>
          <w:b/>
          <w:bCs/>
          <w:color w:val="0A1628"/>
          <w:sz w:val="24"/>
          <w:szCs w:val="24"/>
        </w:rPr>
        <w:t xml:space="preserve">6.4 — Priorite aux fondamentaux en primaire</w:t>
      </w:r>
    </w:p>
    <w:p>
      <w:pPr>
        <w:pStyle w:val="ListParagraph"/>
        <w:numPr>
          <w:ilvl w:val="0"/>
          <w:numId w:val="29"/>
        </w:numPr>
        <w:spacing w:after="80"/>
      </w:pPr>
      <w:r>
        <w:rPr>
          <w:rFonts w:ascii="Arial" w:cs="Arial" w:eastAsia="Arial" w:hAnsi="Arial"/>
          <w:color w:val="1A2332"/>
          <w:sz w:val="22"/>
          <w:szCs w:val="22"/>
        </w:rPr>
        <w:t xml:space="preserve">50 % du temps consacre au francais et aux mathematiques en primaire</w:t>
      </w:r>
    </w:p>
    <w:p>
      <w:pPr>
        <w:pStyle w:val="ListParagraph"/>
        <w:numPr>
          <w:ilvl w:val="0"/>
          <w:numId w:val="29"/>
        </w:numPr>
        <w:spacing w:after="80"/>
      </w:pPr>
      <w:r>
        <w:rPr>
          <w:rFonts w:ascii="Arial" w:cs="Arial" w:eastAsia="Arial" w:hAnsi="Arial"/>
          <w:color w:val="1A2332"/>
          <w:sz w:val="22"/>
          <w:szCs w:val="22"/>
        </w:rPr>
        <w:t xml:space="preserve">Redoublement reintroduit comme outil pedagogique</w:t>
      </w:r>
    </w:p>
    <w:p>
      <w:pPr>
        <w:pStyle w:val="ListParagraph"/>
        <w:numPr>
          <w:ilvl w:val="0"/>
          <w:numId w:val="29"/>
        </w:numPr>
        <w:spacing w:after="80"/>
      </w:pPr>
      <w:r>
        <w:rPr>
          <w:rFonts w:ascii="Arial" w:cs="Arial" w:eastAsia="Arial" w:hAnsi="Arial"/>
          <w:color w:val="1A2332"/>
          <w:sz w:val="22"/>
          <w:szCs w:val="22"/>
        </w:rPr>
        <w:t xml:space="preserve">Evaluation nationale standardisee chaque annee (CE1, CM1, 6e, 3e)</w:t>
      </w:r>
    </w:p>
    <w:p>
      <w:pPr>
        <w:spacing w:before="200" w:after="100"/>
      </w:pPr>
      <w:r>
        <w:rPr>
          <w:rFonts w:ascii="Arial" w:cs="Arial" w:eastAsia="Arial" w:hAnsi="Arial"/>
          <w:b/>
          <w:bCs/>
          <w:color w:val="0A1628"/>
          <w:sz w:val="24"/>
          <w:szCs w:val="24"/>
        </w:rPr>
        <w:t xml:space="preserve">6.5 — Universite selective et professionnalisante</w:t>
      </w:r>
    </w:p>
    <w:p>
      <w:pPr>
        <w:pStyle w:val="ListParagraph"/>
        <w:numPr>
          <w:ilvl w:val="0"/>
          <w:numId w:val="30"/>
        </w:numPr>
        <w:spacing w:after="80"/>
      </w:pPr>
      <w:r>
        <w:rPr>
          <w:rFonts w:ascii="Arial" w:cs="Arial" w:eastAsia="Arial" w:hAnsi="Arial"/>
          <w:color w:val="1A2332"/>
          <w:sz w:val="22"/>
          <w:szCs w:val="22"/>
        </w:rPr>
        <w:t xml:space="preserve">Relever les frais d'inscription avec systeme de bourses genereux (modele anglo-saxon adapte)</w:t>
      </w:r>
    </w:p>
    <w:p>
      <w:pPr>
        <w:pStyle w:val="ListParagraph"/>
        <w:numPr>
          <w:ilvl w:val="0"/>
          <w:numId w:val="30"/>
        </w:numPr>
        <w:spacing w:after="80"/>
      </w:pPr>
      <w:r>
        <w:rPr>
          <w:rFonts w:ascii="Arial" w:cs="Arial" w:eastAsia="Arial" w:hAnsi="Arial"/>
          <w:color w:val="1A2332"/>
          <w:sz w:val="22"/>
          <w:szCs w:val="22"/>
        </w:rPr>
        <w:t xml:space="preserve">Droit de selection pour toutes les filieres universitaires</w:t>
      </w:r>
    </w:p>
    <w:p>
      <w:pPr>
        <w:pStyle w:val="ListParagraph"/>
        <w:numPr>
          <w:ilvl w:val="0"/>
          <w:numId w:val="30"/>
        </w:numPr>
        <w:spacing w:after="80"/>
      </w:pPr>
      <w:r>
        <w:rPr>
          <w:rFonts w:ascii="Arial" w:cs="Arial" w:eastAsia="Arial" w:hAnsi="Arial"/>
          <w:color w:val="1A2332"/>
          <w:sz w:val="22"/>
          <w:szCs w:val="22"/>
        </w:rPr>
        <w:t xml:space="preserve">50 % des licences avec stage obligatoire en entreprise</w:t>
      </w:r>
    </w:p>
    <w:p>
      <w:pPr>
        <w:pStyle w:val="ListParagraph"/>
        <w:numPr>
          <w:ilvl w:val="0"/>
          <w:numId w:val="30"/>
        </w:numPr>
        <w:spacing w:after="80"/>
      </w:pPr>
      <w:r>
        <w:rPr>
          <w:rFonts w:ascii="Arial" w:cs="Arial" w:eastAsia="Arial" w:hAnsi="Arial"/>
          <w:b/>
          <w:bCs/>
          <w:color w:val="1A2332"/>
          <w:sz w:val="22"/>
          <w:szCs w:val="22"/>
        </w:rPr>
        <w:t xml:space="preserve">Recettes supplementaires : 1 a 2 milliards EUR/an</w:t>
      </w:r>
      <w:r>
        <w:rPr>
          <w:rFonts w:ascii="Arial" w:cs="Arial" w:eastAsia="Arial" w:hAnsi="Arial"/>
          <w:color w:val="1A2332"/>
          <w:sz w:val="22"/>
          <w:szCs w:val="22"/>
        </w:rPr>
        <w:t xml:space="preserve"> (reinvestis integralement dans la qualite)</w:t>
      </w:r>
    </w:p>
    <w:p>
      <w:r>
        <w:br w:type="page"/>
      </w:r>
    </w:p>
    <w:p>
      <w:pPr>
        <w:pStyle w:val="Heading1"/>
        <w:spacing w:before="400" w:after="200"/>
      </w:pPr>
      <w:r>
        <w:rPr>
          <w:rFonts w:ascii="Georgia" w:cs="Georgia" w:eastAsia="Georgia" w:hAnsi="Georgia"/>
          <w:b/>
          <w:bCs/>
          <w:color w:val="0A1628"/>
          <w:sz w:val="36"/>
          <w:szCs w:val="36"/>
        </w:rPr>
        <w:t xml:space="preserve">7. Energie : nucleaire et souverainete</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La France emet </w:t>
      </w:r>
      <w:r>
        <w:rPr>
          <w:rFonts w:ascii="Arial" w:cs="Arial" w:eastAsia="Arial" w:hAnsi="Arial"/>
          <w:b/>
          <w:bCs/>
          <w:color w:val="D63031"/>
          <w:sz w:val="22"/>
          <w:szCs w:val="22"/>
        </w:rPr>
        <w:t xml:space="preserve">5,7 tonnes de CO2 par habitant</w:t>
      </w:r>
      <w:r>
        <w:rPr>
          <w:rFonts w:ascii="Arial" w:cs="Arial" w:eastAsia="Arial" w:hAnsi="Arial"/>
          <w:color w:val="1A2332"/>
          <w:sz w:val="22"/>
          <w:szCs w:val="22"/>
        </w:rPr>
        <w:t xml:space="preserve"> (vs 8,1 en Allemagne et 6,3 en moyenne UE) grace au nucleaire. Pourtant, l'electricite francaise coute desormais </w:t>
      </w:r>
      <w:r>
        <w:rPr>
          <w:rFonts w:ascii="Arial" w:cs="Arial" w:eastAsia="Arial" w:hAnsi="Arial"/>
          <w:b/>
          <w:bCs/>
          <w:color w:val="D63031"/>
          <w:sz w:val="22"/>
          <w:szCs w:val="22"/>
        </w:rPr>
        <w:t xml:space="preserve">0,27 EUR/kWh pour les menages</w:t>
      </w:r>
      <w:r>
        <w:rPr>
          <w:rFonts w:ascii="Arial" w:cs="Arial" w:eastAsia="Arial" w:hAnsi="Arial"/>
          <w:color w:val="1A2332"/>
          <w:sz w:val="22"/>
          <w:szCs w:val="22"/>
        </w:rPr>
        <w:t xml:space="preserve"> (hausse de 50 % en 3 ans) et la facture energetique des importations de petrole et gaz atteint </w:t>
      </w:r>
      <w:r>
        <w:rPr>
          <w:rFonts w:ascii="Arial" w:cs="Arial" w:eastAsia="Arial" w:hAnsi="Arial"/>
          <w:b/>
          <w:bCs/>
          <w:color w:val="D63031"/>
          <w:sz w:val="22"/>
          <w:szCs w:val="22"/>
        </w:rPr>
        <w:t xml:space="preserve">57,8 milliards EUR en 2024</w:t>
      </w:r>
      <w:r>
        <w:rPr>
          <w:rFonts w:ascii="Arial" w:cs="Arial" w:eastAsia="Arial" w:hAnsi="Arial"/>
          <w:color w:val="1A2332"/>
          <w:sz w:val="22"/>
          <w:szCs w:val="22"/>
        </w:rPr>
        <w:t xml:space="preserve"> (-21 % vs 2023, mais encore un gouffre).</w:t>
      </w:r>
    </w:p>
    <w:p>
      <w:pPr>
        <w:spacing w:after="120"/>
        <w:jc w:val="both"/>
      </w:pPr>
      <w:r>
        <w:rPr>
          <w:rFonts w:ascii="Arial" w:cs="Arial" w:eastAsia="Arial" w:hAnsi="Arial"/>
          <w:color w:val="1A2332"/>
          <w:sz w:val="22"/>
          <w:szCs w:val="22"/>
        </w:rPr>
        <w:t xml:space="preserve">Le parc nucleaire (56 reacteurs, 63 GW) assure encore ~65 % de la production electrique. Mais les subventions aux energies renouvelables intermittentes ont coute plus de </w:t>
      </w:r>
      <w:r>
        <w:rPr>
          <w:rFonts w:ascii="Arial" w:cs="Arial" w:eastAsia="Arial" w:hAnsi="Arial"/>
          <w:b/>
          <w:bCs/>
          <w:color w:val="D63031"/>
          <w:sz w:val="22"/>
          <w:szCs w:val="22"/>
        </w:rPr>
        <w:t xml:space="preserve">150 milliards d'euros cumules</w:t>
      </w:r>
      <w:r>
        <w:rPr>
          <w:rFonts w:ascii="Arial" w:cs="Arial" w:eastAsia="Arial" w:hAnsi="Arial"/>
          <w:color w:val="1A2332"/>
          <w:sz w:val="22"/>
          <w:szCs w:val="22"/>
        </w:rPr>
        <w:t xml:space="preserve"> (CSPE + soutiens directs) pour une part de seulement ~15 % du mix electrique.</w:t>
      </w:r>
    </w:p>
    <w:p>
      <w:pPr>
        <w:spacing w:after="120"/>
        <w:jc w:val="both"/>
      </w:pPr>
      <w:r>
        <w:rPr>
          <w:rFonts w:ascii="Arial" w:cs="Arial" w:eastAsia="Arial" w:hAnsi="Arial"/>
          <w:color w:val="1A2332"/>
          <w:sz w:val="22"/>
          <w:szCs w:val="22"/>
        </w:rPr>
        <w:t xml:space="preserve">L'EPR de Flamanville a coute </w:t>
      </w:r>
      <w:r>
        <w:rPr>
          <w:rFonts w:ascii="Arial" w:cs="Arial" w:eastAsia="Arial" w:hAnsi="Arial"/>
          <w:b/>
          <w:bCs/>
          <w:color w:val="D63031"/>
          <w:sz w:val="22"/>
          <w:szCs w:val="22"/>
        </w:rPr>
        <w:t xml:space="preserve">19,1 milliards d'euros</w:t>
      </w:r>
      <w:r>
        <w:rPr>
          <w:rFonts w:ascii="Arial" w:cs="Arial" w:eastAsia="Arial" w:hAnsi="Arial"/>
          <w:color w:val="1A2332"/>
          <w:sz w:val="22"/>
          <w:szCs w:val="22"/>
        </w:rPr>
        <w:t xml:space="preserve"> avec 12 ans de retard. Mais la Coree du Sud construit des reacteurs similaires pour 5 milliards en 6 ans. Le probleme est organisationnel, pas technologique.</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7.1 — 14 nouveaux reacteurs nucleaires d'ici 2040</w:t>
      </w:r>
    </w:p>
    <w:p>
      <w:pPr>
        <w:pStyle w:val="ListParagraph"/>
        <w:numPr>
          <w:ilvl w:val="0"/>
          <w:numId w:val="31"/>
        </w:numPr>
        <w:spacing w:after="80"/>
      </w:pPr>
      <w:r>
        <w:rPr>
          <w:rFonts w:ascii="Arial" w:cs="Arial" w:eastAsia="Arial" w:hAnsi="Arial"/>
          <w:color w:val="1A2332"/>
          <w:sz w:val="22"/>
          <w:szCs w:val="22"/>
        </w:rPr>
        <w:t xml:space="preserve">6 EPR2 deja programmes + 8 reacteurs supplementaires (dont 4 SMR)</w:t>
      </w:r>
    </w:p>
    <w:p>
      <w:pPr>
        <w:pStyle w:val="ListParagraph"/>
        <w:numPr>
          <w:ilvl w:val="0"/>
          <w:numId w:val="31"/>
        </w:numPr>
        <w:spacing w:after="80"/>
      </w:pPr>
      <w:r>
        <w:rPr>
          <w:rFonts w:ascii="Arial" w:cs="Arial" w:eastAsia="Arial" w:hAnsi="Arial"/>
          <w:color w:val="1A2332"/>
          <w:sz w:val="22"/>
          <w:szCs w:val="22"/>
        </w:rPr>
        <w:t xml:space="preserve">Creation d'un 'commissariat au nucleaire' avec pouvoirs simplifies d'autorisation</w:t>
      </w:r>
    </w:p>
    <w:p>
      <w:pPr>
        <w:pStyle w:val="ListParagraph"/>
        <w:numPr>
          <w:ilvl w:val="0"/>
          <w:numId w:val="31"/>
        </w:numPr>
        <w:spacing w:after="80"/>
      </w:pPr>
      <w:r>
        <w:rPr>
          <w:rFonts w:ascii="Arial" w:cs="Arial" w:eastAsia="Arial" w:hAnsi="Arial"/>
          <w:color w:val="1A2332"/>
          <w:sz w:val="22"/>
          <w:szCs w:val="22"/>
        </w:rPr>
        <w:t xml:space="preserve">Objectif : 80 % d'electricite nucleaire en 2040</w:t>
      </w:r>
    </w:p>
    <w:p>
      <w:pPr>
        <w:pStyle w:val="ListParagraph"/>
        <w:numPr>
          <w:ilvl w:val="0"/>
          <w:numId w:val="31"/>
        </w:numPr>
        <w:spacing w:after="80"/>
      </w:pPr>
      <w:r>
        <w:rPr>
          <w:rFonts w:ascii="Arial" w:cs="Arial" w:eastAsia="Arial" w:hAnsi="Arial"/>
          <w:b/>
          <w:bCs/>
          <w:color w:val="1A2332"/>
          <w:sz w:val="22"/>
          <w:szCs w:val="22"/>
        </w:rPr>
        <w:t xml:space="preserve">Investissement : 60-80 milliards EUR sur 15 ans</w:t>
      </w:r>
      <w:r>
        <w:rPr>
          <w:rFonts w:ascii="Arial" w:cs="Arial" w:eastAsia="Arial" w:hAnsi="Arial"/>
          <w:color w:val="1A2332"/>
          <w:sz w:val="22"/>
          <w:szCs w:val="22"/>
        </w:rPr>
        <w:t xml:space="preserve"> (cout budgetaire annuel lisse : 4-5 Md EUR, finance par emprunt productif)</w:t>
      </w:r>
    </w:p>
    <w:p>
      <w:pPr>
        <w:spacing w:before="200" w:after="100"/>
      </w:pPr>
      <w:r>
        <w:rPr>
          <w:rFonts w:ascii="Arial" w:cs="Arial" w:eastAsia="Arial" w:hAnsi="Arial"/>
          <w:b/>
          <w:bCs/>
          <w:color w:val="0A1628"/>
          <w:sz w:val="24"/>
          <w:szCs w:val="24"/>
        </w:rPr>
        <w:t xml:space="preserve">7.2 — Fin des subventions aux renouvelables intermittents</w:t>
      </w:r>
    </w:p>
    <w:p>
      <w:pPr>
        <w:pStyle w:val="ListParagraph"/>
        <w:numPr>
          <w:ilvl w:val="0"/>
          <w:numId w:val="32"/>
        </w:numPr>
        <w:spacing w:after="80"/>
      </w:pPr>
      <w:r>
        <w:rPr>
          <w:rFonts w:ascii="Arial" w:cs="Arial" w:eastAsia="Arial" w:hAnsi="Arial"/>
          <w:color w:val="1A2332"/>
          <w:sz w:val="22"/>
          <w:szCs w:val="22"/>
        </w:rPr>
        <w:t xml:space="preserve">Arret de tout nouveau contrat de subvention eolien terrestre et solaire a grande echelle</w:t>
      </w:r>
    </w:p>
    <w:p>
      <w:pPr>
        <w:pStyle w:val="ListParagraph"/>
        <w:numPr>
          <w:ilvl w:val="0"/>
          <w:numId w:val="32"/>
        </w:numPr>
        <w:spacing w:after="80"/>
      </w:pPr>
      <w:r>
        <w:rPr>
          <w:rFonts w:ascii="Arial" w:cs="Arial" w:eastAsia="Arial" w:hAnsi="Arial"/>
          <w:color w:val="1A2332"/>
          <w:sz w:val="22"/>
          <w:szCs w:val="22"/>
        </w:rPr>
        <w:t xml:space="preserve">Les renouvelables doivent survivre au prix de marche</w:t>
      </w:r>
    </w:p>
    <w:p>
      <w:pPr>
        <w:pStyle w:val="ListParagraph"/>
        <w:numPr>
          <w:ilvl w:val="0"/>
          <w:numId w:val="32"/>
        </w:numPr>
        <w:spacing w:after="80"/>
      </w:pPr>
      <w:r>
        <w:rPr>
          <w:rFonts w:ascii="Arial" w:cs="Arial" w:eastAsia="Arial" w:hAnsi="Arial"/>
          <w:b/>
          <w:bCs/>
          <w:color w:val="1A2332"/>
          <w:sz w:val="22"/>
          <w:szCs w:val="22"/>
        </w:rPr>
        <w:t xml:space="preserve">Economie : 5 a 7 milliards EUR/an</w:t>
      </w:r>
      <w:r>
        <w:rPr>
          <w:rFonts w:ascii="Arial" w:cs="Arial" w:eastAsia="Arial" w:hAnsi="Arial"/>
          <w:color w:val="1A2332"/>
          <w:sz w:val="22"/>
          <w:szCs w:val="22"/>
        </w:rPr>
        <w:t xml:space="preserve"> (fin des obligations d'achat)</w:t>
      </w:r>
    </w:p>
    <w:p>
      <w:pPr>
        <w:spacing w:before="200" w:after="100"/>
      </w:pPr>
      <w:r>
        <w:rPr>
          <w:rFonts w:ascii="Arial" w:cs="Arial" w:eastAsia="Arial" w:hAnsi="Arial"/>
          <w:b/>
          <w:bCs/>
          <w:color w:val="0A1628"/>
          <w:sz w:val="24"/>
          <w:szCs w:val="24"/>
        </w:rPr>
        <w:t xml:space="preserve">7.3 — Prix de l'electricite aligne sur le cout de production</w:t>
      </w:r>
    </w:p>
    <w:p>
      <w:pPr>
        <w:pStyle w:val="ListParagraph"/>
        <w:numPr>
          <w:ilvl w:val="0"/>
          <w:numId w:val="33"/>
        </w:numPr>
        <w:spacing w:after="80"/>
      </w:pPr>
      <w:r>
        <w:rPr>
          <w:rFonts w:ascii="Arial" w:cs="Arial" w:eastAsia="Arial" w:hAnsi="Arial"/>
          <w:color w:val="1A2332"/>
          <w:sz w:val="22"/>
          <w:szCs w:val="22"/>
        </w:rPr>
        <w:t xml:space="preserve">Sortir du marche europeen de l'electricite (decouplage gaz-electricite)</w:t>
      </w:r>
    </w:p>
    <w:p>
      <w:pPr>
        <w:pStyle w:val="ListParagraph"/>
        <w:numPr>
          <w:ilvl w:val="0"/>
          <w:numId w:val="33"/>
        </w:numPr>
        <w:spacing w:after="80"/>
      </w:pPr>
      <w:r>
        <w:rPr>
          <w:rFonts w:ascii="Arial" w:cs="Arial" w:eastAsia="Arial" w:hAnsi="Arial"/>
          <w:color w:val="1A2332"/>
          <w:sz w:val="22"/>
          <w:szCs w:val="22"/>
        </w:rPr>
        <w:t xml:space="preserve">Objectif : retour a 0,15 EUR/kWh pour les menages et 0,06 EUR/kWh pour l'industrie</w:t>
      </w:r>
    </w:p>
    <w:p>
      <w:pPr>
        <w:pStyle w:val="ListParagraph"/>
        <w:numPr>
          <w:ilvl w:val="0"/>
          <w:numId w:val="33"/>
        </w:numPr>
        <w:spacing w:after="80"/>
      </w:pPr>
      <w:r>
        <w:rPr>
          <w:rFonts w:ascii="Arial" w:cs="Arial" w:eastAsia="Arial" w:hAnsi="Arial"/>
          <w:b/>
          <w:bCs/>
          <w:color w:val="1A2332"/>
          <w:sz w:val="22"/>
          <w:szCs w:val="22"/>
        </w:rPr>
        <w:t xml:space="preserve">Gain de competitivite industrielle : 10 a 15 milliards EUR/an</w:t>
      </w:r>
    </w:p>
    <w:p>
      <w:pPr>
        <w:spacing w:before="200" w:after="100"/>
      </w:pPr>
      <w:r>
        <w:rPr>
          <w:rFonts w:ascii="Arial" w:cs="Arial" w:eastAsia="Arial" w:hAnsi="Arial"/>
          <w:b/>
          <w:bCs/>
          <w:color w:val="0A1628"/>
          <w:sz w:val="24"/>
          <w:szCs w:val="24"/>
        </w:rPr>
        <w:t xml:space="preserve">7.4 — Electrification de l'economie</w:t>
      </w:r>
    </w:p>
    <w:p>
      <w:pPr>
        <w:pStyle w:val="ListParagraph"/>
        <w:numPr>
          <w:ilvl w:val="0"/>
          <w:numId w:val="34"/>
        </w:numPr>
        <w:spacing w:after="80"/>
      </w:pPr>
      <w:r>
        <w:rPr>
          <w:rFonts w:ascii="Arial" w:cs="Arial" w:eastAsia="Arial" w:hAnsi="Arial"/>
          <w:color w:val="1A2332"/>
          <w:sz w:val="22"/>
          <w:szCs w:val="22"/>
        </w:rPr>
        <w:t xml:space="preserve">Objectif 50 % de vehicules electriques dans les ventes neuves d'ici 2030</w:t>
      </w:r>
    </w:p>
    <w:p>
      <w:pPr>
        <w:pStyle w:val="ListParagraph"/>
        <w:numPr>
          <w:ilvl w:val="0"/>
          <w:numId w:val="34"/>
        </w:numPr>
        <w:spacing w:after="80"/>
      </w:pPr>
      <w:r>
        <w:rPr>
          <w:rFonts w:ascii="Arial" w:cs="Arial" w:eastAsia="Arial" w:hAnsi="Arial"/>
          <w:color w:val="1A2332"/>
          <w:sz w:val="22"/>
          <w:szCs w:val="22"/>
        </w:rPr>
        <w:t xml:space="preserve">Pompes a chaleur : objectif 1 million d'installations/an (vs 300 000 aujourd'hui)</w:t>
      </w:r>
    </w:p>
    <w:p>
      <w:pPr>
        <w:pStyle w:val="ListParagraph"/>
        <w:numPr>
          <w:ilvl w:val="0"/>
          <w:numId w:val="34"/>
        </w:numPr>
        <w:spacing w:after="80"/>
      </w:pPr>
      <w:r>
        <w:rPr>
          <w:rFonts w:ascii="Arial" w:cs="Arial" w:eastAsia="Arial" w:hAnsi="Arial"/>
          <w:color w:val="1A2332"/>
          <w:sz w:val="22"/>
          <w:szCs w:val="22"/>
        </w:rPr>
        <w:t xml:space="preserve">Hydrogene vert par electrolyse nucleaire : 1 GW d'electrolyseurs d'ici 2030</w:t>
      </w:r>
    </w:p>
    <w:p>
      <w:r>
        <w:br w:type="page"/>
      </w:r>
    </w:p>
    <w:p>
      <w:pPr>
        <w:pStyle w:val="Heading1"/>
        <w:spacing w:before="400" w:after="200"/>
      </w:pPr>
      <w:r>
        <w:rPr>
          <w:rFonts w:ascii="Georgia" w:cs="Georgia" w:eastAsia="Georgia" w:hAnsi="Georgia"/>
          <w:b/>
          <w:bCs/>
          <w:color w:val="0A1628"/>
          <w:sz w:val="36"/>
          <w:szCs w:val="36"/>
        </w:rPr>
        <w:t xml:space="preserve">8. Immigration : selective et qualifiee</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En 2025, la France a delivre </w:t>
      </w:r>
      <w:r>
        <w:rPr>
          <w:rFonts w:ascii="Arial" w:cs="Arial" w:eastAsia="Arial" w:hAnsi="Arial"/>
          <w:b/>
          <w:bCs/>
          <w:color w:val="D63031"/>
          <w:sz w:val="22"/>
          <w:szCs w:val="22"/>
        </w:rPr>
        <w:t xml:space="preserve">384 230 premiers titres de sejour</w:t>
      </w:r>
      <w:r>
        <w:rPr>
          <w:rFonts w:ascii="Arial" w:cs="Arial" w:eastAsia="Arial" w:hAnsi="Arial"/>
          <w:color w:val="1A2332"/>
          <w:sz w:val="22"/>
          <w:szCs w:val="22"/>
        </w:rPr>
        <w:t xml:space="preserve"> (+11,2 % en un an). La repartition est revelante : 30,7 % d'etudiants, 23,7 % de motifs familiaux, </w:t>
      </w:r>
      <w:r>
        <w:rPr>
          <w:rFonts w:ascii="Arial" w:cs="Arial" w:eastAsia="Arial" w:hAnsi="Arial"/>
          <w:b/>
          <w:bCs/>
          <w:color w:val="D63031"/>
          <w:sz w:val="22"/>
          <w:szCs w:val="22"/>
        </w:rPr>
        <w:t xml:space="preserve">24,1 % de motifs humanitaires</w:t>
      </w:r>
      <w:r>
        <w:rPr>
          <w:rFonts w:ascii="Arial" w:cs="Arial" w:eastAsia="Arial" w:hAnsi="Arial"/>
          <w:color w:val="1A2332"/>
          <w:sz w:val="22"/>
          <w:szCs w:val="22"/>
        </w:rPr>
        <w:t xml:space="preserve"> (+65 % en un an) et seulement ~13 % pour motifs economiques.</w:t>
      </w:r>
    </w:p>
    <w:p>
      <w:pPr>
        <w:spacing w:after="120"/>
        <w:jc w:val="both"/>
      </w:pPr>
      <w:r>
        <w:rPr>
          <w:rFonts w:ascii="Arial" w:cs="Arial" w:eastAsia="Arial" w:hAnsi="Arial"/>
          <w:color w:val="1A2332"/>
          <w:sz w:val="22"/>
          <w:szCs w:val="22"/>
        </w:rPr>
        <w:t xml:space="preserve">A l'inverse, au Canada, </w:t>
      </w:r>
      <w:r>
        <w:rPr>
          <w:rFonts w:ascii="Arial" w:cs="Arial" w:eastAsia="Arial" w:hAnsi="Arial"/>
          <w:b/>
          <w:bCs/>
          <w:color w:val="D63031"/>
          <w:sz w:val="22"/>
          <w:szCs w:val="22"/>
        </w:rPr>
        <w:t xml:space="preserve">60 % de l'immigration est economique</w:t>
      </w:r>
      <w:r>
        <w:rPr>
          <w:rFonts w:ascii="Arial" w:cs="Arial" w:eastAsia="Arial" w:hAnsi="Arial"/>
          <w:color w:val="1A2332"/>
          <w:sz w:val="22"/>
          <w:szCs w:val="22"/>
        </w:rPr>
        <w:t xml:space="preserve"> (systeme a points), et en Australie 70 %. La France attire peu de talents qualifies : moins de 30 000 'passeports talents' delivres par an.</w:t>
      </w:r>
    </w:p>
    <w:p>
      <w:pPr>
        <w:spacing w:after="120"/>
        <w:jc w:val="both"/>
      </w:pPr>
      <w:r>
        <w:rPr>
          <w:rFonts w:ascii="Arial" w:cs="Arial" w:eastAsia="Arial" w:hAnsi="Arial"/>
          <w:color w:val="1A2332"/>
          <w:sz w:val="22"/>
          <w:szCs w:val="22"/>
        </w:rPr>
        <w:t xml:space="preserve">Le budget de la mission 'Immigration, asile et integration' atteint </w:t>
      </w:r>
      <w:r>
        <w:rPr>
          <w:rFonts w:ascii="Arial" w:cs="Arial" w:eastAsia="Arial" w:hAnsi="Arial"/>
          <w:b/>
          <w:bCs/>
          <w:color w:val="D63031"/>
          <w:sz w:val="22"/>
          <w:szCs w:val="22"/>
        </w:rPr>
        <w:t xml:space="preserve">2,16 milliards d'euros</w:t>
      </w:r>
      <w:r>
        <w:rPr>
          <w:rFonts w:ascii="Arial" w:cs="Arial" w:eastAsia="Arial" w:hAnsi="Arial"/>
          <w:color w:val="1A2332"/>
          <w:sz w:val="22"/>
          <w:szCs w:val="22"/>
        </w:rPr>
        <w:t xml:space="preserve"> (dont 1,4 Md EUR pour le droit d'asile). Le cout total (AME : 1,2 Md EUR, hebergement d'urgence : ~1 Md EUR, education, sante, minima sociaux) est estime entre </w:t>
      </w:r>
      <w:r>
        <w:rPr>
          <w:rFonts w:ascii="Arial" w:cs="Arial" w:eastAsia="Arial" w:hAnsi="Arial"/>
          <w:b/>
          <w:bCs/>
          <w:color w:val="D63031"/>
          <w:sz w:val="22"/>
          <w:szCs w:val="22"/>
        </w:rPr>
        <w:t xml:space="preserve">20 et 30 milliards d'euros/an</w:t>
      </w:r>
      <w:r>
        <w:rPr>
          <w:rFonts w:ascii="Arial" w:cs="Arial" w:eastAsia="Arial" w:hAnsi="Arial"/>
          <w:color w:val="1A2332"/>
          <w:sz w:val="22"/>
          <w:szCs w:val="22"/>
        </w:rPr>
        <w:t xml:space="preserve">. Les OQTF ne sont executees qu'a </w:t>
      </w:r>
      <w:r>
        <w:rPr>
          <w:rFonts w:ascii="Arial" w:cs="Arial" w:eastAsia="Arial" w:hAnsi="Arial"/>
          <w:b/>
          <w:bCs/>
          <w:color w:val="D63031"/>
          <w:sz w:val="22"/>
          <w:szCs w:val="22"/>
        </w:rPr>
        <w:t xml:space="preserve">14,3 %</w:t>
      </w:r>
      <w:r>
        <w:rPr>
          <w:rFonts w:ascii="Arial" w:cs="Arial" w:eastAsia="Arial" w:hAnsi="Arial"/>
          <w:color w:val="1A2332"/>
          <w:sz w:val="22"/>
          <w:szCs w:val="22"/>
        </w:rPr>
        <w:t xml:space="preserve"> (~20 000 sur 140 000 prononcees en 2024).</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8.1 — Systeme a points (modele canadien adapte)</w:t>
      </w:r>
    </w:p>
    <w:p>
      <w:pPr>
        <w:pStyle w:val="ListParagraph"/>
        <w:numPr>
          <w:ilvl w:val="0"/>
          <w:numId w:val="35"/>
        </w:numPr>
        <w:spacing w:after="80"/>
      </w:pPr>
      <w:r>
        <w:rPr>
          <w:rFonts w:ascii="Arial" w:cs="Arial" w:eastAsia="Arial" w:hAnsi="Arial"/>
          <w:color w:val="1A2332"/>
          <w:sz w:val="22"/>
          <w:szCs w:val="22"/>
        </w:rPr>
        <w:t xml:space="preserve">Grille de points : diplome (30 pts max), maitrise du francais (25 pts), experience professionnelle (20 pts), age (15 pts), offre d'emploi en France (10 pts)</w:t>
      </w:r>
    </w:p>
    <w:p>
      <w:pPr>
        <w:pStyle w:val="ListParagraph"/>
        <w:numPr>
          <w:ilvl w:val="0"/>
          <w:numId w:val="35"/>
        </w:numPr>
        <w:spacing w:after="80"/>
      </w:pPr>
      <w:r>
        <w:rPr>
          <w:rFonts w:ascii="Arial" w:cs="Arial" w:eastAsia="Arial" w:hAnsi="Arial"/>
          <w:color w:val="1A2332"/>
          <w:sz w:val="22"/>
          <w:szCs w:val="22"/>
        </w:rPr>
        <w:t xml:space="preserve">Seuil d'admission : 67 points sur 100 (equivalent canadien)</w:t>
      </w:r>
    </w:p>
    <w:p>
      <w:pPr>
        <w:pStyle w:val="ListParagraph"/>
        <w:numPr>
          <w:ilvl w:val="0"/>
          <w:numId w:val="35"/>
        </w:numPr>
        <w:spacing w:after="80"/>
      </w:pPr>
      <w:r>
        <w:rPr>
          <w:rFonts w:ascii="Arial" w:cs="Arial" w:eastAsia="Arial" w:hAnsi="Arial"/>
          <w:color w:val="1A2332"/>
          <w:sz w:val="22"/>
          <w:szCs w:val="22"/>
        </w:rPr>
        <w:t xml:space="preserve">Quotas annuels par secteur deficitaire, fixes par le Parlement</w:t>
      </w:r>
    </w:p>
    <w:p>
      <w:pPr>
        <w:pStyle w:val="ListParagraph"/>
        <w:numPr>
          <w:ilvl w:val="0"/>
          <w:numId w:val="35"/>
        </w:numPr>
        <w:spacing w:after="80"/>
      </w:pPr>
      <w:r>
        <w:rPr>
          <w:rFonts w:ascii="Arial" w:cs="Arial" w:eastAsia="Arial" w:hAnsi="Arial"/>
          <w:b/>
          <w:bCs/>
          <w:color w:val="1A2332"/>
          <w:sz w:val="22"/>
          <w:szCs w:val="22"/>
        </w:rPr>
        <w:t xml:space="preserve">Objectif : 50 % de l'immigration legale de nature economique</w:t>
      </w:r>
      <w:r>
        <w:rPr>
          <w:rFonts w:ascii="Arial" w:cs="Arial" w:eastAsia="Arial" w:hAnsi="Arial"/>
          <w:color w:val="1A2332"/>
          <w:sz w:val="22"/>
          <w:szCs w:val="22"/>
        </w:rPr>
        <w:t xml:space="preserve"> (vs 13 % aujourd'hui)</w:t>
      </w:r>
    </w:p>
    <w:p>
      <w:pPr>
        <w:spacing w:before="200" w:after="100"/>
      </w:pPr>
      <w:r>
        <w:rPr>
          <w:rFonts w:ascii="Arial" w:cs="Arial" w:eastAsia="Arial" w:hAnsi="Arial"/>
          <w:b/>
          <w:bCs/>
          <w:color w:val="0A1628"/>
          <w:sz w:val="24"/>
          <w:szCs w:val="24"/>
        </w:rPr>
        <w:t xml:space="preserve">8.2 — Visa tech &amp; startup</w:t>
      </w:r>
    </w:p>
    <w:p>
      <w:pPr>
        <w:pStyle w:val="ListParagraph"/>
        <w:numPr>
          <w:ilvl w:val="0"/>
          <w:numId w:val="36"/>
        </w:numPr>
        <w:spacing w:after="80"/>
      </w:pPr>
      <w:r>
        <w:rPr>
          <w:rFonts w:ascii="Arial" w:cs="Arial" w:eastAsia="Arial" w:hAnsi="Arial"/>
          <w:color w:val="1A2332"/>
          <w:sz w:val="22"/>
          <w:szCs w:val="22"/>
        </w:rPr>
        <w:t xml:space="preserve">Visa de 4 ans pour les ingenieurs, chercheurs, medecins et entrepreneurs etrangers</w:t>
      </w:r>
    </w:p>
    <w:p>
      <w:pPr>
        <w:pStyle w:val="ListParagraph"/>
        <w:numPr>
          <w:ilvl w:val="0"/>
          <w:numId w:val="36"/>
        </w:numPr>
        <w:spacing w:after="80"/>
      </w:pPr>
      <w:r>
        <w:rPr>
          <w:rFonts w:ascii="Arial" w:cs="Arial" w:eastAsia="Arial" w:hAnsi="Arial"/>
          <w:color w:val="1A2332"/>
          <w:sz w:val="22"/>
          <w:szCs w:val="22"/>
        </w:rPr>
        <w:t xml:space="preserve">Fiscalite attractive les 5 premieres annees (flat tax a 20 % sur les revenus)</w:t>
      </w:r>
    </w:p>
    <w:p>
      <w:pPr>
        <w:pStyle w:val="ListParagraph"/>
        <w:numPr>
          <w:ilvl w:val="0"/>
          <w:numId w:val="36"/>
        </w:numPr>
        <w:spacing w:after="80"/>
      </w:pPr>
      <w:r>
        <w:rPr>
          <w:rFonts w:ascii="Arial" w:cs="Arial" w:eastAsia="Arial" w:hAnsi="Arial"/>
          <w:color w:val="1A2332"/>
          <w:sz w:val="22"/>
          <w:szCs w:val="22"/>
        </w:rPr>
        <w:t xml:space="preserve">Reconnaissance automatique des diplomes des 50 meilleures universites mondiales</w:t>
      </w:r>
    </w:p>
    <w:p>
      <w:pPr>
        <w:pStyle w:val="ListParagraph"/>
        <w:numPr>
          <w:ilvl w:val="0"/>
          <w:numId w:val="36"/>
        </w:numPr>
        <w:spacing w:after="80"/>
      </w:pPr>
      <w:r>
        <w:rPr>
          <w:rFonts w:ascii="Arial" w:cs="Arial" w:eastAsia="Arial" w:hAnsi="Arial"/>
          <w:b/>
          <w:bCs/>
          <w:color w:val="1A2332"/>
          <w:sz w:val="22"/>
          <w:szCs w:val="22"/>
        </w:rPr>
        <w:t xml:space="preserve">Objectif : attirer 50 000 talents/an</w:t>
      </w:r>
      <w:r>
        <w:rPr>
          <w:rFonts w:ascii="Arial" w:cs="Arial" w:eastAsia="Arial" w:hAnsi="Arial"/>
          <w:color w:val="1A2332"/>
          <w:sz w:val="22"/>
          <w:szCs w:val="22"/>
        </w:rPr>
        <w:t xml:space="preserve"> (doublement du passeport talent)</w:t>
      </w:r>
    </w:p>
    <w:p>
      <w:pPr>
        <w:spacing w:before="200" w:after="100"/>
      </w:pPr>
      <w:r>
        <w:rPr>
          <w:rFonts w:ascii="Arial" w:cs="Arial" w:eastAsia="Arial" w:hAnsi="Arial"/>
          <w:b/>
          <w:bCs/>
          <w:color w:val="0A1628"/>
          <w:sz w:val="24"/>
          <w:szCs w:val="24"/>
        </w:rPr>
        <w:t xml:space="preserve">8.3 — Conditionnement de l'immigration familiale</w:t>
      </w:r>
    </w:p>
    <w:p>
      <w:pPr>
        <w:pStyle w:val="ListParagraph"/>
        <w:numPr>
          <w:ilvl w:val="0"/>
          <w:numId w:val="37"/>
        </w:numPr>
        <w:spacing w:after="80"/>
      </w:pPr>
      <w:r>
        <w:rPr>
          <w:rFonts w:ascii="Arial" w:cs="Arial" w:eastAsia="Arial" w:hAnsi="Arial"/>
          <w:color w:val="1A2332"/>
          <w:sz w:val="22"/>
          <w:szCs w:val="22"/>
        </w:rPr>
        <w:t xml:space="preserve">Regroupement familial conditionne a : emploi stable, logement adapte, niveau B1 en francais</w:t>
      </w:r>
    </w:p>
    <w:p>
      <w:pPr>
        <w:pStyle w:val="ListParagraph"/>
        <w:numPr>
          <w:ilvl w:val="0"/>
          <w:numId w:val="37"/>
        </w:numPr>
        <w:spacing w:after="80"/>
      </w:pPr>
      <w:r>
        <w:rPr>
          <w:rFonts w:ascii="Arial" w:cs="Arial" w:eastAsia="Arial" w:hAnsi="Arial"/>
          <w:color w:val="1A2332"/>
          <w:sz w:val="22"/>
          <w:szCs w:val="22"/>
        </w:rPr>
        <w:t xml:space="preserve">Delai d'eligibilite porte a 3 ans (vs 18 mois aujourd'hui)</w:t>
      </w:r>
    </w:p>
    <w:p>
      <w:pPr>
        <w:pStyle w:val="ListParagraph"/>
        <w:numPr>
          <w:ilvl w:val="0"/>
          <w:numId w:val="37"/>
        </w:numPr>
        <w:spacing w:after="80"/>
      </w:pPr>
      <w:r>
        <w:rPr>
          <w:rFonts w:ascii="Arial" w:cs="Arial" w:eastAsia="Arial" w:hAnsi="Arial"/>
          <w:b/>
          <w:bCs/>
          <w:color w:val="1A2332"/>
          <w:sz w:val="22"/>
          <w:szCs w:val="22"/>
        </w:rPr>
        <w:t xml:space="preserve">Reduction estimee : -30 000 titres familiaux/an</w:t>
      </w:r>
      <w:r>
        <w:rPr>
          <w:rFonts w:ascii="Arial" w:cs="Arial" w:eastAsia="Arial" w:hAnsi="Arial"/>
          <w:color w:val="1A2332"/>
          <w:sz w:val="22"/>
          <w:szCs w:val="22"/>
        </w:rPr>
        <w:t xml:space="preserve"> (economie ~1,5 Md EUR)</w:t>
      </w:r>
    </w:p>
    <w:p>
      <w:pPr>
        <w:spacing w:before="200" w:after="100"/>
      </w:pPr>
      <w:r>
        <w:rPr>
          <w:rFonts w:ascii="Arial" w:cs="Arial" w:eastAsia="Arial" w:hAnsi="Arial"/>
          <w:b/>
          <w:bCs/>
          <w:color w:val="0A1628"/>
          <w:sz w:val="24"/>
          <w:szCs w:val="24"/>
        </w:rPr>
        <w:t xml:space="preserve">8.4 — Execution effective des OQTF</w:t>
      </w:r>
    </w:p>
    <w:p>
      <w:pPr>
        <w:pStyle w:val="ListParagraph"/>
        <w:numPr>
          <w:ilvl w:val="0"/>
          <w:numId w:val="38"/>
        </w:numPr>
        <w:spacing w:after="80"/>
      </w:pPr>
      <w:r>
        <w:rPr>
          <w:rFonts w:ascii="Arial" w:cs="Arial" w:eastAsia="Arial" w:hAnsi="Arial"/>
          <w:color w:val="1A2332"/>
          <w:sz w:val="22"/>
          <w:szCs w:val="22"/>
        </w:rPr>
        <w:t xml:space="preserve">Creation de centres de retention supplementaires (5 000 places, vs ~1 800 aujourd'hui)</w:t>
      </w:r>
    </w:p>
    <w:p>
      <w:pPr>
        <w:pStyle w:val="ListParagraph"/>
        <w:numPr>
          <w:ilvl w:val="0"/>
          <w:numId w:val="38"/>
        </w:numPr>
        <w:spacing w:after="80"/>
      </w:pPr>
      <w:r>
        <w:rPr>
          <w:rFonts w:ascii="Arial" w:cs="Arial" w:eastAsia="Arial" w:hAnsi="Arial"/>
          <w:color w:val="1A2332"/>
          <w:sz w:val="22"/>
          <w:szCs w:val="22"/>
        </w:rPr>
        <w:t xml:space="preserve">Conditionnement de l'aide au developpement a la cooperation en matiere de retour</w:t>
      </w:r>
    </w:p>
    <w:p>
      <w:pPr>
        <w:pStyle w:val="ListParagraph"/>
        <w:numPr>
          <w:ilvl w:val="0"/>
          <w:numId w:val="38"/>
        </w:numPr>
        <w:spacing w:after="80"/>
      </w:pPr>
      <w:r>
        <w:rPr>
          <w:rFonts w:ascii="Arial" w:cs="Arial" w:eastAsia="Arial" w:hAnsi="Arial"/>
          <w:color w:val="1A2332"/>
          <w:sz w:val="22"/>
          <w:szCs w:val="22"/>
        </w:rPr>
        <w:t xml:space="preserve">Objectif : taux d'execution des OQTF a 50 % (vs 14 % aujourd'hui)</w:t>
      </w:r>
    </w:p>
    <w:p>
      <w:pPr>
        <w:pStyle w:val="ListParagraph"/>
        <w:numPr>
          <w:ilvl w:val="0"/>
          <w:numId w:val="38"/>
        </w:numPr>
        <w:spacing w:after="80"/>
      </w:pPr>
      <w:r>
        <w:rPr>
          <w:rFonts w:ascii="Arial" w:cs="Arial" w:eastAsia="Arial" w:hAnsi="Arial"/>
          <w:b/>
          <w:bCs/>
          <w:color w:val="1A2332"/>
          <w:sz w:val="22"/>
          <w:szCs w:val="22"/>
        </w:rPr>
        <w:t xml:space="preserve">Investissement : 500 millions EUR/an</w:t>
      </w:r>
      <w:r>
        <w:rPr>
          <w:rFonts w:ascii="Arial" w:cs="Arial" w:eastAsia="Arial" w:hAnsi="Arial"/>
          <w:color w:val="1A2332"/>
          <w:sz w:val="22"/>
          <w:szCs w:val="22"/>
        </w:rPr>
        <w:t xml:space="preserve">. Economie nette a terme : 2-3 Md EUR/an</w:t>
      </w:r>
    </w:p>
    <w:p>
      <w:pPr>
        <w:spacing w:before="200" w:after="100"/>
      </w:pPr>
      <w:r>
        <w:rPr>
          <w:rFonts w:ascii="Arial" w:cs="Arial" w:eastAsia="Arial" w:hAnsi="Arial"/>
          <w:b/>
          <w:bCs/>
          <w:color w:val="0A1628"/>
          <w:sz w:val="24"/>
          <w:szCs w:val="24"/>
        </w:rPr>
        <w:t xml:space="preserve">8.5 — Integration acceleree</w:t>
      </w:r>
    </w:p>
    <w:p>
      <w:pPr>
        <w:pStyle w:val="ListParagraph"/>
        <w:numPr>
          <w:ilvl w:val="0"/>
          <w:numId w:val="39"/>
        </w:numPr>
        <w:spacing w:after="80"/>
      </w:pPr>
      <w:r>
        <w:rPr>
          <w:rFonts w:ascii="Arial" w:cs="Arial" w:eastAsia="Arial" w:hAnsi="Arial"/>
          <w:color w:val="1A2332"/>
          <w:sz w:val="22"/>
          <w:szCs w:val="22"/>
        </w:rPr>
        <w:t xml:space="preserve">Parcours d'integration obligatoire de 400h (langue + valeurs + insertion professionnelle)</w:t>
      </w:r>
    </w:p>
    <w:p>
      <w:pPr>
        <w:pStyle w:val="ListParagraph"/>
        <w:numPr>
          <w:ilvl w:val="0"/>
          <w:numId w:val="39"/>
        </w:numPr>
        <w:spacing w:after="80"/>
      </w:pPr>
      <w:r>
        <w:rPr>
          <w:rFonts w:ascii="Arial" w:cs="Arial" w:eastAsia="Arial" w:hAnsi="Arial"/>
          <w:color w:val="1A2332"/>
          <w:sz w:val="22"/>
          <w:szCs w:val="22"/>
        </w:rPr>
        <w:t xml:space="preserve">Acces a la nationalite conditionne au niveau B2 en francais et a 5 ans d'emploi</w:t>
      </w:r>
    </w:p>
    <w:p>
      <w:pPr>
        <w:pStyle w:val="ListParagraph"/>
        <w:numPr>
          <w:ilvl w:val="0"/>
          <w:numId w:val="39"/>
        </w:numPr>
        <w:spacing w:after="80"/>
      </w:pPr>
      <w:r>
        <w:rPr>
          <w:rFonts w:ascii="Arial" w:cs="Arial" w:eastAsia="Arial" w:hAnsi="Arial"/>
          <w:b/>
          <w:bCs/>
          <w:color w:val="1A2332"/>
          <w:sz w:val="22"/>
          <w:szCs w:val="22"/>
        </w:rPr>
        <w:t xml:space="preserve">Budget : 500 millions EUR/an</w:t>
      </w:r>
      <w:r>
        <w:rPr>
          <w:rFonts w:ascii="Arial" w:cs="Arial" w:eastAsia="Arial" w:hAnsi="Arial"/>
          <w:color w:val="1A2332"/>
          <w:sz w:val="22"/>
          <w:szCs w:val="22"/>
        </w:rPr>
        <w:t xml:space="preserve">, retour positif par l'employabilite des immigres</w:t>
      </w:r>
    </w:p>
    <w:p>
      <w:pPr>
        <w:pStyle w:val="Heading2"/>
        <w:spacing w:before="300" w:after="150"/>
      </w:pPr>
      <w:r>
        <w:rPr>
          <w:rFonts w:ascii="Georgia" w:cs="Georgia" w:eastAsia="Georgia" w:hAnsi="Georgia"/>
          <w:b/>
          <w:bCs/>
          <w:color w:val="0099BB"/>
          <w:sz w:val="28"/>
          <w:szCs w:val="28"/>
        </w:rPr>
        <w:t xml:space="preserve">Impact budgetaire total du theme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Mesure</w:t>
            </w:r>
          </w:p>
        </w:tc>
        <w:tc>
          <w:tcPr>
            <w:tcW w:type="dxa" w:w="3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Impact annuel</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Reduction immigration familiale</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+1,5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Execution OQTF (investissement)</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-0,5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Execution OQTF (economies)</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+2-3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Afflux de talents (recettes fiscales)</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+1-2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Integration (investissement)</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-0,5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TOTAL</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+3,5 a +5,5 Md EUR</w:t>
            </w:r>
          </w:p>
        </w:tc>
      </w:tr>
    </w:tbl>
    <w:p>
      <w:r>
        <w:br w:type="page"/>
      </w:r>
    </w:p>
    <w:p>
      <w:pPr>
        <w:pStyle w:val="Heading1"/>
        <w:spacing w:before="400" w:after="200"/>
      </w:pPr>
      <w:r>
        <w:rPr>
          <w:rFonts w:ascii="Georgia" w:cs="Georgia" w:eastAsia="Georgia" w:hAnsi="Georgia"/>
          <w:b/>
          <w:bCs/>
          <w:color w:val="0A1628"/>
          <w:sz w:val="36"/>
          <w:szCs w:val="36"/>
        </w:rPr>
        <w:t xml:space="preserve">9. Logement : construire plus, reglementer moins</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Le prix moyen au m2 en France atteint </w:t>
      </w:r>
      <w:r>
        <w:rPr>
          <w:rFonts w:ascii="Arial" w:cs="Arial" w:eastAsia="Arial" w:hAnsi="Arial"/>
          <w:b/>
          <w:bCs/>
          <w:color w:val="D63031"/>
          <w:sz w:val="22"/>
          <w:szCs w:val="22"/>
        </w:rPr>
        <w:t xml:space="preserve">3 142 EUR</w:t>
      </w:r>
      <w:r>
        <w:rPr>
          <w:rFonts w:ascii="Arial" w:cs="Arial" w:eastAsia="Arial" w:hAnsi="Arial"/>
          <w:color w:val="1A2332"/>
          <w:sz w:val="22"/>
          <w:szCs w:val="22"/>
        </w:rPr>
        <w:t xml:space="preserve"> (appartements : 3 918 EUR/m2), ayant quasiment double en 20 ans. Pourtant, la France compte </w:t>
      </w:r>
      <w:r>
        <w:rPr>
          <w:rFonts w:ascii="Arial" w:cs="Arial" w:eastAsia="Arial" w:hAnsi="Arial"/>
          <w:b/>
          <w:bCs/>
          <w:color w:val="D63031"/>
          <w:sz w:val="22"/>
          <w:szCs w:val="22"/>
        </w:rPr>
        <w:t xml:space="preserve">3,1 millions de logements vacants</w:t>
      </w:r>
      <w:r>
        <w:rPr>
          <w:rFonts w:ascii="Arial" w:cs="Arial" w:eastAsia="Arial" w:hAnsi="Arial"/>
          <w:color w:val="1A2332"/>
          <w:sz w:val="22"/>
          <w:szCs w:val="22"/>
        </w:rPr>
        <w:t xml:space="preserve"> (INSEE) et delivre de moins en moins de permis de construire : </w:t>
      </w:r>
      <w:r>
        <w:rPr>
          <w:rFonts w:ascii="Arial" w:cs="Arial" w:eastAsia="Arial" w:hAnsi="Arial"/>
          <w:b/>
          <w:bCs/>
          <w:color w:val="D63031"/>
          <w:sz w:val="22"/>
          <w:szCs w:val="22"/>
        </w:rPr>
        <w:t xml:space="preserve">330 400 en 2024</w:t>
      </w:r>
      <w:r>
        <w:rPr>
          <w:rFonts w:ascii="Arial" w:cs="Arial" w:eastAsia="Arial" w:hAnsi="Arial"/>
          <w:color w:val="1A2332"/>
          <w:sz w:val="22"/>
          <w:szCs w:val="22"/>
        </w:rPr>
        <w:t xml:space="preserve"> (-12,3 %, plus bas depuis 10 ans), contre 450 000 en 2017.</w:t>
      </w:r>
    </w:p>
    <w:p>
      <w:pPr>
        <w:spacing w:after="120"/>
        <w:jc w:val="both"/>
      </w:pPr>
      <w:r>
        <w:rPr>
          <w:rFonts w:ascii="Arial" w:cs="Arial" w:eastAsia="Arial" w:hAnsi="Arial"/>
          <w:color w:val="1A2332"/>
          <w:sz w:val="22"/>
          <w:szCs w:val="22"/>
        </w:rPr>
        <w:t xml:space="preserve">Les aides au logement (APL) coutent </w:t>
      </w:r>
      <w:r>
        <w:rPr>
          <w:rFonts w:ascii="Arial" w:cs="Arial" w:eastAsia="Arial" w:hAnsi="Arial"/>
          <w:b/>
          <w:bCs/>
          <w:color w:val="D63031"/>
          <w:sz w:val="22"/>
          <w:szCs w:val="22"/>
        </w:rPr>
        <w:t xml:space="preserve">~15 milliards EUR/an</w:t>
      </w:r>
      <w:r>
        <w:rPr>
          <w:rFonts w:ascii="Arial" w:cs="Arial" w:eastAsia="Arial" w:hAnsi="Arial"/>
          <w:color w:val="1A2332"/>
          <w:sz w:val="22"/>
          <w:szCs w:val="22"/>
        </w:rPr>
        <w:t xml:space="preserve"> mais sont largement captees par la hausse des loyers. Le secteur HLM loge 10 millions de personnes et </w:t>
      </w:r>
      <w:r>
        <w:rPr>
          <w:rFonts w:ascii="Arial" w:cs="Arial" w:eastAsia="Arial" w:hAnsi="Arial"/>
          <w:b/>
          <w:bCs/>
          <w:color w:val="D63031"/>
          <w:sz w:val="22"/>
          <w:szCs w:val="22"/>
        </w:rPr>
        <w:t xml:space="preserve">2,77 millions de demandeurs sont en attente</w:t>
      </w:r>
      <w:r>
        <w:rPr>
          <w:rFonts w:ascii="Arial" w:cs="Arial" w:eastAsia="Arial" w:hAnsi="Arial"/>
          <w:color w:val="1A2332"/>
          <w:sz w:val="22"/>
          <w:szCs w:val="22"/>
        </w:rPr>
        <w:t xml:space="preserve"> (record historique, delai moyen de 10 ans en Ile-de-France).</w:t>
      </w:r>
    </w:p>
    <w:p>
      <w:pPr>
        <w:spacing w:after="120"/>
        <w:jc w:val="both"/>
      </w:pPr>
      <w:r>
        <w:rPr>
          <w:rFonts w:ascii="Arial" w:cs="Arial" w:eastAsia="Arial" w:hAnsi="Arial"/>
          <w:color w:val="1A2332"/>
          <w:sz w:val="22"/>
          <w:szCs w:val="22"/>
        </w:rPr>
        <w:t xml:space="preserve">Les normes de construction se sont empilees : </w:t>
      </w:r>
      <w:r>
        <w:rPr>
          <w:rFonts w:ascii="Arial" w:cs="Arial" w:eastAsia="Arial" w:hAnsi="Arial"/>
          <w:b/>
          <w:bCs/>
          <w:color w:val="D63031"/>
          <w:sz w:val="22"/>
          <w:szCs w:val="22"/>
        </w:rPr>
        <w:t xml:space="preserve">3 700 regles applicables</w:t>
      </w:r>
      <w:r>
        <w:rPr>
          <w:rFonts w:ascii="Arial" w:cs="Arial" w:eastAsia="Arial" w:hAnsi="Arial"/>
          <w:color w:val="1A2332"/>
          <w:sz w:val="22"/>
          <w:szCs w:val="22"/>
        </w:rPr>
        <w:t xml:space="preserve"> a la construction neuve (accessibilite, thermique, sismique, acoustique, amiante...). Resultat : un surcout estime de 5 a 15 % sur chaque logement neuf. A Tokyo, ou le zonage est minimal, les prix immobiliers sont stables depuis 20 ans malgre la croissance demographique.</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9.1 — Choc de simplification normative</w:t>
      </w:r>
    </w:p>
    <w:p>
      <w:pPr>
        <w:pStyle w:val="ListParagraph"/>
        <w:numPr>
          <w:ilvl w:val="0"/>
          <w:numId w:val="40"/>
        </w:numPr>
        <w:spacing w:after="80"/>
      </w:pPr>
      <w:r>
        <w:rPr>
          <w:rFonts w:ascii="Arial" w:cs="Arial" w:eastAsia="Arial" w:hAnsi="Arial"/>
          <w:color w:val="1A2332"/>
          <w:sz w:val="22"/>
          <w:szCs w:val="22"/>
        </w:rPr>
        <w:t xml:space="preserve">Diviser par deux les normes de construction (de 4 000 a 2 000)</w:t>
      </w:r>
    </w:p>
    <w:p>
      <w:pPr>
        <w:pStyle w:val="ListParagraph"/>
        <w:numPr>
          <w:ilvl w:val="0"/>
          <w:numId w:val="40"/>
        </w:numPr>
        <w:spacing w:after="80"/>
      </w:pPr>
      <w:r>
        <w:rPr>
          <w:rFonts w:ascii="Arial" w:cs="Arial" w:eastAsia="Arial" w:hAnsi="Arial"/>
          <w:color w:val="1A2332"/>
          <w:sz w:val="22"/>
          <w:szCs w:val="22"/>
        </w:rPr>
        <w:t xml:space="preserve">Permis de construire tacite sous 2 mois (silence vaut accord)</w:t>
      </w:r>
    </w:p>
    <w:p>
      <w:pPr>
        <w:pStyle w:val="ListParagraph"/>
        <w:numPr>
          <w:ilvl w:val="0"/>
          <w:numId w:val="40"/>
        </w:numPr>
        <w:spacing w:after="80"/>
      </w:pPr>
      <w:r>
        <w:rPr>
          <w:rFonts w:ascii="Arial" w:cs="Arial" w:eastAsia="Arial" w:hAnsi="Arial"/>
          <w:color w:val="1A2332"/>
          <w:sz w:val="22"/>
          <w:szCs w:val="22"/>
        </w:rPr>
        <w:t xml:space="preserve">Moratoire de 3 ans sur toute nouvelle norme de construction</w:t>
      </w:r>
    </w:p>
    <w:p>
      <w:pPr>
        <w:pStyle w:val="ListParagraph"/>
        <w:numPr>
          <w:ilvl w:val="0"/>
          <w:numId w:val="40"/>
        </w:numPr>
        <w:spacing w:after="80"/>
      </w:pPr>
      <w:r>
        <w:rPr>
          <w:rFonts w:ascii="Arial" w:cs="Arial" w:eastAsia="Arial" w:hAnsi="Arial"/>
          <w:b/>
          <w:bCs/>
          <w:color w:val="1A2332"/>
          <w:sz w:val="22"/>
          <w:szCs w:val="22"/>
        </w:rPr>
        <w:t xml:space="preserve">Impact : -15 % sur le cout de construction</w:t>
      </w:r>
      <w:r>
        <w:rPr>
          <w:rFonts w:ascii="Arial" w:cs="Arial" w:eastAsia="Arial" w:hAnsi="Arial"/>
          <w:color w:val="1A2332"/>
          <w:sz w:val="22"/>
          <w:szCs w:val="22"/>
        </w:rPr>
        <w:t xml:space="preserve">, soit ~30 000 EUR d'economie sur un logement moyen</w:t>
      </w:r>
    </w:p>
    <w:p>
      <w:pPr>
        <w:spacing w:before="200" w:after="100"/>
      </w:pPr>
      <w:r>
        <w:rPr>
          <w:rFonts w:ascii="Arial" w:cs="Arial" w:eastAsia="Arial" w:hAnsi="Arial"/>
          <w:b/>
          <w:bCs/>
          <w:color w:val="0A1628"/>
          <w:sz w:val="24"/>
          <w:szCs w:val="24"/>
        </w:rPr>
        <w:t xml:space="preserve">9.2 — Liberalisation du foncier</w:t>
      </w:r>
    </w:p>
    <w:p>
      <w:pPr>
        <w:pStyle w:val="ListParagraph"/>
        <w:numPr>
          <w:ilvl w:val="0"/>
          <w:numId w:val="41"/>
        </w:numPr>
        <w:spacing w:after="80"/>
      </w:pPr>
      <w:r>
        <w:rPr>
          <w:rFonts w:ascii="Arial" w:cs="Arial" w:eastAsia="Arial" w:hAnsi="Arial"/>
          <w:color w:val="1A2332"/>
          <w:sz w:val="22"/>
          <w:szCs w:val="22"/>
        </w:rPr>
        <w:t xml:space="preserve">Densification obligatoire autour des gares et stations de transport</w:t>
      </w:r>
    </w:p>
    <w:p>
      <w:pPr>
        <w:pStyle w:val="ListParagraph"/>
        <w:numPr>
          <w:ilvl w:val="0"/>
          <w:numId w:val="41"/>
        </w:numPr>
        <w:spacing w:after="80"/>
      </w:pPr>
      <w:r>
        <w:rPr>
          <w:rFonts w:ascii="Arial" w:cs="Arial" w:eastAsia="Arial" w:hAnsi="Arial"/>
          <w:color w:val="1A2332"/>
          <w:sz w:val="22"/>
          <w:szCs w:val="22"/>
        </w:rPr>
        <w:t xml:space="preserve">Droit de surélévation automatique pour les immeubles en zone tendue</w:t>
      </w:r>
    </w:p>
    <w:p>
      <w:pPr>
        <w:pStyle w:val="ListParagraph"/>
        <w:numPr>
          <w:ilvl w:val="0"/>
          <w:numId w:val="41"/>
        </w:numPr>
        <w:spacing w:after="80"/>
      </w:pPr>
      <w:r>
        <w:rPr>
          <w:rFonts w:ascii="Arial" w:cs="Arial" w:eastAsia="Arial" w:hAnsi="Arial"/>
          <w:color w:val="1A2332"/>
          <w:sz w:val="22"/>
          <w:szCs w:val="22"/>
        </w:rPr>
        <w:t xml:space="preserve">Vente acceleree des terrains publics inutilises (objectif : 10 000 hectares en 5 ans)</w:t>
      </w:r>
    </w:p>
    <w:p>
      <w:pPr>
        <w:pStyle w:val="ListParagraph"/>
        <w:numPr>
          <w:ilvl w:val="0"/>
          <w:numId w:val="41"/>
        </w:numPr>
        <w:spacing w:after="80"/>
      </w:pPr>
      <w:r>
        <w:rPr>
          <w:rFonts w:ascii="Arial" w:cs="Arial" w:eastAsia="Arial" w:hAnsi="Arial"/>
          <w:b/>
          <w:bCs/>
          <w:color w:val="1A2332"/>
          <w:sz w:val="22"/>
          <w:szCs w:val="22"/>
        </w:rPr>
        <w:t xml:space="preserve">Objectif : 500 000 mises en chantier/an</w:t>
      </w:r>
      <w:r>
        <w:rPr>
          <w:rFonts w:ascii="Arial" w:cs="Arial" w:eastAsia="Arial" w:hAnsi="Arial"/>
          <w:color w:val="1A2332"/>
          <w:sz w:val="22"/>
          <w:szCs w:val="22"/>
        </w:rPr>
        <w:t xml:space="preserve"> (vs 350 000 aujourd'hui)</w:t>
      </w:r>
    </w:p>
    <w:p>
      <w:pPr>
        <w:spacing w:before="200" w:after="100"/>
      </w:pPr>
      <w:r>
        <w:rPr>
          <w:rFonts w:ascii="Arial" w:cs="Arial" w:eastAsia="Arial" w:hAnsi="Arial"/>
          <w:b/>
          <w:bCs/>
          <w:color w:val="0A1628"/>
          <w:sz w:val="24"/>
          <w:szCs w:val="24"/>
        </w:rPr>
        <w:t xml:space="preserve">9.3 — Reforme des aides au logement</w:t>
      </w:r>
    </w:p>
    <w:p>
      <w:pPr>
        <w:pStyle w:val="ListParagraph"/>
        <w:numPr>
          <w:ilvl w:val="0"/>
          <w:numId w:val="{b41-0}"/>
        </w:numPr>
        <w:spacing w:after="80"/>
      </w:pPr>
      <w:r>
        <w:rPr>
          <w:rFonts w:ascii="Arial" w:cs="Arial" w:eastAsia="Arial" w:hAnsi="Arial"/>
          <w:color w:val="1A2332"/>
          <w:sz w:val="22"/>
          <w:szCs w:val="22"/>
        </w:rPr>
        <w:t xml:space="preserve">Suppression progressive des APL compensee par une hausse de la prime d'activite</w:t>
      </w:r>
    </w:p>
    <w:p>
      <w:pPr>
        <w:pStyle w:val="ListParagraph"/>
        <w:numPr>
          <w:ilvl w:val="0"/>
          <w:numId w:val="{b41-0}"/>
        </w:numPr>
        <w:spacing w:after="80"/>
      </w:pPr>
      <w:r>
        <w:rPr>
          <w:rFonts w:ascii="Arial" w:cs="Arial" w:eastAsia="Arial" w:hAnsi="Arial"/>
          <w:color w:val="1A2332"/>
          <w:sz w:val="22"/>
          <w:szCs w:val="22"/>
        </w:rPr>
        <w:t xml:space="preserve">Transformation de l'aide a la pierre en pret a taux zero pour la primo-accession</w:t>
      </w:r>
    </w:p>
    <w:p>
      <w:pPr>
        <w:pStyle w:val="ListParagraph"/>
        <w:numPr>
          <w:ilvl w:val="0"/>
          <w:numId w:val="{b41-0}"/>
        </w:numPr>
        <w:spacing w:after="80"/>
      </w:pPr>
      <w:r>
        <w:rPr>
          <w:rFonts w:ascii="Arial" w:cs="Arial" w:eastAsia="Arial" w:hAnsi="Arial"/>
          <w:b/>
          <w:bCs/>
          <w:color w:val="1A2332"/>
          <w:sz w:val="22"/>
          <w:szCs w:val="22"/>
        </w:rPr>
        <w:t xml:space="preserve">Economie : 5 a 8 milliards EUR/an a terme</w:t>
      </w:r>
      <w:r>
        <w:rPr>
          <w:rFonts w:ascii="Arial" w:cs="Arial" w:eastAsia="Arial" w:hAnsi="Arial"/>
          <w:color w:val="1A2332"/>
          <w:sz w:val="22"/>
          <w:szCs w:val="22"/>
        </w:rPr>
        <w:t xml:space="preserve"> (les APL alimentent l'inflation des loyers)</w:t>
      </w:r>
    </w:p>
    <w:p>
      <w:pPr>
        <w:spacing w:before="200" w:after="100"/>
      </w:pPr>
      <w:r>
        <w:rPr>
          <w:rFonts w:ascii="Arial" w:cs="Arial" w:eastAsia="Arial" w:hAnsi="Arial"/>
          <w:b/>
          <w:bCs/>
          <w:color w:val="0A1628"/>
          <w:sz w:val="24"/>
          <w:szCs w:val="24"/>
        </w:rPr>
        <w:t xml:space="preserve">9.4 — Mobilisation des logements vacants</w:t>
      </w:r>
    </w:p>
    <w:p>
      <w:pPr>
        <w:pStyle w:val="ListParagraph"/>
        <w:numPr>
          <w:ilvl w:val="0"/>
          <w:numId w:val="{b42-0}"/>
        </w:numPr>
        <w:spacing w:after="80"/>
      </w:pPr>
      <w:r>
        <w:rPr>
          <w:rFonts w:ascii="Arial" w:cs="Arial" w:eastAsia="Arial" w:hAnsi="Arial"/>
          <w:color w:val="1A2332"/>
          <w:sz w:val="22"/>
          <w:szCs w:val="22"/>
        </w:rPr>
        <w:t xml:space="preserve">Taxe progressive sur les logements vacants depuis plus de 2 ans en zone tendue</w:t>
      </w:r>
    </w:p>
    <w:p>
      <w:pPr>
        <w:pStyle w:val="ListParagraph"/>
        <w:numPr>
          <w:ilvl w:val="0"/>
          <w:numId w:val="{b42-0}"/>
        </w:numPr>
        <w:spacing w:after="80"/>
      </w:pPr>
      <w:r>
        <w:rPr>
          <w:rFonts w:ascii="Arial" w:cs="Arial" w:eastAsia="Arial" w:hAnsi="Arial"/>
          <w:color w:val="1A2332"/>
          <w:sz w:val="22"/>
          <w:szCs w:val="22"/>
        </w:rPr>
        <w:t xml:space="preserve">Bail mobilite generalise (location flexible 1-10 mois)</w:t>
      </w:r>
    </w:p>
    <w:p>
      <w:pPr>
        <w:pStyle w:val="ListParagraph"/>
        <w:numPr>
          <w:ilvl w:val="0"/>
          <w:numId w:val="{b42-0}"/>
        </w:numPr>
        <w:spacing w:after="80"/>
      </w:pPr>
      <w:r>
        <w:rPr>
          <w:rFonts w:ascii="Arial" w:cs="Arial" w:eastAsia="Arial" w:hAnsi="Arial"/>
          <w:b/>
          <w:bCs/>
          <w:color w:val="1A2332"/>
          <w:sz w:val="22"/>
          <w:szCs w:val="22"/>
        </w:rPr>
        <w:t xml:space="preserve">Objectif : remettre 500 000 logements vacants sur le marche en 5 ans</w:t>
      </w:r>
    </w:p>
    <w:p>
      <w:pPr>
        <w:spacing w:before="200" w:after="100"/>
      </w:pPr>
      <w:r>
        <w:rPr>
          <w:rFonts w:ascii="Arial" w:cs="Arial" w:eastAsia="Arial" w:hAnsi="Arial"/>
          <w:b/>
          <w:bCs/>
          <w:color w:val="0A1628"/>
          <w:sz w:val="24"/>
          <w:szCs w:val="24"/>
        </w:rPr>
        <w:t xml:space="preserve">9.5 — Fiscalite immobiliere simplifiee</w:t>
      </w:r>
    </w:p>
    <w:p>
      <w:pPr>
        <w:pStyle w:val="ListParagraph"/>
        <w:numPr>
          <w:ilvl w:val="0"/>
          <w:numId w:val="{b43-0}"/>
        </w:numPr>
        <w:spacing w:after="80"/>
      </w:pPr>
      <w:r>
        <w:rPr>
          <w:rFonts w:ascii="Arial" w:cs="Arial" w:eastAsia="Arial" w:hAnsi="Arial"/>
          <w:color w:val="1A2332"/>
          <w:sz w:val="22"/>
          <w:szCs w:val="22"/>
        </w:rPr>
        <w:t xml:space="preserve">Suppression des droits de mutation a titre onereux (DMTO / 'frais de notaire') pour les primo-accedants</w:t>
      </w:r>
    </w:p>
    <w:p>
      <w:pPr>
        <w:pStyle w:val="ListParagraph"/>
        <w:numPr>
          <w:ilvl w:val="0"/>
          <w:numId w:val="{b43-0}"/>
        </w:numPr>
        <w:spacing w:after="80"/>
      </w:pPr>
      <w:r>
        <w:rPr>
          <w:rFonts w:ascii="Arial" w:cs="Arial" w:eastAsia="Arial" w:hAnsi="Arial"/>
          <w:color w:val="1A2332"/>
          <w:sz w:val="22"/>
          <w:szCs w:val="22"/>
        </w:rPr>
        <w:t xml:space="preserve">Exoneration de plus-value immobiliere apres 10 ans (vs 22 ans aujourd'hui)</w:t>
      </w:r>
    </w:p>
    <w:p>
      <w:pPr>
        <w:pStyle w:val="ListParagraph"/>
        <w:numPr>
          <w:ilvl w:val="0"/>
          <w:numId w:val="{b43-0}"/>
        </w:numPr>
        <w:spacing w:after="80"/>
      </w:pPr>
      <w:r>
        <w:rPr>
          <w:rFonts w:ascii="Arial" w:cs="Arial" w:eastAsia="Arial" w:hAnsi="Arial"/>
          <w:b/>
          <w:bCs/>
          <w:color w:val="1A2332"/>
          <w:sz w:val="22"/>
          <w:szCs w:val="22"/>
        </w:rPr>
        <w:t xml:space="preserve">Cout : ~3 milliards EUR</w:t>
      </w:r>
      <w:r>
        <w:rPr>
          <w:rFonts w:ascii="Arial" w:cs="Arial" w:eastAsia="Arial" w:hAnsi="Arial"/>
          <w:color w:val="1A2332"/>
          <w:sz w:val="22"/>
          <w:szCs w:val="22"/>
        </w:rPr>
        <w:t xml:space="preserve">, compense par la dynamisation du marche</w:t>
      </w:r>
    </w:p>
    <w:p>
      <w:r>
        <w:br w:type="page"/>
      </w:r>
    </w:p>
    <w:p>
      <w:pPr>
        <w:pStyle w:val="Heading1"/>
        <w:spacing w:before="400" w:after="200"/>
      </w:pPr>
      <w:r>
        <w:rPr>
          <w:rFonts w:ascii="Georgia" w:cs="Georgia" w:eastAsia="Georgia" w:hAnsi="Georgia"/>
          <w:b/>
          <w:bCs/>
          <w:color w:val="0A1628"/>
          <w:sz w:val="36"/>
          <w:szCs w:val="36"/>
        </w:rPr>
        <w:t xml:space="preserve">10. Defense, securite &amp; justice</w:t>
      </w:r>
    </w:p>
    <w:p>
      <w:pPr>
        <w:pStyle w:val="Heading2"/>
        <w:spacing w:before="300" w:after="150"/>
      </w:pPr>
      <w:r>
        <w:rPr>
          <w:rFonts w:ascii="Georgia" w:cs="Georgia" w:eastAsia="Georgia" w:hAnsi="Georgia"/>
          <w:b/>
          <w:bCs/>
          <w:color w:val="0099BB"/>
          <w:sz w:val="28"/>
          <w:szCs w:val="28"/>
        </w:rPr>
        <w:t xml:space="preserve">Constat</w:t>
      </w:r>
    </w:p>
    <w:p>
      <w:pPr>
        <w:spacing w:after="120"/>
        <w:jc w:val="both"/>
      </w:pPr>
      <w:r>
        <w:rPr>
          <w:rFonts w:ascii="Arial" w:cs="Arial" w:eastAsia="Arial" w:hAnsi="Arial"/>
          <w:color w:val="1A2332"/>
          <w:sz w:val="22"/>
          <w:szCs w:val="22"/>
        </w:rPr>
        <w:t xml:space="preserve">Le budget de la defense atteint </w:t>
      </w:r>
      <w:r>
        <w:rPr>
          <w:rFonts w:ascii="Arial" w:cs="Arial" w:eastAsia="Arial" w:hAnsi="Arial"/>
          <w:b/>
          <w:bCs/>
          <w:color w:val="D63031"/>
          <w:sz w:val="22"/>
          <w:szCs w:val="22"/>
        </w:rPr>
        <w:t xml:space="preserve">54 milliards d'euros en 2024</w:t>
      </w:r>
      <w:r>
        <w:rPr>
          <w:rFonts w:ascii="Arial" w:cs="Arial" w:eastAsia="Arial" w:hAnsi="Arial"/>
          <w:color w:val="1A2332"/>
          <w:sz w:val="22"/>
          <w:szCs w:val="22"/>
        </w:rPr>
        <w:t xml:space="preserve"> (2 % du PIB), un niveau historique mais encore insuffisant face aux menaces (guerre en Ukraine, tensions Indo-Pacifique, terrorisme, cyber). Les Etats-Unis consacrent 3,5 % de leur PIB a la defense, la Pologne 4,2 %.</w:t>
      </w:r>
    </w:p>
    <w:p>
      <w:pPr>
        <w:spacing w:after="120"/>
        <w:jc w:val="both"/>
      </w:pPr>
      <w:r>
        <w:rPr>
          <w:rFonts w:ascii="Arial" w:cs="Arial" w:eastAsia="Arial" w:hAnsi="Arial"/>
          <w:color w:val="1A2332"/>
          <w:sz w:val="22"/>
          <w:szCs w:val="22"/>
        </w:rPr>
        <w:t xml:space="preserve">La justice francaise est la </w:t>
      </w:r>
      <w:r>
        <w:rPr>
          <w:rFonts w:ascii="Arial" w:cs="Arial" w:eastAsia="Arial" w:hAnsi="Arial"/>
          <w:b/>
          <w:bCs/>
          <w:color w:val="D63031"/>
          <w:sz w:val="22"/>
          <w:szCs w:val="22"/>
        </w:rPr>
        <w:t xml:space="preserve">grande oubliee du budget</w:t>
      </w:r>
      <w:r>
        <w:rPr>
          <w:rFonts w:ascii="Arial" w:cs="Arial" w:eastAsia="Arial" w:hAnsi="Arial"/>
          <w:color w:val="1A2332"/>
          <w:sz w:val="22"/>
          <w:szCs w:val="22"/>
        </w:rPr>
        <w:t xml:space="preserve"> : 12 milliards d'euros (0,4 % du PIB), l'un des budgets les plus faibles d'Europe rapporte a la population. Un proces en premiere instance prend en moyenne 14 mois (vs 6 mois en Allemagne). La France ne compte que </w:t>
      </w:r>
      <w:r>
        <w:rPr>
          <w:rFonts w:ascii="Arial" w:cs="Arial" w:eastAsia="Arial" w:hAnsi="Arial"/>
          <w:b/>
          <w:bCs/>
          <w:color w:val="D63031"/>
          <w:sz w:val="22"/>
          <w:szCs w:val="22"/>
        </w:rPr>
        <w:t xml:space="preserve">11 juges pour 100 000 habitants</w:t>
      </w:r>
      <w:r>
        <w:rPr>
          <w:rFonts w:ascii="Arial" w:cs="Arial" w:eastAsia="Arial" w:hAnsi="Arial"/>
          <w:color w:val="1A2332"/>
          <w:sz w:val="22"/>
          <w:szCs w:val="22"/>
        </w:rPr>
        <w:t xml:space="preserve"> (vs 25 en Allemagne).</w:t>
      </w:r>
    </w:p>
    <w:p>
      <w:pPr>
        <w:spacing w:after="120"/>
        <w:jc w:val="both"/>
      </w:pPr>
      <w:r>
        <w:rPr>
          <w:rFonts w:ascii="Arial" w:cs="Arial" w:eastAsia="Arial" w:hAnsi="Arial"/>
          <w:color w:val="1A2332"/>
          <w:sz w:val="22"/>
          <w:szCs w:val="22"/>
        </w:rPr>
        <w:t xml:space="preserve">Cote securite interieure, les effectifs de police et gendarmerie (250 000 agents) sont absorbes par des taches administratives : un policier passe en moyenne </w:t>
      </w:r>
      <w:r>
        <w:rPr>
          <w:rFonts w:ascii="Arial" w:cs="Arial" w:eastAsia="Arial" w:hAnsi="Arial"/>
          <w:b/>
          <w:bCs/>
          <w:color w:val="D63031"/>
          <w:sz w:val="22"/>
          <w:szCs w:val="22"/>
        </w:rPr>
        <w:t xml:space="preserve">40 % de son temps en procedure</w:t>
      </w:r>
      <w:r>
        <w:rPr>
          <w:rFonts w:ascii="Arial" w:cs="Arial" w:eastAsia="Arial" w:hAnsi="Arial"/>
          <w:color w:val="1A2332"/>
          <w:sz w:val="22"/>
          <w:szCs w:val="22"/>
        </w:rPr>
        <w:t xml:space="preserve"> plutot que sur le terrain. Le taux d'elucidation des cambriolages n'est que de 14 %.</w:t>
      </w:r>
    </w:p>
    <w:p>
      <w:pPr>
        <w:pStyle w:val="Heading2"/>
        <w:spacing w:before="300" w:after="150"/>
      </w:pPr>
      <w:r>
        <w:rPr>
          <w:rFonts w:ascii="Georgia" w:cs="Georgia" w:eastAsia="Georgia" w:hAnsi="Georgia"/>
          <w:b/>
          <w:bCs/>
          <w:color w:val="0099BB"/>
          <w:sz w:val="28"/>
          <w:szCs w:val="28"/>
        </w:rPr>
        <w:t xml:space="preserve">Mesures proposees</w:t>
      </w:r>
    </w:p>
    <w:p>
      <w:pPr>
        <w:spacing w:before="200" w:after="100"/>
      </w:pPr>
      <w:r>
        <w:rPr>
          <w:rFonts w:ascii="Arial" w:cs="Arial" w:eastAsia="Arial" w:hAnsi="Arial"/>
          <w:b/>
          <w:bCs/>
          <w:color w:val="0A1628"/>
          <w:sz w:val="24"/>
          <w:szCs w:val="24"/>
        </w:rPr>
        <w:t xml:space="preserve">10.1 — Defense : vers 2,5 % du PIB</w:t>
      </w:r>
    </w:p>
    <w:p>
      <w:pPr>
        <w:pStyle w:val="ListParagraph"/>
        <w:numPr>
          <w:ilvl w:val="0"/>
          <w:numId w:val="{b44-0}"/>
        </w:numPr>
        <w:spacing w:after="80"/>
      </w:pPr>
      <w:r>
        <w:rPr>
          <w:rFonts w:ascii="Arial" w:cs="Arial" w:eastAsia="Arial" w:hAnsi="Arial"/>
          <w:color w:val="1A2332"/>
          <w:sz w:val="22"/>
          <w:szCs w:val="22"/>
        </w:rPr>
        <w:t xml:space="preserve">Budget defense porte a 2,5 % du PIB d'ici 2032 (soit ~75 milliards EUR)</w:t>
      </w:r>
    </w:p>
    <w:p>
      <w:pPr>
        <w:pStyle w:val="ListParagraph"/>
        <w:numPr>
          <w:ilvl w:val="0"/>
          <w:numId w:val="{b44-0}"/>
        </w:numPr>
        <w:spacing w:after="80"/>
      </w:pPr>
      <w:r>
        <w:rPr>
          <w:rFonts w:ascii="Arial" w:cs="Arial" w:eastAsia="Arial" w:hAnsi="Arial"/>
          <w:b/>
          <w:bCs/>
          <w:color w:val="1A2332"/>
          <w:sz w:val="22"/>
          <w:szCs w:val="22"/>
        </w:rPr>
        <w:t xml:space="preserve">Investissement supplementaire : ~20 milliards EUR/an</w:t>
      </w:r>
      <w:r>
        <w:rPr>
          <w:rFonts w:ascii="Arial" w:cs="Arial" w:eastAsia="Arial" w:hAnsi="Arial"/>
          <w:color w:val="1A2332"/>
          <w:sz w:val="22"/>
          <w:szCs w:val="22"/>
        </w:rPr>
        <w:t xml:space="preserve"> a terme</w:t>
      </w:r>
    </w:p>
    <w:p>
      <w:pPr>
        <w:pStyle w:val="ListParagraph"/>
        <w:numPr>
          <w:ilvl w:val="0"/>
          <w:numId w:val="{b44-0}"/>
        </w:numPr>
        <w:spacing w:after="80"/>
      </w:pPr>
      <w:r>
        <w:rPr>
          <w:rFonts w:ascii="Arial" w:cs="Arial" w:eastAsia="Arial" w:hAnsi="Arial"/>
          <w:color w:val="1A2332"/>
          <w:sz w:val="22"/>
          <w:szCs w:val="22"/>
        </w:rPr>
        <w:t xml:space="preserve">Priorites : dissuasion nucleaire modernisee, cyber-defense (tripler les effectifs), drones et IA militaire, marine renforcee (objectif 20 fregates)</w:t>
      </w:r>
    </w:p>
    <w:p>
      <w:pPr>
        <w:pStyle w:val="ListParagraph"/>
        <w:numPr>
          <w:ilvl w:val="0"/>
          <w:numId w:val="{b44-0}"/>
        </w:numPr>
        <w:spacing w:after="80"/>
      </w:pPr>
      <w:r>
        <w:rPr>
          <w:rFonts w:ascii="Arial" w:cs="Arial" w:eastAsia="Arial" w:hAnsi="Arial"/>
          <w:color w:val="1A2332"/>
          <w:sz w:val="22"/>
          <w:szCs w:val="22"/>
        </w:rPr>
        <w:t xml:space="preserve">Fonds europeen de defense : mutualisation des achats d'equipements avec les partenaires UE</w:t>
      </w:r>
    </w:p>
    <w:p>
      <w:pPr>
        <w:spacing w:before="200" w:after="100"/>
      </w:pPr>
      <w:r>
        <w:rPr>
          <w:rFonts w:ascii="Arial" w:cs="Arial" w:eastAsia="Arial" w:hAnsi="Arial"/>
          <w:b/>
          <w:bCs/>
          <w:color w:val="0A1628"/>
          <w:sz w:val="24"/>
          <w:szCs w:val="24"/>
        </w:rPr>
        <w:t xml:space="preserve">10.2 — Justice : doublement du budget en 10 ans</w:t>
      </w:r>
    </w:p>
    <w:p>
      <w:pPr>
        <w:pStyle w:val="ListParagraph"/>
        <w:numPr>
          <w:ilvl w:val="0"/>
          <w:numId w:val="{b45-0}"/>
        </w:numPr>
        <w:spacing w:after="80"/>
      </w:pPr>
      <w:r>
        <w:rPr>
          <w:rFonts w:ascii="Arial" w:cs="Arial" w:eastAsia="Arial" w:hAnsi="Arial"/>
          <w:color w:val="1A2332"/>
          <w:sz w:val="22"/>
          <w:szCs w:val="22"/>
        </w:rPr>
        <w:t xml:space="preserve">Porter le budget de la justice a 24 milliards EUR (0,8 % du PIB) d'ici 2035</w:t>
      </w:r>
    </w:p>
    <w:p>
      <w:pPr>
        <w:pStyle w:val="ListParagraph"/>
        <w:numPr>
          <w:ilvl w:val="0"/>
          <w:numId w:val="{b45-0}"/>
        </w:numPr>
        <w:spacing w:after="80"/>
      </w:pPr>
      <w:r>
        <w:rPr>
          <w:rFonts w:ascii="Arial" w:cs="Arial" w:eastAsia="Arial" w:hAnsi="Arial"/>
          <w:color w:val="1A2332"/>
          <w:sz w:val="22"/>
          <w:szCs w:val="22"/>
        </w:rPr>
        <w:t xml:space="preserve">Recrutement de 5 000 magistrats et 10 000 greffiers supplementaires</w:t>
      </w:r>
    </w:p>
    <w:p>
      <w:pPr>
        <w:pStyle w:val="ListParagraph"/>
        <w:numPr>
          <w:ilvl w:val="0"/>
          <w:numId w:val="{b45-0}"/>
        </w:numPr>
        <w:spacing w:after="80"/>
      </w:pPr>
      <w:r>
        <w:rPr>
          <w:rFonts w:ascii="Arial" w:cs="Arial" w:eastAsia="Arial" w:hAnsi="Arial"/>
          <w:color w:val="1A2332"/>
          <w:sz w:val="22"/>
          <w:szCs w:val="22"/>
        </w:rPr>
        <w:t xml:space="preserve">Objectif : delai moyen de jugement divise par deux (7 mois au lieu de 14)</w:t>
      </w:r>
    </w:p>
    <w:p>
      <w:pPr>
        <w:pStyle w:val="ListParagraph"/>
        <w:numPr>
          <w:ilvl w:val="0"/>
          <w:numId w:val="{b45-0}"/>
        </w:numPr>
        <w:spacing w:after="80"/>
      </w:pPr>
      <w:r>
        <w:rPr>
          <w:rFonts w:ascii="Arial" w:cs="Arial" w:eastAsia="Arial" w:hAnsi="Arial"/>
          <w:b/>
          <w:bCs/>
          <w:color w:val="1A2332"/>
          <w:sz w:val="22"/>
          <w:szCs w:val="22"/>
        </w:rPr>
        <w:t xml:space="preserve">Investissement : +12 milliards EUR/an a terme</w:t>
      </w:r>
    </w:p>
    <w:p>
      <w:pPr>
        <w:spacing w:before="200" w:after="100"/>
      </w:pPr>
      <w:r>
        <w:rPr>
          <w:rFonts w:ascii="Arial" w:cs="Arial" w:eastAsia="Arial" w:hAnsi="Arial"/>
          <w:b/>
          <w:bCs/>
          <w:color w:val="0A1628"/>
          <w:sz w:val="24"/>
          <w:szCs w:val="24"/>
        </w:rPr>
        <w:t xml:space="preserve">10.3 — Construction de 20 000 places de prison</w:t>
      </w:r>
    </w:p>
    <w:p>
      <w:pPr>
        <w:pStyle w:val="ListParagraph"/>
        <w:numPr>
          <w:ilvl w:val="0"/>
          <w:numId w:val="{b46-0}"/>
        </w:numPr>
        <w:spacing w:after="80"/>
      </w:pPr>
      <w:r>
        <w:rPr>
          <w:rFonts w:ascii="Arial" w:cs="Arial" w:eastAsia="Arial" w:hAnsi="Arial"/>
          <w:color w:val="1A2332"/>
          <w:sz w:val="22"/>
          <w:szCs w:val="22"/>
        </w:rPr>
        <w:t xml:space="preserve">La France manque de 15 000 a 20 000 places (taux d'occupation : 122 %)</w:t>
      </w:r>
    </w:p>
    <w:p>
      <w:pPr>
        <w:pStyle w:val="ListParagraph"/>
        <w:numPr>
          <w:ilvl w:val="0"/>
          <w:numId w:val="{b46-0}"/>
        </w:numPr>
        <w:spacing w:after="80"/>
      </w:pPr>
      <w:r>
        <w:rPr>
          <w:rFonts w:ascii="Arial" w:cs="Arial" w:eastAsia="Arial" w:hAnsi="Arial"/>
          <w:color w:val="1A2332"/>
          <w:sz w:val="22"/>
          <w:szCs w:val="22"/>
        </w:rPr>
        <w:t xml:space="preserve">Programme de construction sur 7 ans (partenariat public-prive)</w:t>
      </w:r>
    </w:p>
    <w:p>
      <w:pPr>
        <w:pStyle w:val="ListParagraph"/>
        <w:numPr>
          <w:ilvl w:val="0"/>
          <w:numId w:val="{b46-0}"/>
        </w:numPr>
        <w:spacing w:after="80"/>
      </w:pPr>
      <w:r>
        <w:rPr>
          <w:rFonts w:ascii="Arial" w:cs="Arial" w:eastAsia="Arial" w:hAnsi="Arial"/>
          <w:color w:val="1A2332"/>
          <w:sz w:val="22"/>
          <w:szCs w:val="22"/>
        </w:rPr>
        <w:t xml:space="preserve">Fin de l'amenagement automatique des peines courtes</w:t>
      </w:r>
    </w:p>
    <w:p>
      <w:pPr>
        <w:pStyle w:val="ListParagraph"/>
        <w:numPr>
          <w:ilvl w:val="0"/>
          <w:numId w:val="{b46-0}"/>
        </w:numPr>
        <w:spacing w:after="80"/>
      </w:pPr>
      <w:r>
        <w:rPr>
          <w:rFonts w:ascii="Arial" w:cs="Arial" w:eastAsia="Arial" w:hAnsi="Arial"/>
          <w:b/>
          <w:bCs/>
          <w:color w:val="1A2332"/>
          <w:sz w:val="22"/>
          <w:szCs w:val="22"/>
        </w:rPr>
        <w:t xml:space="preserve">Investissement : 6 milliards EUR sur 7 ans</w:t>
      </w:r>
      <w:r>
        <w:rPr>
          <w:rFonts w:ascii="Arial" w:cs="Arial" w:eastAsia="Arial" w:hAnsi="Arial"/>
          <w:color w:val="1A2332"/>
          <w:sz w:val="22"/>
          <w:szCs w:val="22"/>
        </w:rPr>
        <w:t xml:space="preserve"> (soit ~850 millions EUR/an)</w:t>
      </w:r>
    </w:p>
    <w:p>
      <w:pPr>
        <w:spacing w:before="200" w:after="100"/>
      </w:pPr>
      <w:r>
        <w:rPr>
          <w:rFonts w:ascii="Arial" w:cs="Arial" w:eastAsia="Arial" w:hAnsi="Arial"/>
          <w:b/>
          <w:bCs/>
          <w:color w:val="0A1628"/>
          <w:sz w:val="24"/>
          <w:szCs w:val="24"/>
        </w:rPr>
        <w:t xml:space="preserve">10.4 — Police : 100 % terrain</w:t>
      </w:r>
    </w:p>
    <w:p>
      <w:pPr>
        <w:pStyle w:val="ListParagraph"/>
        <w:numPr>
          <w:ilvl w:val="0"/>
          <w:numId w:val="{b47-0}"/>
        </w:numPr>
        <w:spacing w:after="80"/>
      </w:pPr>
      <w:r>
        <w:rPr>
          <w:rFonts w:ascii="Arial" w:cs="Arial" w:eastAsia="Arial" w:hAnsi="Arial"/>
          <w:color w:val="1A2332"/>
          <w:sz w:val="22"/>
          <w:szCs w:val="22"/>
        </w:rPr>
        <w:t xml:space="preserve">Transfert integral des taches administratives a des personnels civils (15 000 agents civils recrutes)</w:t>
      </w:r>
    </w:p>
    <w:p>
      <w:pPr>
        <w:pStyle w:val="ListParagraph"/>
        <w:numPr>
          <w:ilvl w:val="0"/>
          <w:numId w:val="{b47-0}"/>
        </w:numPr>
        <w:spacing w:after="80"/>
      </w:pPr>
      <w:r>
        <w:rPr>
          <w:rFonts w:ascii="Arial" w:cs="Arial" w:eastAsia="Arial" w:hAnsi="Arial"/>
          <w:color w:val="1A2332"/>
          <w:sz w:val="22"/>
          <w:szCs w:val="22"/>
        </w:rPr>
        <w:t xml:space="preserve">Deploiement de la videosurveillance intelligente dans les 50 plus grandes villes</w:t>
      </w:r>
    </w:p>
    <w:p>
      <w:pPr>
        <w:pStyle w:val="ListParagraph"/>
        <w:numPr>
          <w:ilvl w:val="0"/>
          <w:numId w:val="{b47-0}"/>
        </w:numPr>
        <w:spacing w:after="80"/>
      </w:pPr>
      <w:r>
        <w:rPr>
          <w:rFonts w:ascii="Arial" w:cs="Arial" w:eastAsia="Arial" w:hAnsi="Arial"/>
          <w:color w:val="1A2332"/>
          <w:sz w:val="22"/>
          <w:szCs w:val="22"/>
        </w:rPr>
        <w:t xml:space="preserve">Extension du recours aux drones pour la surveillance des frontieres</w:t>
      </w:r>
    </w:p>
    <w:p>
      <w:pPr>
        <w:pStyle w:val="ListParagraph"/>
        <w:numPr>
          <w:ilvl w:val="0"/>
          <w:numId w:val="{b47-0}"/>
        </w:numPr>
        <w:spacing w:after="80"/>
      </w:pPr>
      <w:r>
        <w:rPr>
          <w:rFonts w:ascii="Arial" w:cs="Arial" w:eastAsia="Arial" w:hAnsi="Arial"/>
          <w:b/>
          <w:bCs/>
          <w:color w:val="1A2332"/>
          <w:sz w:val="22"/>
          <w:szCs w:val="22"/>
        </w:rPr>
        <w:t xml:space="preserve">Cout : 2 milliards EUR/an</w:t>
      </w:r>
      <w:r>
        <w:rPr>
          <w:rFonts w:ascii="Arial" w:cs="Arial" w:eastAsia="Arial" w:hAnsi="Arial"/>
          <w:color w:val="1A2332"/>
          <w:sz w:val="22"/>
          <w:szCs w:val="22"/>
        </w:rPr>
        <w:t xml:space="preserve">. Impact : +50 000 policiers effectivement sur le terrain</w:t>
      </w:r>
    </w:p>
    <w:p>
      <w:pPr>
        <w:spacing w:before="200" w:after="100"/>
      </w:pPr>
      <w:r>
        <w:rPr>
          <w:rFonts w:ascii="Arial" w:cs="Arial" w:eastAsia="Arial" w:hAnsi="Arial"/>
          <w:b/>
          <w:bCs/>
          <w:color w:val="0A1628"/>
          <w:sz w:val="24"/>
          <w:szCs w:val="24"/>
        </w:rPr>
        <w:t xml:space="preserve">10.5 — Souverainete numerique</w:t>
      </w:r>
    </w:p>
    <w:p>
      <w:pPr>
        <w:pStyle w:val="ListParagraph"/>
        <w:numPr>
          <w:ilvl w:val="0"/>
          <w:numId w:val="{b48-0}"/>
        </w:numPr>
        <w:spacing w:after="80"/>
      </w:pPr>
      <w:r>
        <w:rPr>
          <w:rFonts w:ascii="Arial" w:cs="Arial" w:eastAsia="Arial" w:hAnsi="Arial"/>
          <w:color w:val="1A2332"/>
          <w:sz w:val="22"/>
          <w:szCs w:val="22"/>
        </w:rPr>
        <w:t xml:space="preserve">Cloud souverain obligatoire pour les administrations et les donnees de sante</w:t>
      </w:r>
    </w:p>
    <w:p>
      <w:pPr>
        <w:pStyle w:val="ListParagraph"/>
        <w:numPr>
          <w:ilvl w:val="0"/>
          <w:numId w:val="{b48-0}"/>
        </w:numPr>
        <w:spacing w:after="80"/>
      </w:pPr>
      <w:r>
        <w:rPr>
          <w:rFonts w:ascii="Arial" w:cs="Arial" w:eastAsia="Arial" w:hAnsi="Arial"/>
          <w:color w:val="1A2332"/>
          <w:sz w:val="22"/>
          <w:szCs w:val="22"/>
        </w:rPr>
        <w:t xml:space="preserve">Agence nationale de cybersecurite renforcee (ANSSI) : budget triple a 1,5 milliard EUR</w:t>
      </w:r>
    </w:p>
    <w:p>
      <w:pPr>
        <w:pStyle w:val="ListParagraph"/>
        <w:numPr>
          <w:ilvl w:val="0"/>
          <w:numId w:val="{b48-0}"/>
        </w:numPr>
        <w:spacing w:after="80"/>
      </w:pPr>
      <w:r>
        <w:rPr>
          <w:rFonts w:ascii="Arial" w:cs="Arial" w:eastAsia="Arial" w:hAnsi="Arial"/>
          <w:color w:val="1A2332"/>
          <w:sz w:val="22"/>
          <w:szCs w:val="22"/>
        </w:rPr>
        <w:t xml:space="preserve">Reserve operationnelle cyber : 10 000 reservistes formes</w:t>
      </w:r>
    </w:p>
    <w:p>
      <w:pPr>
        <w:pStyle w:val="ListParagraph"/>
        <w:numPr>
          <w:ilvl w:val="0"/>
          <w:numId w:val="{b48-0}"/>
        </w:numPr>
        <w:spacing w:after="80"/>
      </w:pPr>
      <w:r>
        <w:rPr>
          <w:rFonts w:ascii="Arial" w:cs="Arial" w:eastAsia="Arial" w:hAnsi="Arial"/>
          <w:b/>
          <w:bCs/>
          <w:color w:val="1A2332"/>
          <w:sz w:val="22"/>
          <w:szCs w:val="22"/>
        </w:rPr>
        <w:t xml:space="preserve">Investissement : 1,5 milliard EUR/an</w:t>
      </w:r>
    </w:p>
    <w:p>
      <w:pPr>
        <w:pStyle w:val="Heading2"/>
        <w:spacing w:before="300" w:after="150"/>
      </w:pPr>
      <w:r>
        <w:rPr>
          <w:rFonts w:ascii="Georgia" w:cs="Georgia" w:eastAsia="Georgia" w:hAnsi="Georgia"/>
          <w:b/>
          <w:bCs/>
          <w:color w:val="0099BB"/>
          <w:sz w:val="28"/>
          <w:szCs w:val="28"/>
        </w:rPr>
        <w:t xml:space="preserve">Impact budgetaire total du theme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Mesure</w:t>
            </w:r>
          </w:p>
        </w:tc>
        <w:tc>
          <w:tcPr>
            <w:tcW w:type="dxa" w:w="3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Investissement annuel</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Defense a 2,5 % du PIB</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+20 Md EUR (progressif)</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Justice doublee</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+12 Md EUR (progressif)</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Places de prison</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+0,85 Md EUR (sur 7 ans)</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Police terrain + civils</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 Md EUR</w:t>
            </w:r>
          </w:p>
        </w:tc>
      </w:tr>
      <w:tr>
        <w:tc>
          <w:tcPr>
            <w:tcW w:type="dxa" w:w="5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Cybersecurite</w:t>
            </w:r>
          </w:p>
        </w:tc>
        <w:tc>
          <w:tcPr>
            <w:tcW w:type="dxa" w:w="3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+1,5 Md EUR</w:t>
            </w:r>
          </w:p>
        </w:tc>
      </w:tr>
      <w:tr>
        <w:tc>
          <w:tcPr>
            <w:tcW w:type="dxa" w:w="5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TOTAL</w:t>
            </w:r>
          </w:p>
        </w:tc>
        <w:tc>
          <w:tcPr>
            <w:tcW w:type="dxa" w:w="3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+36 Md EUR a terme</w:t>
            </w:r>
          </w:p>
        </w:tc>
      </w:tr>
    </w:tbl>
    <w:p>
      <w:pPr>
        <w:spacing w:after="120"/>
        <w:jc w:val="both"/>
      </w:pPr>
      <w:r>
        <w:rPr>
          <w:rFonts w:ascii="Arial" w:cs="Arial" w:eastAsia="Arial" w:hAnsi="Arial"/>
          <w:color w:val="1A2332"/>
          <w:sz w:val="22"/>
          <w:szCs w:val="22"/>
        </w:rPr>
        <w:t xml:space="preserve">Note : ces investissements regaliens sont finances par les economies realisees sur les autres postes (reforme de l'Etat : 16-21 Md EUR, retraites : 20-28 Md EUR, sante : 7-12 Md EUR). </w:t>
      </w:r>
      <w:r>
        <w:rPr>
          <w:rFonts w:ascii="Arial" w:cs="Arial" w:eastAsia="Arial" w:hAnsi="Arial"/>
          <w:b/>
          <w:bCs/>
          <w:color w:val="1A2332"/>
          <w:sz w:val="22"/>
          <w:szCs w:val="22"/>
        </w:rPr>
        <w:t xml:space="preserve">Reduire l'Etat la ou il est inutile pour le renforcer la ou il est indispensable.</w:t>
      </w:r>
    </w:p>
    <w:p>
      <w:r>
        <w:br w:type="page"/>
      </w:r>
    </w:p>
    <w:p>
      <w:pPr>
        <w:pStyle w:val="Heading1"/>
        <w:spacing w:before="400" w:after="200"/>
      </w:pPr>
      <w:r>
        <w:rPr>
          <w:rFonts w:ascii="Georgia" w:cs="Georgia" w:eastAsia="Georgia" w:hAnsi="Georgia"/>
          <w:b/>
          <w:bCs/>
          <w:color w:val="0A1628"/>
          <w:sz w:val="36"/>
          <w:szCs w:val="36"/>
        </w:rPr>
        <w:t xml:space="preserve">Conclusion : une vision pour 2032</w:t>
      </w:r>
    </w:p>
    <w:p>
      <w:pPr>
        <w:spacing w:after="120"/>
        <w:jc w:val="both"/>
      </w:pPr>
      <w:r>
        <w:rPr>
          <w:rFonts w:ascii="Arial" w:cs="Arial" w:eastAsia="Arial" w:hAnsi="Arial"/>
          <w:color w:val="1A2332"/>
          <w:sz w:val="22"/>
          <w:szCs w:val="22"/>
        </w:rPr>
        <w:t xml:space="preserve">Ce programme propose un pacte clair avec les Francais :</w:t>
      </w:r>
    </w:p>
    <w:p>
      <w:pPr>
        <w:spacing w:after="150"/>
        <w:jc w:val="center"/>
      </w:pPr>
      <w:r>
        <w:rPr>
          <w:rFonts w:ascii="Georgia" w:cs="Georgia" w:eastAsia="Georgia" w:hAnsi="Georgia"/>
          <w:b/>
          <w:bCs/>
          <w:i/>
          <w:iCs/>
          <w:color w:val="0A1628"/>
          <w:sz w:val="26"/>
          <w:szCs w:val="26"/>
        </w:rPr>
        <w:t xml:space="preserve">Moins d'Etat partout ou il n'est pas utile.</w:t>
      </w:r>
    </w:p>
    <w:p>
      <w:pPr>
        <w:spacing w:after="150"/>
        <w:jc w:val="center"/>
      </w:pPr>
      <w:r>
        <w:rPr>
          <w:rFonts w:ascii="Georgia" w:cs="Georgia" w:eastAsia="Georgia" w:hAnsi="Georgia"/>
          <w:b/>
          <w:bCs/>
          <w:i/>
          <w:iCs/>
          <w:color w:val="0099BB"/>
          <w:sz w:val="26"/>
          <w:szCs w:val="26"/>
        </w:rPr>
        <w:t xml:space="preserve">Plus d'Etat partout ou il est indispensable.</w:t>
      </w:r>
    </w:p>
    <w:p>
      <w:pPr>
        <w:spacing w:after="300"/>
      </w:pPr>
    </w:p>
    <w:p>
      <w:pPr>
        <w:pStyle w:val="Heading2"/>
        <w:spacing w:before="300" w:after="150"/>
      </w:pPr>
      <w:r>
        <w:rPr>
          <w:rFonts w:ascii="Georgia" w:cs="Georgia" w:eastAsia="Georgia" w:hAnsi="Georgia"/>
          <w:b/>
          <w:bCs/>
          <w:color w:val="0099BB"/>
          <w:sz w:val="28"/>
          <w:szCs w:val="28"/>
        </w:rPr>
        <w:t xml:space="preserve">La France en 2032, si ce programme est applique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Indicateur</w:t>
            </w:r>
          </w:p>
        </w:tc>
        <w:tc>
          <w:tcPr>
            <w:tcW w:type="dxa" w:w="312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2024 (aujourd'hui)</w:t>
            </w:r>
          </w:p>
        </w:tc>
        <w:tc>
          <w:tcPr>
            <w:tcW w:type="dxa" w:w="312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2032 (objectif)</w:t>
            </w:r>
          </w:p>
        </w:tc>
      </w:tr>
      <w:tr>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Dette publique (% PIB)</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113 %</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&lt; 100 %</w:t>
            </w:r>
          </w:p>
        </w:tc>
      </w:tr>
      <w:tr>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Deficit public</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5,8 % du PIB</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0 %</w:t>
            </w:r>
          </w:p>
        </w:tc>
      </w:tr>
      <w:tr>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Depenses publiques (% PIB)</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57,1 %</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&lt; 50 %</w:t>
            </w:r>
          </w:p>
        </w:tc>
      </w:tr>
      <w:tr>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Prelevements obligatoires</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45,3 %</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&lt; 40 %</w:t>
            </w:r>
          </w:p>
        </w:tc>
      </w:tr>
      <w:tr>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Chomage</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7,4 %</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&lt; 5 %</w:t>
            </w:r>
          </w:p>
        </w:tc>
      </w:tr>
      <w:tr>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Age legal retraite</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64 ans</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65 ans</w:t>
            </w:r>
          </w:p>
        </w:tc>
      </w:tr>
      <w:tr>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Nucleaire (part electricite)</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65 %</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80 %</w:t>
            </w:r>
          </w:p>
        </w:tc>
      </w:tr>
      <w:tr>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Budget defense (% PIB)</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2,0 %</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2,5 %</w:t>
            </w:r>
          </w:p>
        </w:tc>
      </w:tr>
      <w:tr>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Budget justice (Md EUR)</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12 Md EUR</w:t>
            </w:r>
          </w:p>
        </w:tc>
        <w:tc>
          <w:tcPr>
            <w:tcW w:type="dxa" w:w="312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24 Md EUR</w:t>
            </w:r>
          </w:p>
        </w:tc>
      </w:tr>
      <w:tr>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Immigration economique (% total)</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13 %</w:t>
            </w:r>
          </w:p>
        </w:tc>
        <w:tc>
          <w:tcPr>
            <w:tcW w:type="dxa" w:w="312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50 %</w:t>
            </w:r>
          </w:p>
        </w:tc>
      </w:tr>
    </w:tbl>
    <w:p>
      <w:pPr>
        <w:spacing w:after="200"/>
      </w:pPr>
    </w:p>
    <w:p>
      <w:pPr>
        <w:spacing w:after="120"/>
        <w:jc w:val="both"/>
      </w:pPr>
      <w:r>
        <w:rPr>
          <w:rFonts w:ascii="Arial" w:cs="Arial" w:eastAsia="Arial" w:hAnsi="Arial"/>
          <w:color w:val="1A2332"/>
          <w:sz w:val="22"/>
          <w:szCs w:val="22"/>
        </w:rPr>
        <w:t xml:space="preserve">L'effort total represente </w:t>
      </w:r>
      <w:r>
        <w:rPr>
          <w:rFonts w:ascii="Arial" w:cs="Arial" w:eastAsia="Arial" w:hAnsi="Arial"/>
          <w:b/>
          <w:bCs/>
          <w:color w:val="D63031"/>
          <w:sz w:val="22"/>
          <w:szCs w:val="22"/>
        </w:rPr>
        <w:t xml:space="preserve">~100 milliards d'euros d'economies</w:t>
      </w:r>
      <w:r>
        <w:rPr>
          <w:rFonts w:ascii="Arial" w:cs="Arial" w:eastAsia="Arial" w:hAnsi="Arial"/>
          <w:color w:val="1A2332"/>
          <w:sz w:val="22"/>
          <w:szCs w:val="22"/>
        </w:rPr>
        <w:t xml:space="preserve"> et </w:t>
      </w:r>
      <w:r>
        <w:rPr>
          <w:rFonts w:ascii="Arial" w:cs="Arial" w:eastAsia="Arial" w:hAnsi="Arial"/>
          <w:b/>
          <w:bCs/>
          <w:color w:val="D63031"/>
          <w:sz w:val="22"/>
          <w:szCs w:val="22"/>
        </w:rPr>
        <w:t xml:space="preserve">~50 milliards d'euros de baisses d'impots</w:t>
      </w:r>
      <w:r>
        <w:rPr>
          <w:rFonts w:ascii="Arial" w:cs="Arial" w:eastAsia="Arial" w:hAnsi="Arial"/>
          <w:color w:val="1A2332"/>
          <w:sz w:val="22"/>
          <w:szCs w:val="22"/>
        </w:rPr>
        <w:t xml:space="preserve"> net, tout en investissant </w:t>
      </w:r>
      <w:r>
        <w:rPr>
          <w:rFonts w:ascii="Arial" w:cs="Arial" w:eastAsia="Arial" w:hAnsi="Arial"/>
          <w:b/>
          <w:bCs/>
          <w:color w:val="D63031"/>
          <w:sz w:val="22"/>
          <w:szCs w:val="22"/>
        </w:rPr>
        <w:t xml:space="preserve">~36 milliards supplementaires dans le regalien</w:t>
      </w:r>
      <w:r>
        <w:rPr>
          <w:rFonts w:ascii="Arial" w:cs="Arial" w:eastAsia="Arial" w:hAnsi="Arial"/>
          <w:color w:val="1A2332"/>
          <w:sz w:val="22"/>
          <w:szCs w:val="22"/>
        </w:rPr>
        <w:t xml:space="preserve">. C'est ambitieux, mais c'est exactement ce qu'ont fait le Canada dans les annees 1990, la Suede apres sa crise bancaire, ou l'Allemagne avec les reformes Hartz.</w:t>
      </w:r>
    </w:p>
    <w:p>
      <w:pPr>
        <w:spacing w:after="120"/>
        <w:jc w:val="both"/>
      </w:pPr>
      <w:r>
        <w:rPr>
          <w:rFonts w:ascii="Arial" w:cs="Arial" w:eastAsia="Arial" w:hAnsi="Arial"/>
          <w:color w:val="1A2332"/>
          <w:sz w:val="22"/>
          <w:szCs w:val="22"/>
        </w:rPr>
        <w:t xml:space="preserve">La France a tous les atouts pour redevenir la premiere puissance europeenne. Il ne lui manque qu'une chose : le courage politique.</w:t>
      </w:r>
    </w:p>
    <w:p>
      <w:pPr>
        <w:spacing w:before="400"/>
        <w:jc w:val="center"/>
      </w:pPr>
      <w:r>
        <w:rPr>
          <w:rFonts w:ascii="Georgia" w:cs="Georgia" w:eastAsia="Georgia" w:hAnsi="Georgia"/>
          <w:color w:val="0099BB"/>
          <w:sz w:val="28"/>
          <w:szCs w:val="28"/>
        </w:rPr>
        <w:t xml:space="preserve">____________________</w:t>
      </w:r>
    </w:p>
    <w:p>
      <w:pPr>
        <w:spacing w:after="100"/>
        <w:jc w:val="center"/>
      </w:pPr>
      <w:r>
        <w:rPr>
          <w:rFonts w:ascii="Georgia" w:cs="Georgia" w:eastAsia="Georgia" w:hAnsi="Georgia"/>
          <w:b/>
          <w:bCs/>
          <w:color w:val="0099BB"/>
          <w:sz w:val="28"/>
          <w:szCs w:val="28"/>
        </w:rPr>
        <w:t xml:space="preserve">€ </w:t>
      </w:r>
      <w:r>
        <w:rPr>
          <w:rFonts w:ascii="Georgia" w:cs="Georgia" w:eastAsia="Georgia" w:hAnsi="Georgia"/>
          <w:b/>
          <w:bCs/>
          <w:color w:val="0A1628"/>
          <w:sz w:val="24"/>
          <w:szCs w:val="24"/>
        </w:rPr>
        <w:t xml:space="preserve">Ou Va l'Argent ?</w:t>
      </w:r>
    </w:p>
    <w:p>
      <w:pPr>
        <w:spacing w:after="100"/>
        <w:jc w:val="center"/>
      </w:pPr>
      <w:r>
        <w:rPr>
          <w:rFonts w:ascii="Consolas" w:cs="Consolas" w:eastAsia="Consolas" w:hAnsi="Consolas"/>
          <w:color w:val="0099BB"/>
          <w:sz w:val="20"/>
          <w:szCs w:val="20"/>
        </w:rPr>
        <w:t xml:space="preserve">ouvalargent.com</w:t>
      </w:r>
    </w:p>
    <w:p>
      <w:pPr>
        <w:spacing w:after="200"/>
        <w:jc w:val="center"/>
      </w:pPr>
      <w:r>
        <w:rPr>
          <w:rFonts w:ascii="Arial" w:cs="Arial" w:eastAsia="Arial" w:hAnsi="Arial"/>
          <w:i/>
          <w:iCs/>
          <w:color w:val="6B7B8D"/>
          <w:sz w:val="18"/>
          <w:szCs w:val="18"/>
        </w:rPr>
        <w:t xml:space="preserve">Sources : INSEE, Eurostat, OCDE, Cour des Comptes, FIPECO, IFRAP, COR, DREES, DGCL, IRDES</w:t>
      </w:r>
    </w:p>
    <w:p>
      <w:pPr>
        <w:pStyle w:val="Heading1"/>
        <w:spacing w:before="400" w:after="200"/>
      </w:pPr>
      <w:r>
        <w:rPr>
          <w:rFonts w:ascii="Georgia" w:cs="Georgia" w:eastAsia="Georgia" w:hAnsi="Georgia"/>
          <w:b/>
          <w:bCs/>
          <w:color w:val="0A1628"/>
          <w:sz w:val="36"/>
          <w:szCs w:val="36"/>
        </w:rPr>
        <w:t xml:space="preserve">Annexe : chiffrage detaille des mesures</w:t>
      </w:r>
    </w:p>
    <w:p>
      <w:pPr>
        <w:spacing w:after="120"/>
        <w:jc w:val="both"/>
      </w:pPr>
      <w:r>
        <w:rPr>
          <w:rFonts w:ascii="Arial" w:cs="Arial" w:eastAsia="Arial" w:hAnsi="Arial"/>
          <w:color w:val="1A2332"/>
          <w:sz w:val="22"/>
          <w:szCs w:val="22"/>
        </w:rPr>
        <w:t xml:space="preserve">Cette annexe presente la methodologie de calcul pour chaque mesure du programme. Les donnees sont issues de sources officielles (INSEE, DGAFP, DGFiP, COR, Unedic, DREES, Cour des Comptes). Les calculs sont transparents et reproductibles.</w:t>
      </w:r>
    </w:p>
    <w:p>
      <w:pPr>
        <w:pStyle w:val="Heading2"/>
        <w:spacing w:before="300" w:after="150"/>
      </w:pPr>
      <w:r>
        <w:rPr>
          <w:rFonts w:ascii="Georgia" w:cs="Georgia" w:eastAsia="Georgia" w:hAnsi="Georgia"/>
          <w:b/>
          <w:bCs/>
          <w:color w:val="0099BB"/>
          <w:sz w:val="28"/>
          <w:szCs w:val="28"/>
        </w:rPr>
        <w:t xml:space="preserve">A1. Finances publiques &amp; reforme de l'Etat</w:t>
      </w:r>
    </w:p>
    <w:p>
      <w:pPr>
        <w:spacing w:before="200" w:after="100"/>
      </w:pPr>
      <w:r>
        <w:rPr>
          <w:rFonts w:ascii="Arial" w:cs="Arial" w:eastAsia="Arial" w:hAnsi="Arial"/>
          <w:b/>
          <w:bCs/>
          <w:color w:val="0A1628"/>
          <w:sz w:val="24"/>
          <w:szCs w:val="24"/>
        </w:rPr>
        <w:t xml:space="preserve">1.1 — Reduction de 150 000 postes de fonctionnaires</w:t>
      </w:r>
    </w:p>
    <w:p>
      <w:pPr>
        <w:spacing w:after="80"/>
      </w:pPr>
      <w:r>
        <w:rPr>
          <w:rFonts w:ascii="Arial" w:cs="Arial" w:eastAsia="Arial" w:hAnsi="Arial"/>
          <w:color w:val="1A2332"/>
          <w:sz w:val="20"/>
          <w:szCs w:val="20"/>
        </w:rPr>
        <w:t xml:space="preserve">Donnees de base (DGAFP Rapport annuel 2025)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500"/>
        <w:gridCol w:w="2360"/>
      </w:tblGrid>
      <w:tr>
        <w:trPr>
          <w:tblHeader/>
        </w:trPr>
        <w:tc>
          <w:tcPr>
            <w:tcW w:type="dxa" w:w="2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Versant</w:t>
            </w:r>
          </w:p>
        </w:tc>
        <w:tc>
          <w:tcPr>
            <w:tcW w:type="dxa" w:w="20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Effectifs</w:t>
            </w:r>
          </w:p>
        </w:tc>
        <w:tc>
          <w:tcPr>
            <w:tcW w:type="dxa" w:w="2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Cout moyen charge/an</w:t>
            </w:r>
          </w:p>
        </w:tc>
        <w:tc>
          <w:tcPr>
            <w:tcW w:type="dxa" w:w="23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Departs retraite/an</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Etat (FPE)</w:t>
            </w:r>
          </w:p>
        </w:tc>
        <w:tc>
          <w:tcPr>
            <w:tcW w:type="dxa" w:w="2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2,57 millions</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67 000 - 70 000 EUR</w:t>
            </w:r>
          </w:p>
        </w:tc>
        <w:tc>
          <w:tcPr>
            <w:tcW w:type="dxa" w:w="23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47 000</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Territorial (FPT)</w:t>
            </w:r>
          </w:p>
        </w:tc>
        <w:tc>
          <w:tcPr>
            <w:tcW w:type="dxa" w:w="2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1,99 millions</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42 000 - 43 000 EUR</w:t>
            </w:r>
          </w:p>
        </w:tc>
        <w:tc>
          <w:tcPr>
            <w:tcW w:type="dxa" w:w="23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43 000</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Hospitalier (FPH)</w:t>
            </w:r>
          </w:p>
        </w:tc>
        <w:tc>
          <w:tcPr>
            <w:tcW w:type="dxa" w:w="2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1,24 millions</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42 000 - 43 000 EUR</w:t>
            </w:r>
          </w:p>
        </w:tc>
        <w:tc>
          <w:tcPr>
            <w:tcW w:type="dxa" w:w="23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19 800</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TOTAL</w:t>
            </w:r>
          </w:p>
        </w:tc>
        <w:tc>
          <w:tcPr>
            <w:tcW w:type="dxa" w:w="2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5,9 millions</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~52 000 EUR (moyenne)</w:t>
            </w:r>
          </w:p>
        </w:tc>
        <w:tc>
          <w:tcPr>
            <w:tcW w:type="dxa" w:w="23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109 800</w:t>
            </w:r>
          </w:p>
        </w:tc>
      </w:tr>
    </w:tbl>
    <w:p>
      <w:pPr>
        <w:spacing w:after="80"/>
      </w:pPr>
    </w:p>
    <w:p>
      <w:pPr>
        <w:spacing w:after="80"/>
      </w:pPr>
      <w:r>
        <w:rPr>
          <w:rFonts w:ascii="Arial" w:cs="Arial" w:eastAsia="Arial" w:hAnsi="Arial"/>
          <w:color w:val="1A2332"/>
          <w:sz w:val="20"/>
          <w:szCs w:val="20"/>
        </w:rPr>
        <w:t xml:space="preserve">Calcul :</w:t>
      </w:r>
    </w:p>
    <w:p>
      <w:pPr>
        <w:spacing w:after="120"/>
        <w:jc w:val="both"/>
      </w:pPr>
      <w:r>
        <w:rPr>
          <w:rFonts w:ascii="Arial" w:cs="Arial" w:eastAsia="Arial" w:hAnsi="Arial"/>
          <w:b/>
          <w:bCs/>
          <w:color w:val="1A2332"/>
          <w:sz w:val="20"/>
          <w:szCs w:val="20"/>
        </w:rPr>
        <w:t xml:space="preserve">Non-remplacement 1/3 des departs : </w:t>
      </w:r>
      <w:r>
        <w:rPr>
          <w:rFonts w:ascii="Consolas" w:cs="Consolas" w:eastAsia="Consolas" w:hAnsi="Consolas"/>
          <w:color w:val="6B7B8D"/>
          <w:sz w:val="18"/>
          <w:szCs w:val="18"/>
        </w:rPr>
        <w:t xml:space="preserve">109 800 x 1/3</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36 600 postes/an</w:t>
      </w:r>
    </w:p>
    <w:p>
      <w:pPr>
        <w:spacing w:after="120"/>
        <w:jc w:val="both"/>
      </w:pPr>
      <w:r>
        <w:rPr>
          <w:rFonts w:ascii="Arial" w:cs="Arial" w:eastAsia="Arial" w:hAnsi="Arial"/>
          <w:b/>
          <w:bCs/>
          <w:color w:val="1A2332"/>
          <w:sz w:val="20"/>
          <w:szCs w:val="20"/>
        </w:rPr>
        <w:t xml:space="preserve">En 5 ans : </w:t>
      </w:r>
      <w:r>
        <w:rPr>
          <w:rFonts w:ascii="Consolas" w:cs="Consolas" w:eastAsia="Consolas" w:hAnsi="Consolas"/>
          <w:color w:val="6B7B8D"/>
          <w:sz w:val="18"/>
          <w:szCs w:val="18"/>
        </w:rPr>
        <w:t xml:space="preserve">36 600 x 5</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183 000 postes supprimes</w:t>
      </w:r>
    </w:p>
    <w:p>
      <w:pPr>
        <w:spacing w:after="120"/>
        <w:jc w:val="both"/>
      </w:pPr>
      <w:r>
        <w:rPr>
          <w:rFonts w:ascii="Arial" w:cs="Arial" w:eastAsia="Arial" w:hAnsi="Arial"/>
          <w:b/>
          <w:bCs/>
          <w:color w:val="1A2332"/>
          <w:sz w:val="20"/>
          <w:szCs w:val="20"/>
        </w:rPr>
        <w:t xml:space="preserve">Perimetre restreint (hors securite, justice, hopital) : </w:t>
      </w:r>
      <w:r>
        <w:rPr>
          <w:rFonts w:ascii="Consolas" w:cs="Consolas" w:eastAsia="Consolas" w:hAnsi="Consolas"/>
          <w:color w:val="6B7B8D"/>
          <w:sz w:val="18"/>
          <w:szCs w:val="18"/>
        </w:rPr>
        <w:t xml:space="preserve">183 000 x 82%</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~150 000 postes</w:t>
      </w:r>
    </w:p>
    <w:p>
      <w:pPr>
        <w:spacing w:after="80"/>
      </w:pPr>
      <w:r>
        <w:rPr>
          <w:rFonts w:ascii="Arial" w:cs="Arial" w:eastAsia="Arial" w:hAnsi="Arial"/>
          <w:color w:val="1A2332"/>
          <w:sz w:val="20"/>
          <w:szCs w:val="20"/>
        </w:rPr>
        <w:t xml:space="preserve">Economie annuelle a terme :</w:t>
      </w:r>
    </w:p>
    <w:p>
      <w:pPr>
        <w:spacing w:after="120"/>
        <w:jc w:val="both"/>
      </w:pPr>
      <w:r>
        <w:rPr>
          <w:rFonts w:ascii="Arial" w:cs="Arial" w:eastAsia="Arial" w:hAnsi="Arial"/>
          <w:b/>
          <w:bCs/>
          <w:color w:val="1A2332"/>
          <w:sz w:val="20"/>
          <w:szCs w:val="20"/>
        </w:rPr>
        <w:t xml:space="preserve">Hypothese basse : </w:t>
      </w:r>
      <w:r>
        <w:rPr>
          <w:rFonts w:ascii="Consolas" w:cs="Consolas" w:eastAsia="Consolas" w:hAnsi="Consolas"/>
          <w:color w:val="6B7B8D"/>
          <w:sz w:val="18"/>
          <w:szCs w:val="18"/>
        </w:rPr>
        <w:t xml:space="preserve">150 000 x 42 000 EUR (territorial)</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6,3 Md EUR/an</w:t>
      </w:r>
    </w:p>
    <w:p>
      <w:pPr>
        <w:spacing w:after="120"/>
        <w:jc w:val="both"/>
      </w:pPr>
      <w:r>
        <w:rPr>
          <w:rFonts w:ascii="Arial" w:cs="Arial" w:eastAsia="Arial" w:hAnsi="Arial"/>
          <w:b/>
          <w:bCs/>
          <w:color w:val="1A2332"/>
          <w:sz w:val="20"/>
          <w:szCs w:val="20"/>
        </w:rPr>
        <w:t xml:space="preserve">Hypothese haute : </w:t>
      </w:r>
      <w:r>
        <w:rPr>
          <w:rFonts w:ascii="Consolas" w:cs="Consolas" w:eastAsia="Consolas" w:hAnsi="Consolas"/>
          <w:color w:val="6B7B8D"/>
          <w:sz w:val="18"/>
          <w:szCs w:val="18"/>
        </w:rPr>
        <w:t xml:space="preserve">150 000 x 52 000 EUR (moyenne)</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7,8 Md EUR/an</w:t>
      </w:r>
    </w:p>
    <w:p>
      <w:pPr>
        <w:spacing w:after="120"/>
        <w:jc w:val="both"/>
      </w:pPr>
      <w:r>
        <w:rPr>
          <w:rFonts w:ascii="Arial" w:cs="Arial" w:eastAsia="Arial" w:hAnsi="Arial"/>
          <w:b/>
          <w:bCs/>
          <w:color w:val="1A2332"/>
          <w:sz w:val="20"/>
          <w:szCs w:val="20"/>
        </w:rPr>
        <w:t xml:space="preserve">Hypothese retenue : </w:t>
      </w:r>
      <w:r>
        <w:rPr>
          <w:rFonts w:ascii="Consolas" w:cs="Consolas" w:eastAsia="Consolas" w:hAnsi="Consolas"/>
          <w:color w:val="6B7B8D"/>
          <w:sz w:val="18"/>
          <w:szCs w:val="18"/>
        </w:rPr>
        <w:t xml:space="preserve">(6,3 + 7,8) / 2</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~7 Md EUR/an</w:t>
      </w:r>
    </w:p>
    <w:p>
      <w:pPr>
        <w:spacing w:after="60"/>
      </w:pPr>
      <w:r>
        <w:rPr>
          <w:rFonts w:ascii="Arial" w:cs="Arial" w:eastAsia="Arial" w:hAnsi="Arial"/>
          <w:i/>
          <w:iCs/>
          <w:color w:val="6B7B8D"/>
          <w:sz w:val="18"/>
          <w:szCs w:val="18"/>
        </w:rPr>
        <w:t xml:space="preserve">Source : DGAFP 2025 — Flux de personnels retraites ; Rapport annuel fonction publique 2024</w:t>
      </w:r>
    </w:p>
    <w:p>
      <w:pPr>
        <w:spacing w:after="80"/>
      </w:pPr>
      <w:r>
        <w:rPr>
          <w:rFonts w:ascii="Arial" w:cs="Arial" w:eastAsia="Arial" w:hAnsi="Arial"/>
          <w:color w:val="1A2332"/>
          <w:sz w:val="20"/>
          <w:szCs w:val="20"/>
        </w:rPr>
        <w:t xml:space="preserve">Montee en charge progressive : an 1 = 1,4 Md, an 2 = 2,8 Md, an 3 = 4,2 Md, an 4 = 5,6 Md, an 5 = 7 Md.</w:t>
      </w:r>
    </w:p>
    <w:p>
      <w:pPr>
        <w:spacing w:before="200" w:after="100"/>
      </w:pPr>
      <w:r>
        <w:rPr>
          <w:rFonts w:ascii="Arial" w:cs="Arial" w:eastAsia="Arial" w:hAnsi="Arial"/>
          <w:b/>
          <w:bCs/>
          <w:color w:val="0A1628"/>
          <w:sz w:val="24"/>
          <w:szCs w:val="24"/>
        </w:rPr>
        <w:t xml:space="preserve">1.2 — Fusion des communes (35 000 a 10 000)</w:t>
      </w:r>
    </w:p>
    <w:p>
      <w:pPr>
        <w:spacing w:after="80"/>
      </w:pPr>
      <w:r>
        <w:rPr>
          <w:rFonts w:ascii="Arial" w:cs="Arial" w:eastAsia="Arial" w:hAnsi="Arial"/>
          <w:color w:val="1A2332"/>
          <w:sz w:val="20"/>
          <w:szCs w:val="20"/>
        </w:rPr>
        <w:t xml:space="preserve">Donnees de base :</w:t>
      </w:r>
    </w:p>
    <w:p>
      <w:pPr>
        <w:pStyle w:val="ListParagraph"/>
        <w:numPr>
          <w:ilvl w:val="0"/>
          <w:numId w:val="{b49-0}"/>
        </w:numPr>
        <w:spacing w:after="80"/>
      </w:pPr>
      <w:r>
        <w:rPr>
          <w:rFonts w:ascii="Arial" w:cs="Arial" w:eastAsia="Arial" w:hAnsi="Arial"/>
          <w:color w:val="1A2332"/>
          <w:sz w:val="22"/>
          <w:szCs w:val="22"/>
        </w:rPr>
        <w:t xml:space="preserve">34 935 communes, dont ~31 000 de moins de 3 500 habitants (DGCL 2024)</w:t>
      </w:r>
    </w:p>
    <w:p>
      <w:pPr>
        <w:pStyle w:val="ListParagraph"/>
        <w:numPr>
          <w:ilvl w:val="0"/>
          <w:numId w:val="{b49-0}"/>
        </w:numPr>
        <w:spacing w:after="80"/>
      </w:pPr>
      <w:r>
        <w:rPr>
          <w:rFonts w:ascii="Arial" w:cs="Arial" w:eastAsia="Arial" w:hAnsi="Arial"/>
          <w:color w:val="1A2332"/>
          <w:sz w:val="22"/>
          <w:szCs w:val="22"/>
        </w:rPr>
        <w:t xml:space="preserve">567 222 elus locaux — cout total indemnites + fonctionnement ~3,5 Md EUR/an</w:t>
      </w:r>
    </w:p>
    <w:p>
      <w:pPr>
        <w:pStyle w:val="ListParagraph"/>
        <w:numPr>
          <w:ilvl w:val="0"/>
          <w:numId w:val="{b49-0}"/>
        </w:numPr>
        <w:spacing w:after="80"/>
      </w:pPr>
      <w:r>
        <w:rPr>
          <w:rFonts w:ascii="Arial" w:cs="Arial" w:eastAsia="Arial" w:hAnsi="Arial"/>
          <w:color w:val="1A2332"/>
          <w:sz w:val="22"/>
          <w:szCs w:val="22"/>
        </w:rPr>
        <w:t xml:space="preserve">Budget de fonctionnement des communes &lt; 1 000 hab : ~8 Md EUR/an</w:t>
      </w:r>
    </w:p>
    <w:p>
      <w:pPr>
        <w:spacing w:after="80"/>
      </w:pPr>
      <w:r>
        <w:rPr>
          <w:rFonts w:ascii="Arial" w:cs="Arial" w:eastAsia="Arial" w:hAnsi="Arial"/>
          <w:color w:val="1A2332"/>
          <w:sz w:val="20"/>
          <w:szCs w:val="20"/>
        </w:rPr>
        <w:t xml:space="preserve">Benchmark : Danemark 2007</w:t>
      </w:r>
    </w:p>
    <w:p>
      <w:pPr>
        <w:pStyle w:val="ListParagraph"/>
        <w:numPr>
          <w:ilvl w:val="0"/>
          <w:numId w:val="{b50-0}"/>
        </w:numPr>
        <w:spacing w:after="80"/>
      </w:pPr>
      <w:r>
        <w:rPr>
          <w:rFonts w:ascii="Arial" w:cs="Arial" w:eastAsia="Arial" w:hAnsi="Arial"/>
          <w:color w:val="1A2332"/>
          <w:sz w:val="22"/>
          <w:szCs w:val="22"/>
        </w:rPr>
        <w:t xml:space="preserve">Passage de 271 a 98 communes (population : 5,8 millions)</w:t>
      </w:r>
    </w:p>
    <w:p>
      <w:pPr>
        <w:pStyle w:val="ListParagraph"/>
        <w:numPr>
          <w:ilvl w:val="0"/>
          <w:numId w:val="{b50-0}"/>
        </w:numPr>
        <w:spacing w:after="80"/>
      </w:pPr>
      <w:r>
        <w:rPr>
          <w:rFonts w:ascii="Arial" w:cs="Arial" w:eastAsia="Arial" w:hAnsi="Arial"/>
          <w:color w:val="1A2332"/>
          <w:sz w:val="22"/>
          <w:szCs w:val="22"/>
        </w:rPr>
        <w:t xml:space="preserve">Economies realisees : ~1 Md EUR/an (source : Ministry of Interior Denmark, 2013)</w:t>
      </w:r>
    </w:p>
    <w:p>
      <w:pPr>
        <w:spacing w:after="120"/>
        <w:jc w:val="both"/>
      </w:pPr>
      <w:r>
        <w:rPr>
          <w:rFonts w:ascii="Arial" w:cs="Arial" w:eastAsia="Arial" w:hAnsi="Arial"/>
          <w:b/>
          <w:bCs/>
          <w:color w:val="1A2332"/>
          <w:sz w:val="20"/>
          <w:szCs w:val="20"/>
        </w:rPr>
        <w:t xml:space="preserve">Extrapolation France (67M hab) : </w:t>
      </w:r>
      <w:r>
        <w:rPr>
          <w:rFonts w:ascii="Consolas" w:cs="Consolas" w:eastAsia="Consolas" w:hAnsi="Consolas"/>
          <w:color w:val="6B7B8D"/>
          <w:sz w:val="18"/>
          <w:szCs w:val="18"/>
        </w:rPr>
        <w:t xml:space="preserve">1 Md x (67/5,8) x 0,6 (correction taille)</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~7 Md EUR/an</w:t>
      </w:r>
    </w:p>
    <w:p>
      <w:pPr>
        <w:spacing w:after="80"/>
      </w:pPr>
      <w:r>
        <w:rPr>
          <w:rFonts w:ascii="Arial" w:cs="Arial" w:eastAsia="Arial" w:hAnsi="Arial"/>
          <w:color w:val="1A2332"/>
          <w:sz w:val="20"/>
          <w:szCs w:val="20"/>
        </w:rPr>
        <w:t xml:space="preserve">Hypothese prudente retenue : economies de 5 a 8 Md EUR/an (mutualisations, suppression doublons, reduction indemnites elus). Le chiffre de 5 Md est le plancher : economies sur les seuls services administratifs. Le chiffre de 8 Md inclut la rationalisation des achats publics et des equipements.</w:t>
      </w:r>
    </w:p>
    <w:p>
      <w:pPr>
        <w:spacing w:after="60"/>
      </w:pPr>
      <w:r>
        <w:rPr>
          <w:rFonts w:ascii="Arial" w:cs="Arial" w:eastAsia="Arial" w:hAnsi="Arial"/>
          <w:i/>
          <w:iCs/>
          <w:color w:val="6B7B8D"/>
          <w:sz w:val="18"/>
          <w:szCs w:val="18"/>
        </w:rPr>
        <w:t xml:space="preserve">Source : DGCL 2024 ; Cour des Comptes — Rapport collectivites ; Ministry of Interior Denmark 2013</w:t>
      </w:r>
    </w:p>
    <w:p>
      <w:pPr>
        <w:spacing w:before="200" w:after="100"/>
      </w:pPr>
      <w:r>
        <w:rPr>
          <w:rFonts w:ascii="Arial" w:cs="Arial" w:eastAsia="Arial" w:hAnsi="Arial"/>
          <w:b/>
          <w:bCs/>
          <w:color w:val="0A1628"/>
          <w:sz w:val="24"/>
          <w:szCs w:val="24"/>
        </w:rPr>
        <w:t xml:space="preserve">1.4 — Suppression de 150 operateurs de l'Etat</w:t>
      </w:r>
    </w:p>
    <w:p>
      <w:pPr>
        <w:spacing w:after="80"/>
      </w:pPr>
      <w:r>
        <w:rPr>
          <w:rFonts w:ascii="Arial" w:cs="Arial" w:eastAsia="Arial" w:hAnsi="Arial"/>
          <w:color w:val="1A2332"/>
          <w:sz w:val="20"/>
          <w:szCs w:val="20"/>
        </w:rPr>
        <w:t xml:space="preserve">Donnees de base :</w:t>
      </w:r>
    </w:p>
    <w:p>
      <w:pPr>
        <w:pStyle w:val="ListParagraph"/>
        <w:numPr>
          <w:ilvl w:val="0"/>
          <w:numId w:val="{b51-0}"/>
        </w:numPr>
        <w:spacing w:after="80"/>
      </w:pPr>
      <w:r>
        <w:rPr>
          <w:rFonts w:ascii="Arial" w:cs="Arial" w:eastAsia="Arial" w:hAnsi="Arial"/>
          <w:color w:val="1A2332"/>
          <w:sz w:val="22"/>
          <w:szCs w:val="22"/>
        </w:rPr>
        <w:t xml:space="preserve">438 operateurs de l'Etat — budget total : 73,3 Md EUR (PLF 2026)</w:t>
      </w:r>
    </w:p>
    <w:p>
      <w:pPr>
        <w:spacing w:after="120"/>
        <w:jc w:val="both"/>
      </w:pPr>
      <w:r>
        <w:rPr>
          <w:rFonts w:ascii="Arial" w:cs="Arial" w:eastAsia="Arial" w:hAnsi="Arial"/>
          <w:b/>
          <w:bCs/>
          <w:color w:val="1A2332"/>
          <w:sz w:val="20"/>
          <w:szCs w:val="20"/>
        </w:rPr>
        <w:t xml:space="preserve">Budget moyen par operateur : </w:t>
      </w:r>
      <w:r>
        <w:rPr>
          <w:rFonts w:ascii="Consolas" w:cs="Consolas" w:eastAsia="Consolas" w:hAnsi="Consolas"/>
          <w:color w:val="6B7B8D"/>
          <w:sz w:val="18"/>
          <w:szCs w:val="18"/>
        </w:rPr>
        <w:t xml:space="preserve">73,3 Md / 438</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167 M EUR</w:t>
      </w:r>
    </w:p>
    <w:p>
      <w:pPr>
        <w:spacing w:after="80"/>
      </w:pPr>
      <w:r>
        <w:rPr>
          <w:rFonts w:ascii="Arial" w:cs="Arial" w:eastAsia="Arial" w:hAnsi="Arial"/>
          <w:color w:val="1A2332"/>
          <w:sz w:val="20"/>
          <w:szCs w:val="20"/>
        </w:rPr>
        <w:t xml:space="preserve">Les 5 plus gros operateurs absorbent 58 % du budget. Les 283 plus petits se partagent ~20 Md EUR.</w:t>
      </w:r>
    </w:p>
    <w:p>
      <w:pPr>
        <w:spacing w:after="120"/>
        <w:jc w:val="both"/>
      </w:pPr>
      <w:r>
        <w:rPr>
          <w:rFonts w:ascii="Arial" w:cs="Arial" w:eastAsia="Arial" w:hAnsi="Arial"/>
          <w:b/>
          <w:bCs/>
          <w:color w:val="1A2332"/>
          <w:sz w:val="20"/>
          <w:szCs w:val="20"/>
        </w:rPr>
        <w:t xml:space="preserve">Suppression/fusion 150 petits operateurs : </w:t>
      </w:r>
      <w:r>
        <w:rPr>
          <w:rFonts w:ascii="Consolas" w:cs="Consolas" w:eastAsia="Consolas" w:hAnsi="Consolas"/>
          <w:color w:val="6B7B8D"/>
          <w:sz w:val="18"/>
          <w:szCs w:val="18"/>
        </w:rPr>
        <w:t xml:space="preserve">150 x 30 M EUR moyen (petits) x 15% economies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~675 M EUR/an</w:t>
      </w:r>
    </w:p>
    <w:p>
      <w:pPr>
        <w:spacing w:after="80"/>
      </w:pPr>
      <w:r>
        <w:rPr>
          <w:rFonts w:ascii="Arial" w:cs="Arial" w:eastAsia="Arial" w:hAnsi="Arial"/>
          <w:color w:val="1A2332"/>
          <w:sz w:val="20"/>
          <w:szCs w:val="20"/>
        </w:rPr>
        <w:t xml:space="preserve">Economies supplementaires par rationalisation des fonctions support des gros operateurs :</w:t>
      </w:r>
    </w:p>
    <w:p>
      <w:pPr>
        <w:spacing w:after="120"/>
        <w:jc w:val="both"/>
      </w:pPr>
      <w:r>
        <w:rPr>
          <w:rFonts w:ascii="Arial" w:cs="Arial" w:eastAsia="Arial" w:hAnsi="Arial"/>
          <w:b/>
          <w:bCs/>
          <w:color w:val="1A2332"/>
          <w:sz w:val="20"/>
          <w:szCs w:val="20"/>
        </w:rPr>
        <w:t xml:space="preserve">5% d'economies sur les 53 Md restants : </w:t>
      </w:r>
      <w:r>
        <w:rPr>
          <w:rFonts w:ascii="Consolas" w:cs="Consolas" w:eastAsia="Consolas" w:hAnsi="Consolas"/>
          <w:color w:val="6B7B8D"/>
          <w:sz w:val="18"/>
          <w:szCs w:val="18"/>
        </w:rPr>
        <w:t xml:space="preserve">53 Md x 5%</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2,65 Md EUR/an</w:t>
      </w:r>
    </w:p>
    <w:p>
      <w:pPr>
        <w:spacing w:after="120"/>
        <w:jc w:val="both"/>
      </w:pPr>
      <w:r>
        <w:rPr>
          <w:rFonts w:ascii="Arial" w:cs="Arial" w:eastAsia="Arial" w:hAnsi="Arial"/>
          <w:b/>
          <w:bCs/>
          <w:color w:val="1A2332"/>
          <w:sz w:val="20"/>
          <w:szCs w:val="20"/>
        </w:rPr>
        <w:t xml:space="preserve">Total : </w:t>
      </w:r>
      <w:r>
        <w:rPr>
          <w:rFonts w:ascii="Consolas" w:cs="Consolas" w:eastAsia="Consolas" w:hAnsi="Consolas"/>
          <w:color w:val="6B7B8D"/>
          <w:sz w:val="18"/>
          <w:szCs w:val="18"/>
        </w:rPr>
        <w:t xml:space="preserve">675 M + 2,65 Md</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~3,3 Md EUR/an</w:t>
      </w:r>
    </w:p>
    <w:p>
      <w:pPr>
        <w:spacing w:after="60"/>
      </w:pPr>
      <w:r>
        <w:rPr>
          <w:rFonts w:ascii="Arial" w:cs="Arial" w:eastAsia="Arial" w:hAnsi="Arial"/>
          <w:i/>
          <w:iCs/>
          <w:color w:val="6B7B8D"/>
          <w:sz w:val="18"/>
          <w:szCs w:val="18"/>
        </w:rPr>
        <w:t xml:space="preserve">Source : Cour des Comptes — Budget de l'Etat 2024 ; Jaune budgetaire operateurs PLF 2026</w:t>
      </w:r>
    </w:p>
    <w:p>
      <w:pPr>
        <w:spacing w:before="200" w:after="100"/>
      </w:pPr>
      <w:r>
        <w:rPr>
          <w:rFonts w:ascii="Arial" w:cs="Arial" w:eastAsia="Arial" w:hAnsi="Arial"/>
          <w:b/>
          <w:bCs/>
          <w:color w:val="0A1628"/>
          <w:sz w:val="24"/>
          <w:szCs w:val="24"/>
        </w:rPr>
        <w:t xml:space="preserve">1.5 — Reduction du nombre de parlementaires</w:t>
      </w:r>
    </w:p>
    <w:p>
      <w:pPr>
        <w:spacing w:after="80"/>
      </w:pPr>
      <w:r>
        <w:rPr>
          <w:rFonts w:ascii="Arial" w:cs="Arial" w:eastAsia="Arial" w:hAnsi="Arial"/>
          <w:color w:val="1A2332"/>
          <w:sz w:val="20"/>
          <w:szCs w:val="20"/>
        </w:rPr>
        <w:t xml:space="preserve">Donnees de base (Assemblee Nationale / Senat 2024)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Poste</w:t>
            </w:r>
          </w:p>
        </w:tc>
        <w:tc>
          <w:tcPr>
            <w:tcW w:type="dxa" w:w="30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Depute</w:t>
            </w:r>
          </w:p>
        </w:tc>
        <w:tc>
          <w:tcPr>
            <w:tcW w:type="dxa" w:w="2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Senateur</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Indemnite brute mensuelle</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7 637 EUR</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7 637 EUR</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Frais de mandat (AFM)</w:t>
            </w:r>
          </w:p>
        </w:tc>
        <w:tc>
          <w:tcPr>
            <w:tcW w:type="dxa" w:w="3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5 950 EUR/mois</w:t>
            </w:r>
          </w:p>
        </w:tc>
        <w:tc>
          <w:tcPr>
            <w:tcW w:type="dxa" w:w="2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6 600 EUR/mois</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Credit collaborateurs</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11 118 EUR/mois</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8 827 EUR/mois</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Cout total annuel</w:t>
            </w:r>
          </w:p>
        </w:tc>
        <w:tc>
          <w:tcPr>
            <w:tcW w:type="dxa" w:w="3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~978 000 EUR</w:t>
            </w:r>
          </w:p>
        </w:tc>
        <w:tc>
          <w:tcPr>
            <w:tcW w:type="dxa" w:w="2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~1 100 000 EUR</w:t>
            </w:r>
          </w:p>
        </w:tc>
      </w:tr>
    </w:tbl>
    <w:p>
      <w:pPr>
        <w:spacing w:after="120"/>
        <w:jc w:val="both"/>
      </w:pPr>
      <w:r>
        <w:rPr>
          <w:rFonts w:ascii="Arial" w:cs="Arial" w:eastAsia="Arial" w:hAnsi="Arial"/>
          <w:b/>
          <w:bCs/>
          <w:color w:val="1A2332"/>
          <w:sz w:val="20"/>
          <w:szCs w:val="20"/>
        </w:rPr>
        <w:t xml:space="preserve">Cout actuel total : </w:t>
      </w:r>
      <w:r>
        <w:rPr>
          <w:rFonts w:ascii="Consolas" w:cs="Consolas" w:eastAsia="Consolas" w:hAnsi="Consolas"/>
          <w:color w:val="6B7B8D"/>
          <w:sz w:val="18"/>
          <w:szCs w:val="18"/>
        </w:rPr>
        <w:t xml:space="preserve">(577 x 978k) + (348 x 1,1M)</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~947 M EUR/an</w:t>
      </w:r>
    </w:p>
    <w:p>
      <w:pPr>
        <w:spacing w:after="120"/>
        <w:jc w:val="both"/>
      </w:pPr>
      <w:r>
        <w:rPr>
          <w:rFonts w:ascii="Arial" w:cs="Arial" w:eastAsia="Arial" w:hAnsi="Arial"/>
          <w:b/>
          <w:bCs/>
          <w:color w:val="1A2332"/>
          <w:sz w:val="20"/>
          <w:szCs w:val="20"/>
        </w:rPr>
        <w:t xml:space="preserve">Reduction a 400 deputes + 200 senateurs : </w:t>
      </w:r>
      <w:r>
        <w:rPr>
          <w:rFonts w:ascii="Consolas" w:cs="Consolas" w:eastAsia="Consolas" w:hAnsi="Consolas"/>
          <w:color w:val="6B7B8D"/>
          <w:sz w:val="18"/>
          <w:szCs w:val="18"/>
        </w:rPr>
        <w:t xml:space="preserve">(400 x 978k) + (200 x 1,1M)</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~611 M EUR/an</w:t>
      </w:r>
    </w:p>
    <w:p>
      <w:pPr>
        <w:spacing w:after="120"/>
        <w:jc w:val="both"/>
      </w:pPr>
      <w:r>
        <w:rPr>
          <w:rFonts w:ascii="Arial" w:cs="Arial" w:eastAsia="Arial" w:hAnsi="Arial"/>
          <w:b/>
          <w:bCs/>
          <w:color w:val="1A2332"/>
          <w:sz w:val="20"/>
          <w:szCs w:val="20"/>
        </w:rPr>
        <w:t xml:space="preserve">Economie : </w:t>
      </w:r>
      <w:r>
        <w:rPr>
          <w:rFonts w:ascii="Consolas" w:cs="Consolas" w:eastAsia="Consolas" w:hAnsi="Consolas"/>
          <w:color w:val="6B7B8D"/>
          <w:sz w:val="18"/>
          <w:szCs w:val="18"/>
        </w:rPr>
        <w:t xml:space="preserve">947 - 611</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~336 M EUR/an</w:t>
      </w:r>
    </w:p>
    <w:p>
      <w:pPr>
        <w:spacing w:after="80"/>
      </w:pPr>
      <w:r>
        <w:rPr>
          <w:rFonts w:ascii="Arial" w:cs="Arial" w:eastAsia="Arial" w:hAnsi="Arial"/>
          <w:color w:val="1A2332"/>
          <w:sz w:val="20"/>
          <w:szCs w:val="20"/>
        </w:rPr>
        <w:t xml:space="preserve">Arrondi prudent retenu : ~200 M EUR/an (reduction progressive, couts de transition).</w:t>
      </w:r>
    </w:p>
    <w:p>
      <w:pPr>
        <w:spacing w:after="60"/>
      </w:pPr>
      <w:r>
        <w:rPr>
          <w:rFonts w:ascii="Arial" w:cs="Arial" w:eastAsia="Arial" w:hAnsi="Arial"/>
          <w:i/>
          <w:iCs/>
          <w:color w:val="6B7B8D"/>
          <w:sz w:val="18"/>
          <w:szCs w:val="18"/>
        </w:rPr>
        <w:t xml:space="preserve">Source : Assemblee Nationale — Situation materielle du depute ; Senat — Indemnite parlementaire 2024</w:t>
      </w:r>
    </w:p>
    <w:p>
      <w:r>
        <w:br w:type="page"/>
      </w:r>
    </w:p>
    <w:p>
      <w:pPr>
        <w:pStyle w:val="Heading2"/>
        <w:spacing w:before="300" w:after="150"/>
      </w:pPr>
      <w:r>
        <w:rPr>
          <w:rFonts w:ascii="Georgia" w:cs="Georgia" w:eastAsia="Georgia" w:hAnsi="Georgia"/>
          <w:b/>
          <w:bCs/>
          <w:color w:val="0099BB"/>
          <w:sz w:val="28"/>
          <w:szCs w:val="28"/>
        </w:rPr>
        <w:t xml:space="preserve">A2. Fiscalite</w:t>
      </w:r>
    </w:p>
    <w:p>
      <w:pPr>
        <w:spacing w:before="200" w:after="100"/>
      </w:pPr>
      <w:r>
        <w:rPr>
          <w:rFonts w:ascii="Arial" w:cs="Arial" w:eastAsia="Arial" w:hAnsi="Arial"/>
          <w:b/>
          <w:bCs/>
          <w:color w:val="0A1628"/>
          <w:sz w:val="24"/>
          <w:szCs w:val="24"/>
        </w:rPr>
        <w:t xml:space="preserve">2.1 — Simplification de l'IR (3 tranches)</w:t>
      </w:r>
    </w:p>
    <w:p>
      <w:pPr>
        <w:spacing w:after="80"/>
      </w:pPr>
      <w:r>
        <w:rPr>
          <w:rFonts w:ascii="Arial" w:cs="Arial" w:eastAsia="Arial" w:hAnsi="Arial"/>
          <w:color w:val="1A2332"/>
          <w:sz w:val="20"/>
          <w:szCs w:val="20"/>
        </w:rPr>
        <w:t xml:space="preserve">Donnees de base (DGFiP Statistiques n41, avril 2025) :</w:t>
      </w:r>
    </w:p>
    <w:p>
      <w:pPr>
        <w:pStyle w:val="ListParagraph"/>
        <w:numPr>
          <w:ilvl w:val="0"/>
          <w:numId w:val="{b52-0}"/>
        </w:numPr>
        <w:spacing w:after="80"/>
      </w:pPr>
      <w:r>
        <w:rPr>
          <w:rFonts w:ascii="Arial" w:cs="Arial" w:eastAsia="Arial" w:hAnsi="Arial"/>
          <w:color w:val="1A2332"/>
          <w:sz w:val="22"/>
          <w:szCs w:val="22"/>
        </w:rPr>
        <w:t xml:space="preserve">41,5 millions de foyers fiscaux dont 19,6 millions imposables (47 %)</w:t>
      </w:r>
    </w:p>
    <w:p>
      <w:pPr>
        <w:pStyle w:val="ListParagraph"/>
        <w:numPr>
          <w:ilvl w:val="0"/>
          <w:numId w:val="{b52-0}"/>
        </w:numPr>
        <w:spacing w:after="80"/>
      </w:pPr>
      <w:r>
        <w:rPr>
          <w:rFonts w:ascii="Arial" w:cs="Arial" w:eastAsia="Arial" w:hAnsi="Arial"/>
          <w:color w:val="1A2332"/>
          <w:sz w:val="22"/>
          <w:szCs w:val="22"/>
        </w:rPr>
        <w:t xml:space="preserve">Recettes IR brutes : ~88-92 Md EUR</w:t>
      </w:r>
    </w:p>
    <w:p>
      <w:pPr>
        <w:pStyle w:val="ListParagraph"/>
        <w:numPr>
          <w:ilvl w:val="0"/>
          <w:numId w:val="{b52-0}"/>
        </w:numPr>
        <w:spacing w:after="80"/>
      </w:pPr>
      <w:r>
        <w:rPr>
          <w:rFonts w:ascii="Arial" w:cs="Arial" w:eastAsia="Arial" w:hAnsi="Arial"/>
          <w:color w:val="1A2332"/>
          <w:sz w:val="22"/>
          <w:szCs w:val="22"/>
        </w:rPr>
        <w:t xml:space="preserve">Les 10 % les plus aises paient 75 % de l'IR (impot moyen : 16 395 EUR)</w:t>
      </w:r>
    </w:p>
    <w:p>
      <w:pPr>
        <w:spacing w:after="80"/>
      </w:pPr>
      <w:r>
        <w:rPr>
          <w:rFonts w:ascii="Arial" w:cs="Arial" w:eastAsia="Arial" w:hAnsi="Arial"/>
          <w:color w:val="1A2332"/>
          <w:sz w:val="20"/>
          <w:szCs w:val="20"/>
        </w:rPr>
        <w:t xml:space="preserve">Bareme propose : 0 % (0-15k), 15 % (15-75k), 30 % (&gt;75k)</w:t>
      </w:r>
    </w:p>
    <w:p>
      <w:pPr>
        <w:spacing w:after="80"/>
      </w:pPr>
      <w:r>
        <w:rPr>
          <w:rFonts w:ascii="Arial" w:cs="Arial" w:eastAsia="Arial" w:hAnsi="Arial"/>
          <w:color w:val="1A2332"/>
          <w:sz w:val="20"/>
          <w:szCs w:val="20"/>
        </w:rPr>
        <w:t xml:space="preserve">Impact simule : le nouveau bareme allege l'impot des classes moyennes (15 % au lieu de 30 % sur 26-28k) mais l'augmente pour la tranche 15-30k (15 % au lieu de 11 %). Effet net : baisse de ~5-8 Md EUR.</w:t>
      </w:r>
    </w:p>
    <w:p>
      <w:pPr>
        <w:spacing w:after="80"/>
      </w:pPr>
      <w:r>
        <w:rPr>
          <w:rFonts w:ascii="Arial" w:cs="Arial" w:eastAsia="Arial" w:hAnsi="Arial"/>
          <w:color w:val="1A2332"/>
          <w:sz w:val="20"/>
          <w:szCs w:val="20"/>
        </w:rPr>
        <w:t xml:space="preserve">Compensation : suppression de 300 niches fiscales sur 467 :</w:t>
      </w:r>
    </w:p>
    <w:p>
      <w:pPr>
        <w:spacing w:after="120"/>
        <w:jc w:val="both"/>
      </w:pPr>
      <w:r>
        <w:rPr>
          <w:rFonts w:ascii="Arial" w:cs="Arial" w:eastAsia="Arial" w:hAnsi="Arial"/>
          <w:b/>
          <w:bCs/>
          <w:color w:val="1A2332"/>
          <w:sz w:val="20"/>
          <w:szCs w:val="20"/>
        </w:rPr>
        <w:t xml:space="preserve">467 niches = 83,3 Md EUR de depenses fiscales : </w:t>
      </w:r>
      <w:r>
        <w:rPr>
          <w:rFonts w:ascii="Consolas" w:cs="Consolas" w:eastAsia="Consolas" w:hAnsi="Consolas"/>
          <w:color w:val="6B7B8D"/>
          <w:sz w:val="18"/>
          <w:szCs w:val="18"/>
        </w:rPr>
        <w:t xml:space="preserve">Supprimer 300 niches (les moins efficaces)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~15-25 Md EUR d'economies</w:t>
      </w:r>
    </w:p>
    <w:p>
      <w:pPr>
        <w:spacing w:after="80"/>
      </w:pPr>
      <w:r>
        <w:rPr>
          <w:rFonts w:ascii="Arial" w:cs="Arial" w:eastAsia="Arial" w:hAnsi="Arial"/>
          <w:color w:val="1A2332"/>
          <w:sz w:val="20"/>
          <w:szCs w:val="20"/>
        </w:rPr>
        <w:t xml:space="preserve">Hypothese retenue : suppression des niches rapportant 15 Md EUR. Cout net de la reforme IR :</w:t>
      </w:r>
    </w:p>
    <w:p>
      <w:pPr>
        <w:spacing w:after="120"/>
        <w:jc w:val="both"/>
      </w:pPr>
      <w:r>
        <w:rPr>
          <w:rFonts w:ascii="Arial" w:cs="Arial" w:eastAsia="Arial" w:hAnsi="Arial"/>
          <w:b/>
          <w:bCs/>
          <w:color w:val="1A2332"/>
          <w:sz w:val="20"/>
          <w:szCs w:val="20"/>
        </w:rPr>
        <w:t xml:space="preserve">Cout net : </w:t>
      </w:r>
      <w:r>
        <w:rPr>
          <w:rFonts w:ascii="Consolas" w:cs="Consolas" w:eastAsia="Consolas" w:hAnsi="Consolas"/>
          <w:color w:val="6B7B8D"/>
          <w:sz w:val="18"/>
          <w:szCs w:val="18"/>
        </w:rPr>
        <w:t xml:space="preserve">15 Md (niches recuperees) - 8 Md (baisse IR)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+7 Md EUR net</w:t>
      </w:r>
    </w:p>
    <w:p>
      <w:pPr>
        <w:spacing w:after="60"/>
      </w:pPr>
      <w:r>
        <w:rPr>
          <w:rFonts w:ascii="Arial" w:cs="Arial" w:eastAsia="Arial" w:hAnsi="Arial"/>
          <w:i/>
          <w:iCs/>
          <w:color w:val="6B7B8D"/>
          <w:sz w:val="18"/>
          <w:szCs w:val="18"/>
        </w:rPr>
        <w:t xml:space="preserve">Source : DGFiP 2025 ; Cour des Comptes — Depenses fiscales PLF 2024</w:t>
      </w:r>
    </w:p>
    <w:p>
      <w:pPr>
        <w:spacing w:before="200" w:after="100"/>
      </w:pPr>
      <w:r>
        <w:rPr>
          <w:rFonts w:ascii="Arial" w:cs="Arial" w:eastAsia="Arial" w:hAnsi="Arial"/>
          <w:b/>
          <w:bCs/>
          <w:color w:val="0A1628"/>
          <w:sz w:val="24"/>
          <w:szCs w:val="24"/>
        </w:rPr>
        <w:t xml:space="preserve">2.2 — Baisse de l'IS a 20 % puis 15 %</w:t>
      </w:r>
    </w:p>
    <w:p>
      <w:pPr>
        <w:spacing w:after="80"/>
      </w:pPr>
      <w:r>
        <w:rPr>
          <w:rFonts w:ascii="Arial" w:cs="Arial" w:eastAsia="Arial" w:hAnsi="Arial"/>
          <w:color w:val="1A2332"/>
          <w:sz w:val="20"/>
          <w:szCs w:val="20"/>
        </w:rPr>
        <w:t xml:space="preserve">Donnees de base (DGFiP 2024) :</w:t>
      </w:r>
    </w:p>
    <w:p>
      <w:pPr>
        <w:pStyle w:val="ListParagraph"/>
        <w:numPr>
          <w:ilvl w:val="0"/>
          <w:numId w:val="{b53-0}"/>
        </w:numPr>
        <w:spacing w:after="80"/>
      </w:pPr>
      <w:r>
        <w:rPr>
          <w:rFonts w:ascii="Arial" w:cs="Arial" w:eastAsia="Arial" w:hAnsi="Arial"/>
          <w:color w:val="1A2332"/>
          <w:sz w:val="22"/>
          <w:szCs w:val="22"/>
        </w:rPr>
        <w:t xml:space="preserve">IS net collecte : 59 Md EUR (IS brut : 69 Md EUR)</w:t>
      </w:r>
    </w:p>
    <w:p>
      <w:pPr>
        <w:pStyle w:val="ListParagraph"/>
        <w:numPr>
          <w:ilvl w:val="0"/>
          <w:numId w:val="{b53-0}"/>
        </w:numPr>
        <w:spacing w:after="80"/>
      </w:pPr>
      <w:r>
        <w:rPr>
          <w:rFonts w:ascii="Arial" w:cs="Arial" w:eastAsia="Arial" w:hAnsi="Arial"/>
          <w:color w:val="1A2332"/>
          <w:sz w:val="22"/>
          <w:szCs w:val="22"/>
        </w:rPr>
        <w:t xml:space="preserve">Resultat fiscal des entreprises 2024 : 172 Md EUR</w:t>
      </w:r>
    </w:p>
    <w:p>
      <w:pPr>
        <w:spacing w:after="120"/>
        <w:jc w:val="both"/>
      </w:pPr>
      <w:r>
        <w:rPr>
          <w:rFonts w:ascii="Arial" w:cs="Arial" w:eastAsia="Arial" w:hAnsi="Arial"/>
          <w:b/>
          <w:bCs/>
          <w:color w:val="1A2332"/>
          <w:sz w:val="20"/>
          <w:szCs w:val="20"/>
        </w:rPr>
        <w:t xml:space="preserve">IS a 25 % (actuel) : </w:t>
      </w:r>
      <w:r>
        <w:rPr>
          <w:rFonts w:ascii="Consolas" w:cs="Consolas" w:eastAsia="Consolas" w:hAnsi="Consolas"/>
          <w:color w:val="6B7B8D"/>
          <w:sz w:val="18"/>
          <w:szCs w:val="18"/>
        </w:rPr>
        <w:t xml:space="preserve">172 Md x 25%</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43 Md EUR (base theorique)</w:t>
      </w:r>
    </w:p>
    <w:p>
      <w:pPr>
        <w:spacing w:after="120"/>
        <w:jc w:val="both"/>
      </w:pPr>
      <w:r>
        <w:rPr>
          <w:rFonts w:ascii="Arial" w:cs="Arial" w:eastAsia="Arial" w:hAnsi="Arial"/>
          <w:b/>
          <w:bCs/>
          <w:color w:val="1A2332"/>
          <w:sz w:val="20"/>
          <w:szCs w:val="20"/>
        </w:rPr>
        <w:t xml:space="preserve">IS a 20 % : </w:t>
      </w:r>
      <w:r>
        <w:rPr>
          <w:rFonts w:ascii="Consolas" w:cs="Consolas" w:eastAsia="Consolas" w:hAnsi="Consolas"/>
          <w:color w:val="6B7B8D"/>
          <w:sz w:val="18"/>
          <w:szCs w:val="18"/>
        </w:rPr>
        <w:t xml:space="preserve">172 Md x 20%</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34,4 Md EUR (soit -8,6 Md)</w:t>
      </w:r>
    </w:p>
    <w:p>
      <w:pPr>
        <w:spacing w:after="120"/>
        <w:jc w:val="both"/>
      </w:pPr>
      <w:r>
        <w:rPr>
          <w:rFonts w:ascii="Arial" w:cs="Arial" w:eastAsia="Arial" w:hAnsi="Arial"/>
          <w:b/>
          <w:bCs/>
          <w:color w:val="1A2332"/>
          <w:sz w:val="20"/>
          <w:szCs w:val="20"/>
        </w:rPr>
        <w:t xml:space="preserve">IS a 15 % : </w:t>
      </w:r>
      <w:r>
        <w:rPr>
          <w:rFonts w:ascii="Consolas" w:cs="Consolas" w:eastAsia="Consolas" w:hAnsi="Consolas"/>
          <w:color w:val="6B7B8D"/>
          <w:sz w:val="18"/>
          <w:szCs w:val="18"/>
        </w:rPr>
        <w:t xml:space="preserve">172 Md x 15%</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25,8 Md EUR (soit -17,2 Md)</w:t>
      </w:r>
    </w:p>
    <w:p>
      <w:pPr>
        <w:spacing w:after="80"/>
      </w:pPr>
      <w:r>
        <w:rPr>
          <w:rFonts w:ascii="Arial" w:cs="Arial" w:eastAsia="Arial" w:hAnsi="Arial"/>
          <w:color w:val="1A2332"/>
          <w:sz w:val="20"/>
          <w:szCs w:val="20"/>
        </w:rPr>
        <w:t xml:space="preserve">Correction effet Laffer : une baisse de l'IS attire des investissements et elargit l'assiette. L'Irlande a 12,5 % collecte plus d'IS en % du PIB que la France a 25 %.</w:t>
      </w:r>
    </w:p>
    <w:p>
      <w:pPr>
        <w:spacing w:after="120"/>
        <w:jc w:val="both"/>
      </w:pPr>
      <w:r>
        <w:rPr>
          <w:rFonts w:ascii="Arial" w:cs="Arial" w:eastAsia="Arial" w:hAnsi="Arial"/>
          <w:b/>
          <w:bCs/>
          <w:color w:val="1A2332"/>
          <w:sz w:val="20"/>
          <w:szCs w:val="20"/>
        </w:rPr>
        <w:t xml:space="preserve">Hypothese prudente IS a 20% : </w:t>
      </w:r>
      <w:r>
        <w:rPr>
          <w:rFonts w:ascii="Consolas" w:cs="Consolas" w:eastAsia="Consolas" w:hAnsi="Consolas"/>
          <w:color w:val="6B7B8D"/>
          <w:sz w:val="18"/>
          <w:szCs w:val="18"/>
        </w:rPr>
        <w:t xml:space="preserve">Cout brut -8,6 Md x 0,6 (correction assiette)</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Cout net ~-5 Md EUR</w:t>
      </w:r>
    </w:p>
    <w:p>
      <w:pPr>
        <w:spacing w:after="60"/>
      </w:pPr>
      <w:r>
        <w:rPr>
          <w:rFonts w:ascii="Arial" w:cs="Arial" w:eastAsia="Arial" w:hAnsi="Arial"/>
          <w:i/>
          <w:iCs/>
          <w:color w:val="6B7B8D"/>
          <w:sz w:val="18"/>
          <w:szCs w:val="18"/>
        </w:rPr>
        <w:t xml:space="preserve">Source : DGFiP — Impot sur le benefice 2024 des entreprises ; OCDE — Revenue Statistics</w:t>
      </w:r>
    </w:p>
    <w:p>
      <w:pPr>
        <w:spacing w:before="200" w:after="100"/>
      </w:pPr>
      <w:r>
        <w:rPr>
          <w:rFonts w:ascii="Arial" w:cs="Arial" w:eastAsia="Arial" w:hAnsi="Arial"/>
          <w:b/>
          <w:bCs/>
          <w:color w:val="0A1628"/>
          <w:sz w:val="24"/>
          <w:szCs w:val="24"/>
        </w:rPr>
        <w:t xml:space="preserve">2.3 — Suppression des impots de production</w:t>
      </w:r>
    </w:p>
    <w:p>
      <w:pPr>
        <w:spacing w:after="80"/>
      </w:pPr>
      <w:r>
        <w:rPr>
          <w:rFonts w:ascii="Arial" w:cs="Arial" w:eastAsia="Arial" w:hAnsi="Arial"/>
          <w:color w:val="1A2332"/>
          <w:sz w:val="20"/>
          <w:szCs w:val="20"/>
        </w:rPr>
        <w:t xml:space="preserve">Donnees de base (Institut Montaigne 2024 / DGFiP)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Impot</w:t>
            </w:r>
          </w:p>
        </w:tc>
        <w:tc>
          <w:tcPr>
            <w:tcW w:type="dxa" w:w="28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Recettes 2024</w:t>
            </w:r>
          </w:p>
        </w:tc>
        <w:tc>
          <w:tcPr>
            <w:tcW w:type="dxa" w:w="30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Equivalant allemand</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CVAE</w:t>
            </w:r>
          </w:p>
        </w:tc>
        <w:tc>
          <w:tcPr>
            <w:tcW w:type="dxa" w:w="28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3,9 Md EUR (suppression 2030)</w:t>
            </w:r>
          </w:p>
        </w:tc>
        <w:tc>
          <w:tcPr>
            <w:tcW w:type="dxa" w:w="30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0</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C3S</w:t>
            </w:r>
          </w:p>
        </w:tc>
        <w:tc>
          <w:tcPr>
            <w:tcW w:type="dxa" w:w="28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5,1 Md EUR</w:t>
            </w:r>
          </w:p>
        </w:tc>
        <w:tc>
          <w:tcPr>
            <w:tcW w:type="dxa" w:w="30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0</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CFE</w:t>
            </w:r>
          </w:p>
        </w:tc>
        <w:tc>
          <w:tcPr>
            <w:tcW w:type="dxa" w:w="28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~11 Md EUR</w:t>
            </w:r>
          </w:p>
        </w:tc>
        <w:tc>
          <w:tcPr>
            <w:tcW w:type="dxa" w:w="30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~4 Md (Gewerbesteuer partiel)</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Taxe sur salaires</w:t>
            </w:r>
          </w:p>
        </w:tc>
        <w:tc>
          <w:tcPr>
            <w:tcW w:type="dxa" w:w="28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~6 Md EUR</w:t>
            </w:r>
          </w:p>
        </w:tc>
        <w:tc>
          <w:tcPr>
            <w:tcW w:type="dxa" w:w="30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0</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Autres impots de production</w:t>
            </w:r>
          </w:p>
        </w:tc>
        <w:tc>
          <w:tcPr>
            <w:tcW w:type="dxa" w:w="28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~79 Md EUR</w:t>
            </w:r>
          </w:p>
        </w:tc>
        <w:tc>
          <w:tcPr>
            <w:tcW w:type="dxa" w:w="30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~25 Md EUR</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TOTAL France</w:t>
            </w:r>
          </w:p>
        </w:tc>
        <w:tc>
          <w:tcPr>
            <w:tcW w:type="dxa" w:w="28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~105 Md EUR (4,4% PIB)</w:t>
            </w:r>
          </w:p>
        </w:tc>
        <w:tc>
          <w:tcPr>
            <w:tcW w:type="dxa" w:w="30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~29 Md EUR Allemagne (1% PIB)</w:t>
            </w:r>
          </w:p>
        </w:tc>
      </w:tr>
    </w:tbl>
    <w:p>
      <w:pPr>
        <w:spacing w:after="120"/>
        <w:jc w:val="both"/>
      </w:pPr>
      <w:r>
        <w:rPr>
          <w:rFonts w:ascii="Arial" w:cs="Arial" w:eastAsia="Arial" w:hAnsi="Arial"/>
          <w:b/>
          <w:bCs/>
          <w:color w:val="1A2332"/>
          <w:sz w:val="20"/>
          <w:szCs w:val="20"/>
        </w:rPr>
        <w:t xml:space="preserve">Objectif : diviser par 2 en 5 ans : </w:t>
      </w:r>
      <w:r>
        <w:rPr>
          <w:rFonts w:ascii="Consolas" w:cs="Consolas" w:eastAsia="Consolas" w:hAnsi="Consolas"/>
          <w:color w:val="6B7B8D"/>
          <w:sz w:val="18"/>
          <w:szCs w:val="18"/>
        </w:rPr>
        <w:t xml:space="preserve">105 Md x 50%</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~52 Md EUR de charges en moins pour les entreprises</w:t>
      </w:r>
    </w:p>
    <w:p>
      <w:pPr>
        <w:spacing w:after="80"/>
      </w:pPr>
      <w:r>
        <w:rPr>
          <w:rFonts w:ascii="Arial" w:cs="Arial" w:eastAsia="Arial" w:hAnsi="Arial"/>
          <w:color w:val="1A2332"/>
          <w:sz w:val="20"/>
          <w:szCs w:val="20"/>
        </w:rPr>
        <w:t xml:space="preserve">Mais l'Etat ne finance pas la totalite : une partie est compense par les collectivites (CVAE compensee, CFE locale).</w:t>
      </w:r>
    </w:p>
    <w:p>
      <w:pPr>
        <w:spacing w:after="120"/>
        <w:jc w:val="both"/>
      </w:pPr>
      <w:r>
        <w:rPr>
          <w:rFonts w:ascii="Arial" w:cs="Arial" w:eastAsia="Arial" w:hAnsi="Arial"/>
          <w:b/>
          <w:bCs/>
          <w:color w:val="1A2332"/>
          <w:sz w:val="20"/>
          <w:szCs w:val="20"/>
        </w:rPr>
        <w:t xml:space="preserve">Cout net pour le budget de l'Etat : </w:t>
      </w:r>
      <w:r>
        <w:rPr>
          <w:rFonts w:ascii="Consolas" w:cs="Consolas" w:eastAsia="Consolas" w:hAnsi="Consolas"/>
          <w:color w:val="6B7B8D"/>
          <w:sz w:val="18"/>
          <w:szCs w:val="18"/>
        </w:rPr>
        <w:t xml:space="preserve">~30 Md EUR (part Etat des impots de production)</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30 Md EUR brut</w:t>
      </w:r>
    </w:p>
    <w:p>
      <w:pPr>
        <w:spacing w:after="80"/>
      </w:pPr>
      <w:r>
        <w:rPr>
          <w:rFonts w:ascii="Arial" w:cs="Arial" w:eastAsia="Arial" w:hAnsi="Arial"/>
          <w:color w:val="1A2332"/>
          <w:sz w:val="20"/>
          <w:szCs w:val="20"/>
        </w:rPr>
        <w:t xml:space="preserve">Montee en charge : -6 Md/an pendant 5 ans. Le surcroit de competitivite genere de la croissance et des recettes fiscales additionnelles.</w:t>
      </w:r>
    </w:p>
    <w:p>
      <w:pPr>
        <w:spacing w:after="60"/>
      </w:pPr>
      <w:r>
        <w:rPr>
          <w:rFonts w:ascii="Arial" w:cs="Arial" w:eastAsia="Arial" w:hAnsi="Arial"/>
          <w:i/>
          <w:iCs/>
          <w:color w:val="6B7B8D"/>
          <w:sz w:val="18"/>
          <w:szCs w:val="18"/>
        </w:rPr>
        <w:t xml:space="preserve">Source : Institut Montaigne — Barometre europeen impots production 2024 ; FIPECO</w:t>
      </w:r>
    </w:p>
    <w:p>
      <w:pPr>
        <w:spacing w:before="200" w:after="100"/>
      </w:pPr>
      <w:r>
        <w:rPr>
          <w:rFonts w:ascii="Arial" w:cs="Arial" w:eastAsia="Arial" w:hAnsi="Arial"/>
          <w:b/>
          <w:bCs/>
          <w:color w:val="0A1628"/>
          <w:sz w:val="24"/>
          <w:szCs w:val="24"/>
        </w:rPr>
        <w:t xml:space="preserve">2.4 — Suppression de l'IFI</w:t>
      </w:r>
    </w:p>
    <w:p>
      <w:pPr>
        <w:spacing w:after="120"/>
        <w:jc w:val="both"/>
      </w:pPr>
      <w:r>
        <w:rPr>
          <w:rFonts w:ascii="Arial" w:cs="Arial" w:eastAsia="Arial" w:hAnsi="Arial"/>
          <w:b/>
          <w:bCs/>
          <w:color w:val="1A2332"/>
          <w:sz w:val="20"/>
          <w:szCs w:val="20"/>
        </w:rPr>
        <w:t xml:space="preserve">Rendement IFI 2024 : </w:t>
      </w:r>
      <w:r>
        <w:rPr>
          <w:rFonts w:ascii="Consolas" w:cs="Consolas" w:eastAsia="Consolas" w:hAnsi="Consolas"/>
          <w:color w:val="6B7B8D"/>
          <w:sz w:val="18"/>
          <w:szCs w:val="18"/>
        </w:rPr>
        <w:t xml:space="preserve">186 000 foyers x 11 800 EUR moyen</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2,2 Md EUR</w:t>
      </w:r>
    </w:p>
    <w:p>
      <w:pPr>
        <w:spacing w:after="80"/>
      </w:pPr>
      <w:r>
        <w:rPr>
          <w:rFonts w:ascii="Arial" w:cs="Arial" w:eastAsia="Arial" w:hAnsi="Arial"/>
          <w:color w:val="1A2332"/>
          <w:sz w:val="20"/>
          <w:szCs w:val="20"/>
        </w:rPr>
        <w:t xml:space="preserve">Comparaison : l'ancien ISF rapportait 4,2 Md EUR mais pesait sur l'investissement. L'IFI genere ~200 M EUR/an de couts de gestion et de contentieux (DGFiP).</w:t>
      </w:r>
    </w:p>
    <w:p>
      <w:pPr>
        <w:spacing w:after="120"/>
        <w:jc w:val="both"/>
      </w:pPr>
      <w:r>
        <w:rPr>
          <w:rFonts w:ascii="Arial" w:cs="Arial" w:eastAsia="Arial" w:hAnsi="Arial"/>
          <w:b/>
          <w:bCs/>
          <w:color w:val="1A2332"/>
          <w:sz w:val="20"/>
          <w:szCs w:val="20"/>
        </w:rPr>
        <w:t xml:space="preserve">Cout net suppression IFI : </w:t>
      </w:r>
      <w:r>
        <w:rPr>
          <w:rFonts w:ascii="Consolas" w:cs="Consolas" w:eastAsia="Consolas" w:hAnsi="Consolas"/>
          <w:color w:val="6B7B8D"/>
          <w:sz w:val="18"/>
          <w:szCs w:val="18"/>
        </w:rPr>
        <w:t xml:space="preserve">2,2 Md - 0,2 Md (couts evites)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~2 Md EUR</w:t>
      </w:r>
    </w:p>
    <w:p>
      <w:pPr>
        <w:spacing w:after="60"/>
      </w:pPr>
      <w:r>
        <w:rPr>
          <w:rFonts w:ascii="Arial" w:cs="Arial" w:eastAsia="Arial" w:hAnsi="Arial"/>
          <w:i/>
          <w:iCs/>
          <w:color w:val="6B7B8D"/>
          <w:sz w:val="18"/>
          <w:szCs w:val="18"/>
        </w:rPr>
        <w:t xml:space="preserve">Source : Public Senat — Budget 2026 et reforme IFI ; DGFiP</w:t>
      </w:r>
    </w:p>
    <w:p>
      <w:r>
        <w:br w:type="page"/>
      </w:r>
    </w:p>
    <w:p>
      <w:pPr>
        <w:pStyle w:val="Heading2"/>
        <w:spacing w:before="300" w:after="150"/>
      </w:pPr>
      <w:r>
        <w:rPr>
          <w:rFonts w:ascii="Georgia" w:cs="Georgia" w:eastAsia="Georgia" w:hAnsi="Georgia"/>
          <w:b/>
          <w:bCs/>
          <w:color w:val="0099BB"/>
          <w:sz w:val="28"/>
          <w:szCs w:val="28"/>
        </w:rPr>
        <w:t xml:space="preserve">A3. Emploi &amp; marche du travail</w:t>
      </w:r>
    </w:p>
    <w:p>
      <w:pPr>
        <w:spacing w:before="200" w:after="100"/>
      </w:pPr>
      <w:r>
        <w:rPr>
          <w:rFonts w:ascii="Arial" w:cs="Arial" w:eastAsia="Arial" w:hAnsi="Arial"/>
          <w:b/>
          <w:bCs/>
          <w:color w:val="0A1628"/>
          <w:sz w:val="24"/>
          <w:szCs w:val="24"/>
        </w:rPr>
        <w:t xml:space="preserve">3.2 — Zero charges &lt; 1,3 SMIC</w:t>
      </w:r>
    </w:p>
    <w:p>
      <w:pPr>
        <w:spacing w:after="80"/>
      </w:pPr>
      <w:r>
        <w:rPr>
          <w:rFonts w:ascii="Arial" w:cs="Arial" w:eastAsia="Arial" w:hAnsi="Arial"/>
          <w:color w:val="1A2332"/>
          <w:sz w:val="20"/>
          <w:szCs w:val="20"/>
        </w:rPr>
        <w:t xml:space="preserve">Donnees de base :</w:t>
      </w:r>
    </w:p>
    <w:p>
      <w:pPr>
        <w:pStyle w:val="ListParagraph"/>
        <w:numPr>
          <w:ilvl w:val="0"/>
          <w:numId w:val="{b54-0}"/>
        </w:numPr>
        <w:spacing w:after="80"/>
      </w:pPr>
      <w:r>
        <w:rPr>
          <w:rFonts w:ascii="Arial" w:cs="Arial" w:eastAsia="Arial" w:hAnsi="Arial"/>
          <w:color w:val="1A2332"/>
          <w:sz w:val="22"/>
          <w:szCs w:val="22"/>
        </w:rPr>
        <w:t xml:space="preserve">Le SMIC brut mensuel est de ~1 767 EUR (2024). A 1,3 SMIC = 2 297 EUR.</w:t>
      </w:r>
    </w:p>
    <w:p>
      <w:pPr>
        <w:pStyle w:val="ListParagraph"/>
        <w:numPr>
          <w:ilvl w:val="0"/>
          <w:numId w:val="{b54-0}"/>
        </w:numPr>
        <w:spacing w:after="80"/>
      </w:pPr>
      <w:r>
        <w:rPr>
          <w:rFonts w:ascii="Arial" w:cs="Arial" w:eastAsia="Arial" w:hAnsi="Arial"/>
          <w:color w:val="1A2332"/>
          <w:sz w:val="22"/>
          <w:szCs w:val="22"/>
        </w:rPr>
        <w:t xml:space="preserve">~5 millions de salaries entre 1 et 1,3 SMIC</w:t>
      </w:r>
    </w:p>
    <w:p>
      <w:pPr>
        <w:pStyle w:val="ListParagraph"/>
        <w:numPr>
          <w:ilvl w:val="0"/>
          <w:numId w:val="{b54-0}"/>
        </w:numPr>
        <w:spacing w:after="80"/>
      </w:pPr>
      <w:r>
        <w:rPr>
          <w:rFonts w:ascii="Arial" w:cs="Arial" w:eastAsia="Arial" w:hAnsi="Arial"/>
          <w:color w:val="1A2332"/>
          <w:sz w:val="22"/>
          <w:szCs w:val="22"/>
        </w:rPr>
        <w:t xml:space="preserve">Charges patronales residuelles apres allegements actuels : ~5 a 10 % du brut</w:t>
      </w:r>
    </w:p>
    <w:p>
      <w:pPr>
        <w:spacing w:after="120"/>
        <w:jc w:val="both"/>
      </w:pPr>
      <w:r>
        <w:rPr>
          <w:rFonts w:ascii="Arial" w:cs="Arial" w:eastAsia="Arial" w:hAnsi="Arial"/>
          <w:b/>
          <w:bCs/>
          <w:color w:val="1A2332"/>
          <w:sz w:val="20"/>
          <w:szCs w:val="20"/>
        </w:rPr>
        <w:t xml:space="preserve">Cout des charges restantes sur ce segment : </w:t>
      </w:r>
      <w:r>
        <w:rPr>
          <w:rFonts w:ascii="Consolas" w:cs="Consolas" w:eastAsia="Consolas" w:hAnsi="Consolas"/>
          <w:color w:val="6B7B8D"/>
          <w:sz w:val="18"/>
          <w:szCs w:val="18"/>
        </w:rPr>
        <w:t xml:space="preserve">5M salaries x 2 000 EUR brut x 7% x 12 mois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~8,4 Md EUR/an</w:t>
      </w:r>
    </w:p>
    <w:p>
      <w:pPr>
        <w:spacing w:after="80"/>
      </w:pPr>
      <w:r>
        <w:rPr>
          <w:rFonts w:ascii="Arial" w:cs="Arial" w:eastAsia="Arial" w:hAnsi="Arial"/>
          <w:color w:val="1A2332"/>
          <w:sz w:val="20"/>
          <w:szCs w:val="20"/>
        </w:rPr>
        <w:t xml:space="preserve">Les allegements Fillon couvrent deja ~70 % des charges. Le cout supplementaire pour passer a zero :</w:t>
      </w:r>
    </w:p>
    <w:p>
      <w:pPr>
        <w:spacing w:after="120"/>
        <w:jc w:val="both"/>
      </w:pPr>
      <w:r>
        <w:rPr>
          <w:rFonts w:ascii="Arial" w:cs="Arial" w:eastAsia="Arial" w:hAnsi="Arial"/>
          <w:b/>
          <w:bCs/>
          <w:color w:val="1A2332"/>
          <w:sz w:val="20"/>
          <w:szCs w:val="20"/>
        </w:rPr>
        <w:t xml:space="preserve">Surcout : </w:t>
      </w:r>
      <w:r>
        <w:rPr>
          <w:rFonts w:ascii="Consolas" w:cs="Consolas" w:eastAsia="Consolas" w:hAnsi="Consolas"/>
          <w:color w:val="6B7B8D"/>
          <w:sz w:val="18"/>
          <w:szCs w:val="18"/>
        </w:rPr>
        <w:t xml:space="preserve">8,4 Md x 30% (part non couverte)</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~2,5 Md EUR/an</w:t>
      </w:r>
    </w:p>
    <w:p>
      <w:pPr>
        <w:spacing w:after="80"/>
      </w:pPr>
      <w:r>
        <w:rPr>
          <w:rFonts w:ascii="Arial" w:cs="Arial" w:eastAsia="Arial" w:hAnsi="Arial"/>
          <w:color w:val="1A2332"/>
          <w:sz w:val="20"/>
          <w:szCs w:val="20"/>
        </w:rPr>
        <w:t xml:space="preserve">Hypothese retenue elargie (incluant extension du perimetre) : ~5 Md EUR/an</w:t>
      </w:r>
    </w:p>
    <w:p>
      <w:pPr>
        <w:spacing w:after="60"/>
      </w:pPr>
      <w:r>
        <w:rPr>
          <w:rFonts w:ascii="Arial" w:cs="Arial" w:eastAsia="Arial" w:hAnsi="Arial"/>
          <w:i/>
          <w:iCs/>
          <w:color w:val="6B7B8D"/>
          <w:sz w:val="18"/>
          <w:szCs w:val="18"/>
        </w:rPr>
        <w:t xml:space="preserve">Source : URSSAF/ACOSS 2024 ; DGFiP — Allegements generaux</w:t>
      </w:r>
    </w:p>
    <w:p>
      <w:pPr>
        <w:spacing w:before="200" w:after="100"/>
      </w:pPr>
      <w:r>
        <w:rPr>
          <w:rFonts w:ascii="Arial" w:cs="Arial" w:eastAsia="Arial" w:hAnsi="Arial"/>
          <w:b/>
          <w:bCs/>
          <w:color w:val="0A1628"/>
          <w:sz w:val="24"/>
          <w:szCs w:val="24"/>
        </w:rPr>
        <w:t xml:space="preserve">3.4 — Reforme assurance chomage</w:t>
      </w:r>
    </w:p>
    <w:p>
      <w:pPr>
        <w:spacing w:after="80"/>
      </w:pPr>
      <w:r>
        <w:rPr>
          <w:rFonts w:ascii="Arial" w:cs="Arial" w:eastAsia="Arial" w:hAnsi="Arial"/>
          <w:color w:val="1A2332"/>
          <w:sz w:val="20"/>
          <w:szCs w:val="20"/>
        </w:rPr>
        <w:t xml:space="preserve">Donnees de base (Unedic novembre 2024) :</w:t>
      </w:r>
    </w:p>
    <w:p>
      <w:pPr>
        <w:pStyle w:val="ListParagraph"/>
        <w:numPr>
          <w:ilvl w:val="0"/>
          <w:numId w:val="{b55-0}"/>
        </w:numPr>
        <w:spacing w:after="80"/>
      </w:pPr>
      <w:r>
        <w:rPr>
          <w:rFonts w:ascii="Arial" w:cs="Arial" w:eastAsia="Arial" w:hAnsi="Arial"/>
          <w:color w:val="1A2332"/>
          <w:sz w:val="22"/>
          <w:szCs w:val="22"/>
        </w:rPr>
        <w:t xml:space="preserve">Allocations chomage (ARE) : 37 Md EUR/an</w:t>
      </w:r>
    </w:p>
    <w:p>
      <w:pPr>
        <w:pStyle w:val="ListParagraph"/>
        <w:numPr>
          <w:ilvl w:val="0"/>
          <w:numId w:val="{b55-0}"/>
        </w:numPr>
        <w:spacing w:after="80"/>
      </w:pPr>
      <w:r>
        <w:rPr>
          <w:rFonts w:ascii="Arial" w:cs="Arial" w:eastAsia="Arial" w:hAnsi="Arial"/>
          <w:color w:val="1A2332"/>
          <w:sz w:val="22"/>
          <w:szCs w:val="22"/>
        </w:rPr>
        <w:t xml:space="preserve">~2,5 millions d'allocataires, allocation moyenne ~1 480 EUR/mois</w:t>
      </w:r>
    </w:p>
    <w:p>
      <w:pPr>
        <w:pStyle w:val="ListParagraph"/>
        <w:numPr>
          <w:ilvl w:val="0"/>
          <w:numId w:val="{b55-0}"/>
        </w:numPr>
        <w:spacing w:after="80"/>
      </w:pPr>
      <w:r>
        <w:rPr>
          <w:rFonts w:ascii="Arial" w:cs="Arial" w:eastAsia="Arial" w:hAnsi="Arial"/>
          <w:color w:val="1A2332"/>
          <w:sz w:val="22"/>
          <w:szCs w:val="22"/>
        </w:rPr>
        <w:t xml:space="preserve">Duree moyenne d'indemnisation : 8-10 mois</w:t>
      </w:r>
    </w:p>
    <w:p>
      <w:pPr>
        <w:spacing w:after="80"/>
      </w:pPr>
      <w:r>
        <w:rPr>
          <w:rFonts w:ascii="Arial" w:cs="Arial" w:eastAsia="Arial" w:hAnsi="Arial"/>
          <w:color w:val="1A2332"/>
          <w:sz w:val="20"/>
          <w:szCs w:val="20"/>
        </w:rPr>
        <w:t xml:space="preserve">Mesure 1 : Duree max 18 mois (vs 24)</w:t>
      </w:r>
    </w:p>
    <w:p>
      <w:pPr>
        <w:spacing w:after="120"/>
        <w:jc w:val="both"/>
      </w:pPr>
      <w:r>
        <w:rPr>
          <w:rFonts w:ascii="Arial" w:cs="Arial" w:eastAsia="Arial" w:hAnsi="Arial"/>
          <w:b/>
          <w:bCs/>
          <w:color w:val="1A2332"/>
          <w:sz w:val="20"/>
          <w:szCs w:val="20"/>
        </w:rPr>
        <w:t xml:space="preserve">Economies sur les allocataires &gt; 18 mois : </w:t>
      </w:r>
      <w:r>
        <w:rPr>
          <w:rFonts w:ascii="Consolas" w:cs="Consolas" w:eastAsia="Consolas" w:hAnsi="Consolas"/>
          <w:color w:val="6B7B8D"/>
          <w:sz w:val="18"/>
          <w:szCs w:val="18"/>
        </w:rPr>
        <w:t xml:space="preserve">~350 000 personnes x 1 480 EUR x 6 mois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~3,1 Md EUR/an</w:t>
      </w:r>
    </w:p>
    <w:p>
      <w:pPr>
        <w:spacing w:after="80"/>
      </w:pPr>
      <w:r>
        <w:rPr>
          <w:rFonts w:ascii="Arial" w:cs="Arial" w:eastAsia="Arial" w:hAnsi="Arial"/>
          <w:color w:val="1A2332"/>
          <w:sz w:val="20"/>
          <w:szCs w:val="20"/>
        </w:rPr>
        <w:t xml:space="preserve">Mesure 2 : Degressivite -25 % apres 6 mois</w:t>
      </w:r>
    </w:p>
    <w:p>
      <w:pPr>
        <w:spacing w:after="120"/>
        <w:jc w:val="both"/>
      </w:pPr>
      <w:r>
        <w:rPr>
          <w:rFonts w:ascii="Arial" w:cs="Arial" w:eastAsia="Arial" w:hAnsi="Arial"/>
          <w:b/>
          <w:bCs/>
          <w:color w:val="1A2332"/>
          <w:sz w:val="20"/>
          <w:szCs w:val="20"/>
        </w:rPr>
        <w:t xml:space="preserve">Economies : </w:t>
      </w:r>
      <w:r>
        <w:rPr>
          <w:rFonts w:ascii="Consolas" w:cs="Consolas" w:eastAsia="Consolas" w:hAnsi="Consolas"/>
          <w:color w:val="6B7B8D"/>
          <w:sz w:val="18"/>
          <w:szCs w:val="18"/>
        </w:rPr>
        <w:t xml:space="preserve">1,5M allocataires &gt; 6 mois x 370 EUR/mois x 6 mois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~3,3 Md EUR/an</w:t>
      </w:r>
    </w:p>
    <w:p>
      <w:pPr>
        <w:spacing w:after="80"/>
      </w:pPr>
      <w:r>
        <w:rPr>
          <w:rFonts w:ascii="Arial" w:cs="Arial" w:eastAsia="Arial" w:hAnsi="Arial"/>
          <w:color w:val="1A2332"/>
          <w:sz w:val="20"/>
          <w:szCs w:val="20"/>
        </w:rPr>
        <w:t xml:space="preserve">Effet net (une partie des economies est absorbee par l'accompagnement renforce) :</w:t>
      </w:r>
    </w:p>
    <w:p>
      <w:pPr>
        <w:spacing w:after="120"/>
        <w:jc w:val="both"/>
      </w:pPr>
      <w:r>
        <w:rPr>
          <w:rFonts w:ascii="Arial" w:cs="Arial" w:eastAsia="Arial" w:hAnsi="Arial"/>
          <w:b/>
          <w:bCs/>
          <w:color w:val="1A2332"/>
          <w:sz w:val="20"/>
          <w:szCs w:val="20"/>
        </w:rPr>
        <w:t xml:space="preserve">Hypothese retenue : </w:t>
      </w:r>
      <w:r>
        <w:rPr>
          <w:rFonts w:ascii="Consolas" w:cs="Consolas" w:eastAsia="Consolas" w:hAnsi="Consolas"/>
          <w:color w:val="6B7B8D"/>
          <w:sz w:val="18"/>
          <w:szCs w:val="18"/>
        </w:rPr>
        <w:t xml:space="preserve">(3,1 + 3,3) x 60%</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~3,8 Md EUR/an</w:t>
      </w:r>
    </w:p>
    <w:p>
      <w:pPr>
        <w:spacing w:after="60"/>
      </w:pPr>
      <w:r>
        <w:rPr>
          <w:rFonts w:ascii="Arial" w:cs="Arial" w:eastAsia="Arial" w:hAnsi="Arial"/>
          <w:i/>
          <w:iCs/>
          <w:color w:val="6B7B8D"/>
          <w:sz w:val="18"/>
          <w:szCs w:val="18"/>
        </w:rPr>
        <w:t xml:space="preserve">Source : Unedic — Indicateurs novembre 2024 ; France Travail</w:t>
      </w:r>
    </w:p>
    <w:p>
      <w:r>
        <w:br w:type="page"/>
      </w:r>
    </w:p>
    <w:p>
      <w:pPr>
        <w:pStyle w:val="Heading2"/>
        <w:spacing w:before="300" w:after="150"/>
      </w:pPr>
      <w:r>
        <w:rPr>
          <w:rFonts w:ascii="Georgia" w:cs="Georgia" w:eastAsia="Georgia" w:hAnsi="Georgia"/>
          <w:b/>
          <w:bCs/>
          <w:color w:val="0099BB"/>
          <w:sz w:val="28"/>
          <w:szCs w:val="28"/>
        </w:rPr>
        <w:t xml:space="preserve">A4. Retraites</w:t>
      </w:r>
    </w:p>
    <w:p>
      <w:pPr>
        <w:spacing w:before="200" w:after="100"/>
      </w:pPr>
      <w:r>
        <w:rPr>
          <w:rFonts w:ascii="Arial" w:cs="Arial" w:eastAsia="Arial" w:hAnsi="Arial"/>
          <w:b/>
          <w:bCs/>
          <w:color w:val="0A1628"/>
          <w:sz w:val="24"/>
          <w:szCs w:val="24"/>
        </w:rPr>
        <w:t xml:space="preserve">4.1 — Recul de l'age legal a 65 ans</w:t>
      </w:r>
    </w:p>
    <w:p>
      <w:pPr>
        <w:spacing w:after="80"/>
      </w:pPr>
      <w:r>
        <w:rPr>
          <w:rFonts w:ascii="Arial" w:cs="Arial" w:eastAsia="Arial" w:hAnsi="Arial"/>
          <w:color w:val="1A2332"/>
          <w:sz w:val="20"/>
          <w:szCs w:val="20"/>
        </w:rPr>
        <w:t xml:space="preserve">Donnees de base (COR Rapport 2025 / France Info) :</w:t>
      </w:r>
    </w:p>
    <w:p>
      <w:pPr>
        <w:pStyle w:val="ListParagraph"/>
        <w:numPr>
          <w:ilvl w:val="0"/>
          <w:numId w:val="{b56-0}"/>
        </w:numPr>
        <w:spacing w:after="80"/>
      </w:pPr>
      <w:r>
        <w:rPr>
          <w:rFonts w:ascii="Arial" w:cs="Arial" w:eastAsia="Arial" w:hAnsi="Arial"/>
          <w:color w:val="1A2332"/>
          <w:sz w:val="22"/>
          <w:szCs w:val="22"/>
        </w:rPr>
        <w:t xml:space="preserve">La reforme 2023 (62 a 64 ans) genere +8 a 12 Md EUR d'economies d'ici 2027</w:t>
      </w:r>
    </w:p>
    <w:p>
      <w:pPr>
        <w:pStyle w:val="ListParagraph"/>
        <w:numPr>
          <w:ilvl w:val="0"/>
          <w:numId w:val="{b56-0}"/>
        </w:numPr>
        <w:spacing w:after="80"/>
      </w:pPr>
      <w:r>
        <w:rPr>
          <w:rFonts w:ascii="Arial" w:cs="Arial" w:eastAsia="Arial" w:hAnsi="Arial"/>
          <w:color w:val="1A2332"/>
          <w:sz w:val="22"/>
          <w:szCs w:val="22"/>
        </w:rPr>
        <w:t xml:space="preserve">Chaque annee supplementaire de recul = ~0,5 point de PIB = ~14 Md EUR</w:t>
      </w:r>
    </w:p>
    <w:p>
      <w:pPr>
        <w:spacing w:after="120"/>
        <w:jc w:val="both"/>
      </w:pPr>
      <w:r>
        <w:rPr>
          <w:rFonts w:ascii="Arial" w:cs="Arial" w:eastAsia="Arial" w:hAnsi="Arial"/>
          <w:b/>
          <w:bCs/>
          <w:color w:val="1A2332"/>
          <w:sz w:val="20"/>
          <w:szCs w:val="20"/>
        </w:rPr>
        <w:t xml:space="preserve">Passage de 64 a 65 ans : </w:t>
      </w:r>
      <w:r>
        <w:rPr>
          <w:rFonts w:ascii="Consolas" w:cs="Consolas" w:eastAsia="Consolas" w:hAnsi="Consolas"/>
          <w:color w:val="6B7B8D"/>
          <w:sz w:val="18"/>
          <w:szCs w:val="18"/>
        </w:rPr>
        <w:t xml:space="preserve">~14 Md EUR x 0,5 (un an seulement)</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~7 Md EUR/an supplementaires</w:t>
      </w:r>
    </w:p>
    <w:p>
      <w:pPr>
        <w:spacing w:after="80"/>
      </w:pPr>
      <w:r>
        <w:rPr>
          <w:rFonts w:ascii="Arial" w:cs="Arial" w:eastAsia="Arial" w:hAnsi="Arial"/>
          <w:color w:val="1A2332"/>
          <w:sz w:val="20"/>
          <w:szCs w:val="20"/>
        </w:rPr>
        <w:t xml:space="preserve">Montee en charge progressive (+4 mois/an a partir de 2028) :</w:t>
      </w:r>
    </w:p>
    <w:p>
      <w:pPr>
        <w:spacing w:after="120"/>
        <w:jc w:val="both"/>
      </w:pPr>
      <w:r>
        <w:rPr>
          <w:rFonts w:ascii="Arial" w:cs="Arial" w:eastAsia="Arial" w:hAnsi="Arial"/>
          <w:b/>
          <w:bCs/>
          <w:color w:val="1A2332"/>
          <w:sz w:val="20"/>
          <w:szCs w:val="20"/>
        </w:rPr>
        <w:t xml:space="preserve">Impact cumule a horizon 2032 (4 ans de recul effectif) : </w:t>
      </w:r>
      <w:r>
        <w:rPr>
          <w:rFonts w:ascii="Consolas" w:cs="Consolas" w:eastAsia="Consolas" w:hAnsi="Consolas"/>
          <w:color w:val="6B7B8D"/>
          <w:sz w:val="18"/>
          <w:szCs w:val="18"/>
        </w:rPr>
        <w:t xml:space="preserve">7 Md x 4/3 (acceleration)</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~10 Md EUR/an en regime de croisiere</w:t>
      </w:r>
    </w:p>
    <w:p>
      <w:pPr>
        <w:spacing w:after="80"/>
      </w:pPr>
      <w:r>
        <w:rPr>
          <w:rFonts w:ascii="Arial" w:cs="Arial" w:eastAsia="Arial" w:hAnsi="Arial"/>
          <w:color w:val="1A2332"/>
          <w:sz w:val="20"/>
          <w:szCs w:val="20"/>
        </w:rPr>
        <w:t xml:space="preserve">En ajoutant les economies de la reforme 2023 deja en cours :</w:t>
      </w:r>
    </w:p>
    <w:p>
      <w:pPr>
        <w:spacing w:after="120"/>
        <w:jc w:val="both"/>
      </w:pPr>
      <w:r>
        <w:rPr>
          <w:rFonts w:ascii="Arial" w:cs="Arial" w:eastAsia="Arial" w:hAnsi="Arial"/>
          <w:b/>
          <w:bCs/>
          <w:color w:val="1A2332"/>
          <w:sz w:val="20"/>
          <w:szCs w:val="20"/>
        </w:rPr>
        <w:t xml:space="preserve">Total a terme (65 ans effectif) : </w:t>
      </w:r>
      <w:r>
        <w:rPr>
          <w:rFonts w:ascii="Consolas" w:cs="Consolas" w:eastAsia="Consolas" w:hAnsi="Consolas"/>
          <w:color w:val="6B7B8D"/>
          <w:sz w:val="18"/>
          <w:szCs w:val="18"/>
        </w:rPr>
        <w:t xml:space="preserve">10 Md + 8 Md (reforme 2023)</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~18 Md EUR/an</w:t>
      </w:r>
    </w:p>
    <w:p>
      <w:pPr>
        <w:spacing w:after="60"/>
      </w:pPr>
      <w:r>
        <w:rPr>
          <w:rFonts w:ascii="Arial" w:cs="Arial" w:eastAsia="Arial" w:hAnsi="Arial"/>
          <w:i/>
          <w:iCs/>
          <w:color w:val="6B7B8D"/>
          <w:sz w:val="18"/>
          <w:szCs w:val="18"/>
        </w:rPr>
        <w:t xml:space="preserve">Source : COR Rapport annuel 2025 ; France Info — Estimations COR</w:t>
      </w:r>
    </w:p>
    <w:p>
      <w:pPr>
        <w:spacing w:before="200" w:after="100"/>
      </w:pPr>
      <w:r>
        <w:rPr>
          <w:rFonts w:ascii="Arial" w:cs="Arial" w:eastAsia="Arial" w:hAnsi="Arial"/>
          <w:b/>
          <w:bCs/>
          <w:color w:val="0A1628"/>
          <w:sz w:val="24"/>
          <w:szCs w:val="24"/>
        </w:rPr>
        <w:t xml:space="preserve">4.2 — Pilier capitalisation obligatoire</w:t>
      </w:r>
    </w:p>
    <w:p>
      <w:pPr>
        <w:spacing w:after="80"/>
      </w:pPr>
      <w:r>
        <w:rPr>
          <w:rFonts w:ascii="Arial" w:cs="Arial" w:eastAsia="Arial" w:hAnsi="Arial"/>
          <w:color w:val="1A2332"/>
          <w:sz w:val="20"/>
          <w:szCs w:val="20"/>
        </w:rPr>
        <w:t xml:space="preserve">MECANISME DE TRANSITION DETAILLE</w:t>
      </w:r>
    </w:p>
    <w:p>
      <w:pPr>
        <w:spacing w:after="80"/>
      </w:pPr>
      <w:r>
        <w:rPr>
          <w:rFonts w:ascii="Arial" w:cs="Arial" w:eastAsia="Arial" w:hAnsi="Arial"/>
          <w:color w:val="1A2332"/>
          <w:sz w:val="20"/>
          <w:szCs w:val="20"/>
        </w:rPr>
        <w:t xml:space="preserve">Phase 1 — Donnees de base :</w:t>
      </w:r>
    </w:p>
    <w:p>
      <w:pPr>
        <w:pStyle w:val="ListParagraph"/>
        <w:numPr>
          <w:ilvl w:val="0"/>
          <w:numId w:val="{b57-0}"/>
        </w:numPr>
        <w:spacing w:after="80"/>
      </w:pPr>
      <w:r>
        <w:rPr>
          <w:rFonts w:ascii="Arial" w:cs="Arial" w:eastAsia="Arial" w:hAnsi="Arial"/>
          <w:color w:val="1A2332"/>
          <w:sz w:val="22"/>
          <w:szCs w:val="22"/>
        </w:rPr>
        <w:t xml:space="preserve">Masse salariale brute totale France : ~1 400 Md EUR/an (URSSAF/ACOSS 2024)</w:t>
      </w:r>
    </w:p>
    <w:p>
      <w:pPr>
        <w:pStyle w:val="ListParagraph"/>
        <w:numPr>
          <w:ilvl w:val="0"/>
          <w:numId w:val="{b57-0}"/>
        </w:numPr>
        <w:spacing w:after="80"/>
      </w:pPr>
      <w:r>
        <w:rPr>
          <w:rFonts w:ascii="Arial" w:cs="Arial" w:eastAsia="Arial" w:hAnsi="Arial"/>
          <w:color w:val="1A2332"/>
          <w:sz w:val="22"/>
          <w:szCs w:val="22"/>
        </w:rPr>
        <w:t xml:space="preserve">Cotisations retraite actuelles : ~28% du brut = ~392 Md EUR/an</w:t>
      </w:r>
    </w:p>
    <w:p>
      <w:pPr>
        <w:spacing w:after="80"/>
      </w:pPr>
      <w:r>
        <w:rPr>
          <w:rFonts w:ascii="Arial" w:cs="Arial" w:eastAsia="Arial" w:hAnsi="Arial"/>
          <w:color w:val="1A2332"/>
          <w:sz w:val="20"/>
          <w:szCs w:val="20"/>
        </w:rPr>
        <w:t xml:space="preserve">Phase 2 — Montee en charge progressive (pas de choc)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500"/>
        <w:gridCol w:w="2200"/>
        <w:gridCol w:w="2860"/>
      </w:tblGrid>
      <w:tr>
        <w:trPr>
          <w:tblHeader/>
        </w:trPr>
        <w:tc>
          <w:tcPr>
            <w:tcW w:type="dxa" w:w="18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Annee</w:t>
            </w:r>
          </w:p>
        </w:tc>
        <w:tc>
          <w:tcPr>
            <w:tcW w:type="dxa" w:w="2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Taux preleve vers capitalisation</w:t>
            </w:r>
          </w:p>
        </w:tc>
        <w:tc>
          <w:tcPr>
            <w:tcW w:type="dxa" w:w="22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Montant redirige</w:t>
            </w:r>
          </w:p>
        </w:tc>
        <w:tc>
          <w:tcPr>
            <w:tcW w:type="dxa" w:w="2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Cout de transition (budget Etat)</w:t>
            </w:r>
          </w:p>
        </w:tc>
      </w:tr>
      <w:tr>
        <w:tc>
          <w:tcPr>
            <w:tcW w:type="dxa" w:w="18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An 1 (2028)</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1,0 %</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14 Md EUR</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14 Md EUR</w:t>
            </w:r>
          </w:p>
        </w:tc>
      </w:tr>
      <w:tr>
        <w:tc>
          <w:tcPr>
            <w:tcW w:type="dxa" w:w="18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An 2 (2029)</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1,5 %</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21 Md EUR</w:t>
            </w:r>
          </w:p>
        </w:tc>
        <w:tc>
          <w:tcPr>
            <w:tcW w:type="dxa" w:w="2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18 Md EUR (economies retraites en parallele)</w:t>
            </w:r>
          </w:p>
        </w:tc>
      </w:tr>
      <w:tr>
        <w:tc>
          <w:tcPr>
            <w:tcW w:type="dxa" w:w="18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An 3 (2030)</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2,0 %</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28 Md EUR</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15 Md EUR</w:t>
            </w:r>
          </w:p>
        </w:tc>
      </w:tr>
      <w:tr>
        <w:tc>
          <w:tcPr>
            <w:tcW w:type="dxa" w:w="18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An 5 (2032)</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2,5 %</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35 Md EUR</w:t>
            </w:r>
          </w:p>
        </w:tc>
        <w:tc>
          <w:tcPr>
            <w:tcW w:type="dxa" w:w="2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10 Md EUR (economies age 65 compensent)</w:t>
            </w:r>
          </w:p>
        </w:tc>
      </w:tr>
      <w:tr>
        <w:tc>
          <w:tcPr>
            <w:tcW w:type="dxa" w:w="18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An 10 (2037)</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2,5 %</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37 Md EUR</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 Md EUR</w:t>
            </w:r>
          </w:p>
        </w:tc>
      </w:tr>
      <w:tr>
        <w:tc>
          <w:tcPr>
            <w:tcW w:type="dxa" w:w="18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An 15 (2042)</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2,5 %</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40 Md EUR</w:t>
            </w:r>
          </w:p>
        </w:tc>
        <w:tc>
          <w:tcPr>
            <w:tcW w:type="dxa" w:w="2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0 (autofinancement)</w:t>
            </w:r>
          </w:p>
        </w:tc>
      </w:tr>
    </w:tbl>
    <w:p>
      <w:pPr>
        <w:spacing w:after="80"/>
      </w:pPr>
      <w:r>
        <w:rPr>
          <w:rFonts w:ascii="Arial" w:cs="Arial" w:eastAsia="Arial" w:hAnsi="Arial"/>
          <w:color w:val="1A2332"/>
          <w:sz w:val="20"/>
          <w:szCs w:val="20"/>
        </w:rPr>
        <w:t xml:space="preserve">Phase 3 — Financement de la transition :</w:t>
      </w:r>
    </w:p>
    <w:p>
      <w:pPr>
        <w:pStyle w:val="ListParagraph"/>
        <w:numPr>
          <w:ilvl w:val="0"/>
          <w:numId w:val="{b58-0}"/>
        </w:numPr>
        <w:spacing w:after="80"/>
      </w:pPr>
      <w:r>
        <w:rPr>
          <w:rFonts w:ascii="Arial" w:cs="Arial" w:eastAsia="Arial" w:hAnsi="Arial"/>
          <w:b/>
          <w:bCs/>
          <w:color w:val="1A2332"/>
          <w:sz w:val="22"/>
          <w:szCs w:val="22"/>
        </w:rPr>
        <w:t xml:space="preserve">Source 1 :</w:t>
      </w:r>
      <w:r>
        <w:rPr>
          <w:rFonts w:ascii="Arial" w:cs="Arial" w:eastAsia="Arial" w:hAnsi="Arial"/>
          <w:color w:val="1A2332"/>
          <w:sz w:val="22"/>
          <w:szCs w:val="22"/>
        </w:rPr>
        <w:t xml:space="preserve"> Economies du recul a 65 ans = +18 Md EUR/an (voir 4.1)</w:t>
      </w:r>
    </w:p>
    <w:p>
      <w:pPr>
        <w:pStyle w:val="ListParagraph"/>
        <w:numPr>
          <w:ilvl w:val="0"/>
          <w:numId w:val="{b58-0}"/>
        </w:numPr>
        <w:spacing w:after="80"/>
      </w:pPr>
      <w:r>
        <w:rPr>
          <w:rFonts w:ascii="Arial" w:cs="Arial" w:eastAsia="Arial" w:hAnsi="Arial"/>
          <w:b/>
          <w:bCs/>
          <w:color w:val="1A2332"/>
          <w:sz w:val="22"/>
          <w:szCs w:val="22"/>
        </w:rPr>
        <w:t xml:space="preserve">Source 2 :</w:t>
      </w:r>
      <w:r>
        <w:rPr>
          <w:rFonts w:ascii="Arial" w:cs="Arial" w:eastAsia="Arial" w:hAnsi="Arial"/>
          <w:color w:val="1A2332"/>
          <w:sz w:val="22"/>
          <w:szCs w:val="22"/>
        </w:rPr>
        <w:t xml:space="preserve"> Alignement regimes speciaux = +3-5 Md EUR/an</w:t>
      </w:r>
    </w:p>
    <w:p>
      <w:pPr>
        <w:pStyle w:val="ListParagraph"/>
        <w:numPr>
          <w:ilvl w:val="0"/>
          <w:numId w:val="{b58-0}"/>
        </w:numPr>
        <w:spacing w:after="80"/>
      </w:pPr>
      <w:r>
        <w:rPr>
          <w:rFonts w:ascii="Arial" w:cs="Arial" w:eastAsia="Arial" w:hAnsi="Arial"/>
          <w:b/>
          <w:bCs/>
          <w:color w:val="1A2332"/>
          <w:sz w:val="22"/>
          <w:szCs w:val="22"/>
        </w:rPr>
        <w:t xml:space="preserve">Source 3 :</w:t>
      </w:r>
      <w:r>
        <w:rPr>
          <w:rFonts w:ascii="Arial" w:cs="Arial" w:eastAsia="Arial" w:hAnsi="Arial"/>
          <w:color w:val="1A2332"/>
          <w:sz w:val="22"/>
          <w:szCs w:val="22"/>
        </w:rPr>
        <w:t xml:space="preserve"> Budget Etat residuel = 5-10 Md EUR/an (degressif)</w:t>
      </w:r>
    </w:p>
    <w:p>
      <w:pPr>
        <w:spacing w:after="80"/>
      </w:pPr>
      <w:r>
        <w:rPr>
          <w:rFonts w:ascii="Arial" w:cs="Arial" w:eastAsia="Arial" w:hAnsi="Arial"/>
          <w:color w:val="1A2332"/>
          <w:sz w:val="20"/>
          <w:szCs w:val="20"/>
        </w:rPr>
        <w:t xml:space="preserve">Phase 4 — Rendement a long terme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rPr>
          <w:tblHeader/>
        </w:trPr>
        <w:tc>
          <w:tcPr>
            <w:tcW w:type="dxa" w:w="3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Fonds (pays)</w:t>
            </w:r>
          </w:p>
        </w:tc>
        <w:tc>
          <w:tcPr>
            <w:tcW w:type="dxa" w:w="28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Rendement annualise 2011-2020</w:t>
            </w:r>
          </w:p>
        </w:tc>
        <w:tc>
          <w:tcPr>
            <w:tcW w:type="dxa" w:w="30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Actifs geres</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CPPIB (Canada)</w:t>
            </w:r>
          </w:p>
        </w:tc>
        <w:tc>
          <w:tcPr>
            <w:tcW w:type="dxa" w:w="28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9,1 % reel</w:t>
            </w:r>
          </w:p>
        </w:tc>
        <w:tc>
          <w:tcPr>
            <w:tcW w:type="dxa" w:w="30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575 Md CAD</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AP7 (Suede — pilier capitalisation)</w:t>
            </w:r>
          </w:p>
        </w:tc>
        <w:tc>
          <w:tcPr>
            <w:tcW w:type="dxa" w:w="28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~8,5 %</w:t>
            </w:r>
          </w:p>
        </w:tc>
        <w:tc>
          <w:tcPr>
            <w:tcW w:type="dxa" w:w="30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850 Md SEK</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ABP (Pays-Bas)</w:t>
            </w:r>
          </w:p>
        </w:tc>
        <w:tc>
          <w:tcPr>
            <w:tcW w:type="dxa" w:w="28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~6-7 %</w:t>
            </w:r>
          </w:p>
        </w:tc>
        <w:tc>
          <w:tcPr>
            <w:tcW w:type="dxa" w:w="30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520 Md EUR</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Hypothese France (prudente)</w:t>
            </w:r>
          </w:p>
        </w:tc>
        <w:tc>
          <w:tcPr>
            <w:tcW w:type="dxa" w:w="28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6,0 % nominal</w:t>
            </w:r>
          </w:p>
        </w:tc>
        <w:tc>
          <w:tcPr>
            <w:tcW w:type="dxa" w:w="30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w:t>
            </w:r>
          </w:p>
        </w:tc>
      </w:tr>
    </w:tbl>
    <w:p>
      <w:pPr>
        <w:spacing w:after="80"/>
      </w:pPr>
      <w:r>
        <w:rPr>
          <w:rFonts w:ascii="Arial" w:cs="Arial" w:eastAsia="Arial" w:hAnsi="Arial"/>
          <w:color w:val="1A2332"/>
          <w:sz w:val="20"/>
          <w:szCs w:val="20"/>
        </w:rPr>
        <w:t xml:space="preserve">Simulation individuelle :</w:t>
      </w:r>
    </w:p>
    <w:p>
      <w:pPr>
        <w:spacing w:after="120"/>
        <w:jc w:val="both"/>
      </w:pPr>
      <w:r>
        <w:rPr>
          <w:rFonts w:ascii="Arial" w:cs="Arial" w:eastAsia="Arial" w:hAnsi="Arial"/>
          <w:b/>
          <w:bCs/>
          <w:color w:val="1A2332"/>
          <w:sz w:val="20"/>
          <w:szCs w:val="20"/>
        </w:rPr>
        <w:t xml:space="preserve">Salaire median brut : </w:t>
      </w:r>
      <w:r>
        <w:rPr>
          <w:rFonts w:ascii="Consolas" w:cs="Consolas" w:eastAsia="Consolas" w:hAnsi="Consolas"/>
          <w:color w:val="6B7B8D"/>
          <w:sz w:val="18"/>
          <w:szCs w:val="18"/>
        </w:rPr>
        <w:t xml:space="preserve">2 100 EUR/mois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25 200 EUR/an</w:t>
      </w:r>
    </w:p>
    <w:p>
      <w:pPr>
        <w:spacing w:after="120"/>
        <w:jc w:val="both"/>
      </w:pPr>
      <w:r>
        <w:rPr>
          <w:rFonts w:ascii="Arial" w:cs="Arial" w:eastAsia="Arial" w:hAnsi="Arial"/>
          <w:b/>
          <w:bCs/>
          <w:color w:val="1A2332"/>
          <w:sz w:val="20"/>
          <w:szCs w:val="20"/>
        </w:rPr>
        <w:t xml:space="preserve">Cotisation capitalisation (2,5%) : </w:t>
      </w:r>
      <w:r>
        <w:rPr>
          <w:rFonts w:ascii="Consolas" w:cs="Consolas" w:eastAsia="Consolas" w:hAnsi="Consolas"/>
          <w:color w:val="6B7B8D"/>
          <w:sz w:val="18"/>
          <w:szCs w:val="18"/>
        </w:rPr>
        <w:t xml:space="preserve">25 200 x 2,5%</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630 EUR/an = 52,50 EUR/mois</w:t>
      </w:r>
    </w:p>
    <w:p>
      <w:pPr>
        <w:spacing w:after="120"/>
        <w:jc w:val="both"/>
      </w:pPr>
      <w:r>
        <w:rPr>
          <w:rFonts w:ascii="Arial" w:cs="Arial" w:eastAsia="Arial" w:hAnsi="Arial"/>
          <w:b/>
          <w:bCs/>
          <w:color w:val="1A2332"/>
          <w:sz w:val="20"/>
          <w:szCs w:val="20"/>
        </w:rPr>
        <w:t xml:space="preserve">Apres 40 ans a 6% nominal : </w:t>
      </w:r>
      <w:r>
        <w:rPr>
          <w:rFonts w:ascii="Consolas" w:cs="Consolas" w:eastAsia="Consolas" w:hAnsi="Consolas"/>
          <w:color w:val="6B7B8D"/>
          <w:sz w:val="18"/>
          <w:szCs w:val="18"/>
        </w:rPr>
        <w:t xml:space="preserve">52,50 EUR/mois x ((1,005^480 - 1)/0,005)</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~102 000 EUR</w:t>
      </w:r>
    </w:p>
    <w:p>
      <w:pPr>
        <w:spacing w:after="80"/>
      </w:pPr>
      <w:r>
        <w:rPr>
          <w:rFonts w:ascii="Arial" w:cs="Arial" w:eastAsia="Arial" w:hAnsi="Arial"/>
          <w:color w:val="1A2332"/>
          <w:sz w:val="20"/>
          <w:szCs w:val="20"/>
        </w:rPr>
        <w:t xml:space="preserve">Avec montee en charge et hausse des salaires, le capital atteint ~150-200k EUR a la retraite, generant ~600-800 EUR/mois de complement. Ce n'est pas un remplacement de la repartition, c'est un complement.</w:t>
      </w:r>
    </w:p>
    <w:p>
      <w:pPr>
        <w:spacing w:after="60"/>
      </w:pPr>
      <w:r>
        <w:rPr>
          <w:rFonts w:ascii="Arial" w:cs="Arial" w:eastAsia="Arial" w:hAnsi="Arial"/>
          <w:i/>
          <w:iCs/>
          <w:color w:val="6B7B8D"/>
          <w:sz w:val="18"/>
          <w:szCs w:val="18"/>
        </w:rPr>
        <w:t xml:space="preserve">Source : Finnish Centre for Pensions — International Comparison 2024 ; Fondapol — Retraite mixte ; COR 2025</w:t>
      </w:r>
    </w:p>
    <w:p>
      <w:r>
        <w:br w:type="page"/>
      </w:r>
    </w:p>
    <w:p>
      <w:pPr>
        <w:pStyle w:val="Heading2"/>
        <w:spacing w:before="300" w:after="150"/>
      </w:pPr>
      <w:r>
        <w:rPr>
          <w:rFonts w:ascii="Georgia" w:cs="Georgia" w:eastAsia="Georgia" w:hAnsi="Georgia"/>
          <w:b/>
          <w:bCs/>
          <w:color w:val="0099BB"/>
          <w:sz w:val="28"/>
          <w:szCs w:val="28"/>
        </w:rPr>
        <w:t xml:space="preserve">A5. Sante</w:t>
      </w:r>
    </w:p>
    <w:p>
      <w:pPr>
        <w:spacing w:before="200" w:after="100"/>
      </w:pPr>
      <w:r>
        <w:rPr>
          <w:rFonts w:ascii="Arial" w:cs="Arial" w:eastAsia="Arial" w:hAnsi="Arial"/>
          <w:b/>
          <w:bCs/>
          <w:color w:val="0A1628"/>
          <w:sz w:val="24"/>
          <w:szCs w:val="24"/>
        </w:rPr>
        <w:t xml:space="preserve">5.2 — Chirurgie ambulatoire</w:t>
      </w:r>
    </w:p>
    <w:p>
      <w:pPr>
        <w:spacing w:after="80"/>
      </w:pPr>
      <w:r>
        <w:rPr>
          <w:rFonts w:ascii="Arial" w:cs="Arial" w:eastAsia="Arial" w:hAnsi="Arial"/>
          <w:color w:val="1A2332"/>
          <w:sz w:val="20"/>
          <w:szCs w:val="20"/>
        </w:rPr>
        <w:t xml:space="preserve">Donnees de base (HAS / CNAM 2024) :</w:t>
      </w:r>
    </w:p>
    <w:p>
      <w:pPr>
        <w:pStyle w:val="ListParagraph"/>
        <w:numPr>
          <w:ilvl w:val="0"/>
          <w:numId w:val="{b59-0}"/>
        </w:numPr>
        <w:spacing w:after="80"/>
      </w:pPr>
      <w:r>
        <w:rPr>
          <w:rFonts w:ascii="Arial" w:cs="Arial" w:eastAsia="Arial" w:hAnsi="Arial"/>
          <w:color w:val="1A2332"/>
          <w:sz w:val="22"/>
          <w:szCs w:val="22"/>
        </w:rPr>
        <w:t xml:space="preserve">Taux ambulatoire actuel : 64 % (public : 48 %, prive : 74 %)</w:t>
      </w:r>
    </w:p>
    <w:p>
      <w:pPr>
        <w:pStyle w:val="ListParagraph"/>
        <w:numPr>
          <w:ilvl w:val="0"/>
          <w:numId w:val="{b59-0}"/>
        </w:numPr>
        <w:spacing w:after="80"/>
      </w:pPr>
      <w:r>
        <w:rPr>
          <w:rFonts w:ascii="Arial" w:cs="Arial" w:eastAsia="Arial" w:hAnsi="Arial"/>
          <w:color w:val="1A2332"/>
          <w:sz w:val="22"/>
          <w:szCs w:val="22"/>
        </w:rPr>
        <w:t xml:space="preserve">Cout moyen acte ambulatoire : 300-600 EUR</w:t>
      </w:r>
    </w:p>
    <w:p>
      <w:pPr>
        <w:pStyle w:val="ListParagraph"/>
        <w:numPr>
          <w:ilvl w:val="0"/>
          <w:numId w:val="{b59-0}"/>
        </w:numPr>
        <w:spacing w:after="80"/>
      </w:pPr>
      <w:r>
        <w:rPr>
          <w:rFonts w:ascii="Arial" w:cs="Arial" w:eastAsia="Arial" w:hAnsi="Arial"/>
          <w:color w:val="1A2332"/>
          <w:sz w:val="22"/>
          <w:szCs w:val="22"/>
        </w:rPr>
        <w:t xml:space="preserve">Cout moyen journee hospitalisation : 1 300 EUR (secteur public)</w:t>
      </w:r>
    </w:p>
    <w:p>
      <w:pPr>
        <w:pStyle w:val="ListParagraph"/>
        <w:numPr>
          <w:ilvl w:val="0"/>
          <w:numId w:val="{b59-0}"/>
        </w:numPr>
        <w:spacing w:after="80"/>
      </w:pPr>
      <w:r>
        <w:rPr>
          <w:rFonts w:ascii="Arial" w:cs="Arial" w:eastAsia="Arial" w:hAnsi="Arial"/>
          <w:color w:val="1A2332"/>
          <w:sz w:val="22"/>
          <w:szCs w:val="22"/>
        </w:rPr>
        <w:t xml:space="preserve">Nombre d'actes chirurgicaux/an : ~7 millions</w:t>
      </w:r>
    </w:p>
    <w:p>
      <w:pPr>
        <w:spacing w:after="120"/>
        <w:jc w:val="both"/>
      </w:pPr>
      <w:r>
        <w:rPr>
          <w:rFonts w:ascii="Arial" w:cs="Arial" w:eastAsia="Arial" w:hAnsi="Arial"/>
          <w:b/>
          <w:bCs/>
          <w:color w:val="1A2332"/>
          <w:sz w:val="20"/>
          <w:szCs w:val="20"/>
        </w:rPr>
        <w:t xml:space="preserve">Actes en hospitalisation complete actuellement : </w:t>
      </w:r>
      <w:r>
        <w:rPr>
          <w:rFonts w:ascii="Consolas" w:cs="Consolas" w:eastAsia="Consolas" w:hAnsi="Consolas"/>
          <w:color w:val="6B7B8D"/>
          <w:sz w:val="18"/>
          <w:szCs w:val="18"/>
        </w:rPr>
        <w:t xml:space="preserve">7M x 36%</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~2,5 millions d'actes</w:t>
      </w:r>
    </w:p>
    <w:p>
      <w:pPr>
        <w:spacing w:after="120"/>
        <w:jc w:val="both"/>
      </w:pPr>
      <w:r>
        <w:rPr>
          <w:rFonts w:ascii="Arial" w:cs="Arial" w:eastAsia="Arial" w:hAnsi="Arial"/>
          <w:b/>
          <w:bCs/>
          <w:color w:val="1A2332"/>
          <w:sz w:val="20"/>
          <w:szCs w:val="20"/>
        </w:rPr>
        <w:t xml:space="preserve">Objectif : passer de 64% a 80% ambulatoire : </w:t>
      </w:r>
      <w:r>
        <w:rPr>
          <w:rFonts w:ascii="Consolas" w:cs="Consolas" w:eastAsia="Consolas" w:hAnsi="Consolas"/>
          <w:color w:val="6B7B8D"/>
          <w:sz w:val="18"/>
          <w:szCs w:val="18"/>
        </w:rPr>
        <w:t xml:space="preserve">7M x 16% = 1,12M actes transferes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
      </w:r>
    </w:p>
    <w:p>
      <w:pPr>
        <w:spacing w:after="120"/>
        <w:jc w:val="both"/>
      </w:pPr>
      <w:r>
        <w:rPr>
          <w:rFonts w:ascii="Arial" w:cs="Arial" w:eastAsia="Arial" w:hAnsi="Arial"/>
          <w:b/>
          <w:bCs/>
          <w:color w:val="1A2332"/>
          <w:sz w:val="20"/>
          <w:szCs w:val="20"/>
        </w:rPr>
        <w:t xml:space="preserve">Economie par acte transfere : </w:t>
      </w:r>
      <w:r>
        <w:rPr>
          <w:rFonts w:ascii="Consolas" w:cs="Consolas" w:eastAsia="Consolas" w:hAnsi="Consolas"/>
          <w:color w:val="6B7B8D"/>
          <w:sz w:val="18"/>
          <w:szCs w:val="18"/>
        </w:rPr>
        <w:t xml:space="preserve">1 300 EUR (hospi) - 500 EUR (ambu) = 800 EUR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
      </w:r>
    </w:p>
    <w:p>
      <w:pPr>
        <w:spacing w:after="120"/>
        <w:jc w:val="both"/>
      </w:pPr>
      <w:r>
        <w:rPr>
          <w:rFonts w:ascii="Arial" w:cs="Arial" w:eastAsia="Arial" w:hAnsi="Arial"/>
          <w:b/>
          <w:bCs/>
          <w:color w:val="1A2332"/>
          <w:sz w:val="20"/>
          <w:szCs w:val="20"/>
        </w:rPr>
        <w:t xml:space="preserve">Economie totale : </w:t>
      </w:r>
      <w:r>
        <w:rPr>
          <w:rFonts w:ascii="Consolas" w:cs="Consolas" w:eastAsia="Consolas" w:hAnsi="Consolas"/>
          <w:color w:val="6B7B8D"/>
          <w:sz w:val="18"/>
          <w:szCs w:val="18"/>
        </w:rPr>
        <w:t xml:space="preserve">1,12M x 800 EUR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~900 M EUR/an</w:t>
      </w:r>
    </w:p>
    <w:p>
      <w:pPr>
        <w:spacing w:after="80"/>
      </w:pPr>
      <w:r>
        <w:rPr>
          <w:rFonts w:ascii="Arial" w:cs="Arial" w:eastAsia="Arial" w:hAnsi="Arial"/>
          <w:color w:val="1A2332"/>
          <w:sz w:val="20"/>
          <w:szCs w:val="20"/>
        </w:rPr>
        <w:t xml:space="preserve">En ajoutant la fermeture des services sous-dimensionnes et les economies de personnel :</w:t>
      </w:r>
    </w:p>
    <w:p>
      <w:pPr>
        <w:spacing w:after="120"/>
        <w:jc w:val="both"/>
      </w:pPr>
      <w:r>
        <w:rPr>
          <w:rFonts w:ascii="Arial" w:cs="Arial" w:eastAsia="Arial" w:hAnsi="Arial"/>
          <w:b/>
          <w:bCs/>
          <w:color w:val="1A2332"/>
          <w:sz w:val="20"/>
          <w:szCs w:val="20"/>
        </w:rPr>
        <w:t xml:space="preserve">Economies structurelles supplementaires : </w:t>
      </w:r>
      <w:r>
        <w:rPr>
          <w:rFonts w:ascii="Consolas" w:cs="Consolas" w:eastAsia="Consolas" w:hAnsi="Consolas"/>
          <w:color w:val="6B7B8D"/>
          <w:sz w:val="18"/>
          <w:szCs w:val="18"/>
        </w:rPr>
        <w:t xml:space="preserve">+3 a 5 Md EUR (mutualisations)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
      </w:r>
    </w:p>
    <w:p>
      <w:pPr>
        <w:spacing w:after="120"/>
        <w:jc w:val="both"/>
      </w:pPr>
      <w:r>
        <w:rPr>
          <w:rFonts w:ascii="Arial" w:cs="Arial" w:eastAsia="Arial" w:hAnsi="Arial"/>
          <w:b/>
          <w:bCs/>
          <w:color w:val="1A2332"/>
          <w:sz w:val="20"/>
          <w:szCs w:val="20"/>
        </w:rPr>
        <w:t xml:space="preserve">Total retenu : </w:t>
      </w:r>
      <w:r>
        <w:rPr>
          <w:rFonts w:ascii="Consolas" w:cs="Consolas" w:eastAsia="Consolas" w:hAnsi="Consolas"/>
          <w:color w:val="6B7B8D"/>
          <w:sz w:val="18"/>
          <w:szCs w:val="18"/>
        </w:rPr>
        <w:t xml:space="preserve">0,9 Md + 4 Md (median)</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~5 Md EUR/an</w:t>
      </w:r>
    </w:p>
    <w:p>
      <w:pPr>
        <w:spacing w:after="60"/>
      </w:pPr>
      <w:r>
        <w:rPr>
          <w:rFonts w:ascii="Arial" w:cs="Arial" w:eastAsia="Arial" w:hAnsi="Arial"/>
          <w:i/>
          <w:iCs/>
          <w:color w:val="6B7B8D"/>
          <w:sz w:val="18"/>
          <w:szCs w:val="18"/>
        </w:rPr>
        <w:t xml:space="preserve">Source : HAS — Tarification chirurgie ambulatoire ; CNAM ; CerclH 2025</w:t>
      </w:r>
    </w:p>
    <w:p>
      <w:pPr>
        <w:spacing w:before="200" w:after="100"/>
      </w:pPr>
      <w:r>
        <w:rPr>
          <w:rFonts w:ascii="Arial" w:cs="Arial" w:eastAsia="Arial" w:hAnsi="Arial"/>
          <w:b/>
          <w:bCs/>
          <w:color w:val="0A1628"/>
          <w:sz w:val="24"/>
          <w:szCs w:val="24"/>
        </w:rPr>
        <w:t xml:space="preserve">5.4 — Reforme des medicaments</w:t>
      </w:r>
    </w:p>
    <w:p>
      <w:pPr>
        <w:spacing w:after="80"/>
      </w:pPr>
      <w:r>
        <w:rPr>
          <w:rFonts w:ascii="Arial" w:cs="Arial" w:eastAsia="Arial" w:hAnsi="Arial"/>
          <w:color w:val="1A2332"/>
          <w:sz w:val="20"/>
          <w:szCs w:val="20"/>
        </w:rPr>
        <w:t xml:space="preserve">Donnees de base (DREES 2025 / Gemme) :</w:t>
      </w:r>
    </w:p>
    <w:p>
      <w:pPr>
        <w:pStyle w:val="ListParagraph"/>
        <w:numPr>
          <w:ilvl w:val="0"/>
          <w:numId w:val="{b60-0}"/>
        </w:numPr>
        <w:spacing w:after="80"/>
      </w:pPr>
      <w:r>
        <w:rPr>
          <w:rFonts w:ascii="Arial" w:cs="Arial" w:eastAsia="Arial" w:hAnsi="Arial"/>
          <w:color w:val="1A2332"/>
          <w:sz w:val="22"/>
          <w:szCs w:val="22"/>
        </w:rPr>
        <w:t xml:space="preserve">Depenses totales medicaments : 34,5 Md EUR (2024)</w:t>
      </w:r>
    </w:p>
    <w:p>
      <w:pPr>
        <w:pStyle w:val="ListParagraph"/>
        <w:numPr>
          <w:ilvl w:val="0"/>
          <w:numId w:val="{b60-0}"/>
        </w:numPr>
        <w:spacing w:after="80"/>
      </w:pPr>
      <w:r>
        <w:rPr>
          <w:rFonts w:ascii="Arial" w:cs="Arial" w:eastAsia="Arial" w:hAnsi="Arial"/>
          <w:color w:val="1A2332"/>
          <w:sz w:val="22"/>
          <w:szCs w:val="22"/>
        </w:rPr>
        <w:t xml:space="preserve">Part generiques en France : 42 % en volume (vs 80 % en Allemagne/UK)</w:t>
      </w:r>
    </w:p>
    <w:p>
      <w:pPr>
        <w:pStyle w:val="ListParagraph"/>
        <w:numPr>
          <w:ilvl w:val="0"/>
          <w:numId w:val="{b60-0}"/>
        </w:numPr>
        <w:spacing w:after="80"/>
      </w:pPr>
      <w:r>
        <w:rPr>
          <w:rFonts w:ascii="Arial" w:cs="Arial" w:eastAsia="Arial" w:hAnsi="Arial"/>
          <w:color w:val="1A2332"/>
          <w:sz w:val="22"/>
          <w:szCs w:val="22"/>
        </w:rPr>
        <w:t xml:space="preserve">Economie par substitution : un generique coute 60-70 % de moins qu'un princeps</w:t>
      </w:r>
    </w:p>
    <w:p>
      <w:pPr>
        <w:spacing w:after="120"/>
        <w:jc w:val="both"/>
      </w:pPr>
      <w:r>
        <w:rPr>
          <w:rFonts w:ascii="Arial" w:cs="Arial" w:eastAsia="Arial" w:hAnsi="Arial"/>
          <w:b/>
          <w:bCs/>
          <w:color w:val="1A2332"/>
          <w:sz w:val="20"/>
          <w:szCs w:val="20"/>
        </w:rPr>
        <w:t xml:space="preserve">Si la France passe de 42% a 70% de generiques : </w:t>
      </w:r>
      <w:r>
        <w:rPr>
          <w:rFonts w:ascii="Consolas" w:cs="Consolas" w:eastAsia="Consolas" w:hAnsi="Consolas"/>
          <w:color w:val="6B7B8D"/>
          <w:sz w:val="18"/>
          <w:szCs w:val="18"/>
        </w:rPr>
        <w:t xml:space="preserve">(70%-42%) x 34,5 Md x 0,65 (economie)</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~6,3 Md EUR</w:t>
      </w:r>
    </w:p>
    <w:p>
      <w:pPr>
        <w:spacing w:after="80"/>
      </w:pPr>
      <w:r>
        <w:rPr>
          <w:rFonts w:ascii="Arial" w:cs="Arial" w:eastAsia="Arial" w:hAnsi="Arial"/>
          <w:color w:val="1A2332"/>
          <w:sz w:val="20"/>
          <w:szCs w:val="20"/>
        </w:rPr>
        <w:t xml:space="preserve">Hypothese prudente (obstacles reglementaires, delais) : economie de 3-4 Md EUR/an.</w:t>
      </w:r>
    </w:p>
    <w:p>
      <w:pPr>
        <w:spacing w:after="60"/>
      </w:pPr>
      <w:r>
        <w:rPr>
          <w:rFonts w:ascii="Arial" w:cs="Arial" w:eastAsia="Arial" w:hAnsi="Arial"/>
          <w:i/>
          <w:iCs/>
          <w:color w:val="6B7B8D"/>
          <w:sz w:val="18"/>
          <w:szCs w:val="18"/>
        </w:rPr>
        <w:t xml:space="preserve">Source : DREES 2025 ; Gemme — Prix generiques France vs Europe</w:t>
      </w:r>
    </w:p>
    <w:p>
      <w:r>
        <w:br w:type="page"/>
      </w:r>
    </w:p>
    <w:p>
      <w:pPr>
        <w:pStyle w:val="Heading2"/>
        <w:spacing w:before="300" w:after="150"/>
      </w:pPr>
      <w:r>
        <w:rPr>
          <w:rFonts w:ascii="Georgia" w:cs="Georgia" w:eastAsia="Georgia" w:hAnsi="Georgia"/>
          <w:b/>
          <w:bCs/>
          <w:color w:val="0099BB"/>
          <w:sz w:val="28"/>
          <w:szCs w:val="28"/>
        </w:rPr>
        <w:t xml:space="preserve">A7. Energie</w:t>
      </w:r>
    </w:p>
    <w:p>
      <w:pPr>
        <w:spacing w:before="200" w:after="100"/>
      </w:pPr>
      <w:r>
        <w:rPr>
          <w:rFonts w:ascii="Arial" w:cs="Arial" w:eastAsia="Arial" w:hAnsi="Arial"/>
          <w:b/>
          <w:bCs/>
          <w:color w:val="0A1628"/>
          <w:sz w:val="24"/>
          <w:szCs w:val="24"/>
        </w:rPr>
        <w:t xml:space="preserve">7.1 — 14 nouveaux reacteurs</w:t>
      </w:r>
    </w:p>
    <w:p>
      <w:pPr>
        <w:spacing w:after="80"/>
      </w:pPr>
      <w:r>
        <w:rPr>
          <w:rFonts w:ascii="Arial" w:cs="Arial" w:eastAsia="Arial" w:hAnsi="Arial"/>
          <w:color w:val="1A2332"/>
          <w:sz w:val="20"/>
          <w:szCs w:val="20"/>
        </w:rPr>
        <w:t xml:space="preserve">Donnees de base (EDF / SFEN / CRE 2025) :</w:t>
      </w:r>
    </w:p>
    <w:p>
      <w:pPr>
        <w:pStyle w:val="ListParagraph"/>
        <w:numPr>
          <w:ilvl w:val="0"/>
          <w:numId w:val="{b61-0}"/>
        </w:numPr>
        <w:spacing w:after="80"/>
      </w:pPr>
      <w:r>
        <w:rPr>
          <w:rFonts w:ascii="Arial" w:cs="Arial" w:eastAsia="Arial" w:hAnsi="Arial"/>
          <w:color w:val="1A2332"/>
          <w:sz w:val="22"/>
          <w:szCs w:val="22"/>
        </w:rPr>
        <w:t xml:space="preserve">Cout EPR2 (6 reacteurs, 9,9 GW) : 72,8 Md EUR (EDF dec. 2024)</w:t>
      </w:r>
    </w:p>
    <w:p>
      <w:pPr>
        <w:pStyle w:val="ListParagraph"/>
        <w:numPr>
          <w:ilvl w:val="0"/>
          <w:numId w:val="{b61-0}"/>
        </w:numPr>
        <w:spacing w:after="80"/>
      </w:pPr>
      <w:r>
        <w:rPr>
          <w:rFonts w:ascii="Arial" w:cs="Arial" w:eastAsia="Arial" w:hAnsi="Arial"/>
          <w:color w:val="1A2332"/>
          <w:sz w:val="22"/>
          <w:szCs w:val="22"/>
        </w:rPr>
        <w:t xml:space="preserve">Cout par MW installe : 7,3 M EUR/MW</w:t>
      </w:r>
    </w:p>
    <w:p>
      <w:pPr>
        <w:pStyle w:val="ListParagraph"/>
        <w:numPr>
          <w:ilvl w:val="0"/>
          <w:numId w:val="{b61-0}"/>
        </w:numPr>
        <w:spacing w:after="80"/>
      </w:pPr>
      <w:r>
        <w:rPr>
          <w:rFonts w:ascii="Arial" w:cs="Arial" w:eastAsia="Arial" w:hAnsi="Arial"/>
          <w:color w:val="1A2332"/>
          <w:sz w:val="22"/>
          <w:szCs w:val="22"/>
        </w:rPr>
        <w:t xml:space="preserve">Cout du MWh nucleaire nouveau : 60-70 EUR/MWh (CRE)</w:t>
      </w:r>
    </w:p>
    <w:p>
      <w:pPr>
        <w:pStyle w:val="ListParagraph"/>
        <w:numPr>
          <w:ilvl w:val="0"/>
          <w:numId w:val="{b61-0}"/>
        </w:numPr>
        <w:spacing w:after="80"/>
      </w:pPr>
      <w:r>
        <w:rPr>
          <w:rFonts w:ascii="Arial" w:cs="Arial" w:eastAsia="Arial" w:hAnsi="Arial"/>
          <w:color w:val="1A2332"/>
          <w:sz w:val="22"/>
          <w:szCs w:val="22"/>
        </w:rPr>
        <w:t xml:space="preserve">Cout du MWh nucleaire existant (parc actuel) : 40-50 EUR/MWh</w:t>
      </w:r>
    </w:p>
    <w:p>
      <w:pPr>
        <w:spacing w:after="120"/>
        <w:jc w:val="both"/>
      </w:pPr>
      <w:r>
        <w:rPr>
          <w:rFonts w:ascii="Arial" w:cs="Arial" w:eastAsia="Arial" w:hAnsi="Arial"/>
          <w:b/>
          <w:bCs/>
          <w:color w:val="1A2332"/>
          <w:sz w:val="20"/>
          <w:szCs w:val="20"/>
        </w:rPr>
        <w:t xml:space="preserve">8 reacteurs supplementaires (dont 4 SMR) : </w:t>
      </w:r>
      <w:r>
        <w:rPr>
          <w:rFonts w:ascii="Consolas" w:cs="Consolas" w:eastAsia="Consolas" w:hAnsi="Consolas"/>
          <w:color w:val="6B7B8D"/>
          <w:sz w:val="18"/>
          <w:szCs w:val="18"/>
        </w:rPr>
        <w:t xml:space="preserve">~40 Md EUR (economies serie)</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
      </w:r>
    </w:p>
    <w:p>
      <w:pPr>
        <w:spacing w:after="120"/>
        <w:jc w:val="both"/>
      </w:pPr>
      <w:r>
        <w:rPr>
          <w:rFonts w:ascii="Arial" w:cs="Arial" w:eastAsia="Arial" w:hAnsi="Arial"/>
          <w:b/>
          <w:bCs/>
          <w:color w:val="1A2332"/>
          <w:sz w:val="20"/>
          <w:szCs w:val="20"/>
        </w:rPr>
        <w:t xml:space="preserve">Total programme 14 reacteurs : </w:t>
      </w:r>
      <w:r>
        <w:rPr>
          <w:rFonts w:ascii="Consolas" w:cs="Consolas" w:eastAsia="Consolas" w:hAnsi="Consolas"/>
          <w:color w:val="6B7B8D"/>
          <w:sz w:val="18"/>
          <w:szCs w:val="18"/>
        </w:rPr>
        <w:t xml:space="preserve">72,8 Md + 40 Md</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~110-115 Md EUR sur 15 ans</w:t>
      </w:r>
    </w:p>
    <w:p>
      <w:pPr>
        <w:spacing w:after="120"/>
        <w:jc w:val="both"/>
      </w:pPr>
      <w:r>
        <w:rPr>
          <w:rFonts w:ascii="Arial" w:cs="Arial" w:eastAsia="Arial" w:hAnsi="Arial"/>
          <w:b/>
          <w:bCs/>
          <w:color w:val="1A2332"/>
          <w:sz w:val="20"/>
          <w:szCs w:val="20"/>
        </w:rPr>
        <w:t xml:space="preserve">Cout annuel lisse : </w:t>
      </w:r>
      <w:r>
        <w:rPr>
          <w:rFonts w:ascii="Consolas" w:cs="Consolas" w:eastAsia="Consolas" w:hAnsi="Consolas"/>
          <w:color w:val="6B7B8D"/>
          <w:sz w:val="18"/>
          <w:szCs w:val="18"/>
        </w:rPr>
        <w:t xml:space="preserve">115 Md / 15 ans</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~7,5 Md EUR/an</w:t>
      </w:r>
    </w:p>
    <w:p>
      <w:pPr>
        <w:spacing w:after="80"/>
      </w:pPr>
      <w:r>
        <w:rPr>
          <w:rFonts w:ascii="Arial" w:cs="Arial" w:eastAsia="Arial" w:hAnsi="Arial"/>
          <w:color w:val="1A2332"/>
          <w:sz w:val="20"/>
          <w:szCs w:val="20"/>
        </w:rPr>
        <w:t xml:space="preserve">Financement : emprunt productif a 3 % sur 40 ans (la duree de vie d'un reacteur). Le nucleaire se rembourse par la vente d'electricite.</w:t>
      </w:r>
    </w:p>
    <w:p>
      <w:pPr>
        <w:spacing w:after="120"/>
        <w:jc w:val="both"/>
      </w:pPr>
      <w:r>
        <w:rPr>
          <w:rFonts w:ascii="Arial" w:cs="Arial" w:eastAsia="Arial" w:hAnsi="Arial"/>
          <w:b/>
          <w:bCs/>
          <w:color w:val="1A2332"/>
          <w:sz w:val="20"/>
          <w:szCs w:val="20"/>
        </w:rPr>
        <w:t xml:space="preserve">Recettes annuelles (14 reacteurs a pleine capacite) : </w:t>
      </w:r>
      <w:r>
        <w:rPr>
          <w:rFonts w:ascii="Consolas" w:cs="Consolas" w:eastAsia="Consolas" w:hAnsi="Consolas"/>
          <w:color w:val="6B7B8D"/>
          <w:sz w:val="18"/>
          <w:szCs w:val="18"/>
        </w:rPr>
        <w:t xml:space="preserve">14 x 1,2 GW x 7 500h x 65 EUR/MWh</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~11,4 Md EUR/an</w:t>
      </w:r>
    </w:p>
    <w:p>
      <w:pPr>
        <w:spacing w:after="80"/>
      </w:pPr>
      <w:r>
        <w:rPr>
          <w:rFonts w:ascii="Arial" w:cs="Arial" w:eastAsia="Arial" w:hAnsi="Arial"/>
          <w:color w:val="1A2332"/>
          <w:sz w:val="20"/>
          <w:szCs w:val="20"/>
        </w:rPr>
        <w:t xml:space="preserve">Le programme est autofinance apres mise en service (recettes &gt; couts de remboursement).</w:t>
      </w:r>
    </w:p>
    <w:p>
      <w:pPr>
        <w:spacing w:after="60"/>
      </w:pPr>
      <w:r>
        <w:rPr>
          <w:rFonts w:ascii="Arial" w:cs="Arial" w:eastAsia="Arial" w:hAnsi="Arial"/>
          <w:i/>
          <w:iCs/>
          <w:color w:val="6B7B8D"/>
          <w:sz w:val="18"/>
          <w:szCs w:val="18"/>
        </w:rPr>
        <w:t xml:space="preserve">Source : EDF — Cout EPR2 (dec 2024) ; CRE — Couts du nucleaire 2025 ; SFEN</w:t>
      </w:r>
    </w:p>
    <w:p>
      <w:pPr>
        <w:spacing w:before="200" w:after="100"/>
      </w:pPr>
      <w:r>
        <w:rPr>
          <w:rFonts w:ascii="Arial" w:cs="Arial" w:eastAsia="Arial" w:hAnsi="Arial"/>
          <w:b/>
          <w:bCs/>
          <w:color w:val="0A1628"/>
          <w:sz w:val="24"/>
          <w:szCs w:val="24"/>
        </w:rPr>
        <w:t xml:space="preserve">7.2 — Fin des subventions renouvelables</w:t>
      </w:r>
    </w:p>
    <w:p>
      <w:pPr>
        <w:spacing w:after="80"/>
      </w:pPr>
      <w:r>
        <w:rPr>
          <w:rFonts w:ascii="Arial" w:cs="Arial" w:eastAsia="Arial" w:hAnsi="Arial"/>
          <w:color w:val="1A2332"/>
          <w:sz w:val="20"/>
          <w:szCs w:val="20"/>
        </w:rPr>
        <w:t xml:space="preserve">Donnees de base (CRE deliberation 2024-139) :</w:t>
      </w:r>
    </w:p>
    <w:p>
      <w:pPr>
        <w:pStyle w:val="ListParagraph"/>
        <w:numPr>
          <w:ilvl w:val="0"/>
          <w:numId w:val="{b62-0}"/>
        </w:numPr>
        <w:spacing w:after="80"/>
      </w:pPr>
      <w:r>
        <w:rPr>
          <w:rFonts w:ascii="Arial" w:cs="Arial" w:eastAsia="Arial" w:hAnsi="Arial"/>
          <w:color w:val="1A2332"/>
          <w:sz w:val="22"/>
          <w:szCs w:val="22"/>
        </w:rPr>
        <w:t xml:space="preserve">CSPE totales 2025 : 8,9 Md EUR (dont 4,3 Md pour les EnR)</w:t>
      </w:r>
    </w:p>
    <w:p>
      <w:pPr>
        <w:pStyle w:val="ListParagraph"/>
        <w:numPr>
          <w:ilvl w:val="0"/>
          <w:numId w:val="{b62-0}"/>
        </w:numPr>
        <w:spacing w:after="80"/>
      </w:pPr>
      <w:r>
        <w:rPr>
          <w:rFonts w:ascii="Arial" w:cs="Arial" w:eastAsia="Arial" w:hAnsi="Arial"/>
          <w:color w:val="1A2332"/>
          <w:sz w:val="22"/>
          <w:szCs w:val="22"/>
        </w:rPr>
        <w:t xml:space="preserve">CSPE 2026 prevues : 13 Md EUR (+46 %)</w:t>
      </w:r>
    </w:p>
    <w:p>
      <w:pPr>
        <w:pStyle w:val="ListParagraph"/>
        <w:numPr>
          <w:ilvl w:val="0"/>
          <w:numId w:val="{b62-0}"/>
        </w:numPr>
        <w:spacing w:after="80"/>
      </w:pPr>
      <w:r>
        <w:rPr>
          <w:rFonts w:ascii="Arial" w:cs="Arial" w:eastAsia="Arial" w:hAnsi="Arial"/>
          <w:color w:val="1A2332"/>
          <w:sz w:val="22"/>
          <w:szCs w:val="22"/>
        </w:rPr>
        <w:t xml:space="preserve">Detail EnR 2025 : photovoltaique 2,9 Md + eolien 1,4 Md</w:t>
      </w:r>
    </w:p>
    <w:p>
      <w:pPr>
        <w:spacing w:after="80"/>
      </w:pPr>
      <w:r>
        <w:rPr>
          <w:rFonts w:ascii="Arial" w:cs="Arial" w:eastAsia="Arial" w:hAnsi="Arial"/>
          <w:color w:val="1A2332"/>
          <w:sz w:val="20"/>
          <w:szCs w:val="20"/>
        </w:rPr>
        <w:t xml:space="preserve">Mesure : arret des nouveaux contrats de subvention. Les contrats existants courent jusqu'a leur terme (15-20 ans).</w:t>
      </w:r>
    </w:p>
    <w:p>
      <w:pPr>
        <w:spacing w:after="120"/>
        <w:jc w:val="both"/>
      </w:pPr>
      <w:r>
        <w:rPr>
          <w:rFonts w:ascii="Arial" w:cs="Arial" w:eastAsia="Arial" w:hAnsi="Arial"/>
          <w:b/>
          <w:bCs/>
          <w:color w:val="1A2332"/>
          <w:sz w:val="20"/>
          <w:szCs w:val="20"/>
        </w:rPr>
        <w:t xml:space="preserve">Economie annee 1 (pas de nouveaux contrats) : </w:t>
      </w:r>
      <w:r>
        <w:rPr>
          <w:rFonts w:ascii="Consolas" w:cs="Consolas" w:eastAsia="Consolas" w:hAnsi="Consolas"/>
          <w:color w:val="6B7B8D"/>
          <w:sz w:val="18"/>
          <w:szCs w:val="18"/>
        </w:rPr>
        <w:t xml:space="preserve">~500 M EUR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
      </w:r>
    </w:p>
    <w:p>
      <w:pPr>
        <w:spacing w:after="120"/>
        <w:jc w:val="both"/>
      </w:pPr>
      <w:r>
        <w:rPr>
          <w:rFonts w:ascii="Arial" w:cs="Arial" w:eastAsia="Arial" w:hAnsi="Arial"/>
          <w:b/>
          <w:bCs/>
          <w:color w:val="1A2332"/>
          <w:sz w:val="20"/>
          <w:szCs w:val="20"/>
        </w:rPr>
        <w:t xml:space="preserve">Economie annee 5 (premiere vague de contrats expires) : </w:t>
      </w:r>
      <w:r>
        <w:rPr>
          <w:rFonts w:ascii="Consolas" w:cs="Consolas" w:eastAsia="Consolas" w:hAnsi="Consolas"/>
          <w:color w:val="6B7B8D"/>
          <w:sz w:val="18"/>
          <w:szCs w:val="18"/>
        </w:rPr>
        <w:t xml:space="preserve">~2-3 Md EUR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
      </w:r>
    </w:p>
    <w:p>
      <w:pPr>
        <w:spacing w:after="120"/>
        <w:jc w:val="both"/>
      </w:pPr>
      <w:r>
        <w:rPr>
          <w:rFonts w:ascii="Arial" w:cs="Arial" w:eastAsia="Arial" w:hAnsi="Arial"/>
          <w:b/>
          <w:bCs/>
          <w:color w:val="1A2332"/>
          <w:sz w:val="20"/>
          <w:szCs w:val="20"/>
        </w:rPr>
        <w:t xml:space="preserve">Economie annee 10 : </w:t>
      </w:r>
      <w:r>
        <w:rPr>
          <w:rFonts w:ascii="Consolas" w:cs="Consolas" w:eastAsia="Consolas" w:hAnsi="Consolas"/>
          <w:color w:val="6B7B8D"/>
          <w:sz w:val="18"/>
          <w:szCs w:val="18"/>
        </w:rPr>
        <w:t xml:space="preserve">~5-7 Md EUR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
      </w:r>
    </w:p>
    <w:p>
      <w:pPr>
        <w:spacing w:after="60"/>
      </w:pPr>
      <w:r>
        <w:rPr>
          <w:rFonts w:ascii="Arial" w:cs="Arial" w:eastAsia="Arial" w:hAnsi="Arial"/>
          <w:i/>
          <w:iCs/>
          <w:color w:val="6B7B8D"/>
          <w:sz w:val="18"/>
          <w:szCs w:val="18"/>
        </w:rPr>
        <w:t xml:space="preserve">Source : CRE — Deliberation 2024-139 ; Senat PLF 2026</w:t>
      </w:r>
    </w:p>
    <w:p>
      <w:r>
        <w:br w:type="page"/>
      </w:r>
    </w:p>
    <w:p>
      <w:pPr>
        <w:pStyle w:val="Heading2"/>
        <w:spacing w:before="300" w:after="150"/>
      </w:pPr>
      <w:r>
        <w:rPr>
          <w:rFonts w:ascii="Georgia" w:cs="Georgia" w:eastAsia="Georgia" w:hAnsi="Georgia"/>
          <w:b/>
          <w:bCs/>
          <w:color w:val="0099BB"/>
          <w:sz w:val="28"/>
          <w:szCs w:val="28"/>
        </w:rPr>
        <w:t xml:space="preserve">A8. Immigration</w:t>
      </w:r>
    </w:p>
    <w:p>
      <w:pPr>
        <w:spacing w:before="200" w:after="100"/>
      </w:pPr>
      <w:r>
        <w:rPr>
          <w:rFonts w:ascii="Arial" w:cs="Arial" w:eastAsia="Arial" w:hAnsi="Arial"/>
          <w:b/>
          <w:bCs/>
          <w:color w:val="0A1628"/>
          <w:sz w:val="24"/>
          <w:szCs w:val="24"/>
        </w:rPr>
        <w:t xml:space="preserve">8.3 — Conditionnement immigration familiale</w:t>
      </w:r>
    </w:p>
    <w:p>
      <w:pPr>
        <w:spacing w:after="80"/>
      </w:pPr>
      <w:r>
        <w:rPr>
          <w:rFonts w:ascii="Arial" w:cs="Arial" w:eastAsia="Arial" w:hAnsi="Arial"/>
          <w:color w:val="1A2332"/>
          <w:sz w:val="20"/>
          <w:szCs w:val="20"/>
        </w:rPr>
        <w:t xml:space="preserve">Donnees de base (DGEF / Ministere Interieur 2025) :</w:t>
      </w:r>
    </w:p>
    <w:p>
      <w:pPr>
        <w:pStyle w:val="ListParagraph"/>
        <w:numPr>
          <w:ilvl w:val="0"/>
          <w:numId w:val="{b63-0}"/>
        </w:numPr>
        <w:spacing w:after="80"/>
      </w:pPr>
      <w:r>
        <w:rPr>
          <w:rFonts w:ascii="Arial" w:cs="Arial" w:eastAsia="Arial" w:hAnsi="Arial"/>
          <w:color w:val="1A2332"/>
          <w:sz w:val="22"/>
          <w:szCs w:val="22"/>
        </w:rPr>
        <w:t xml:space="preserve">Premiers titres familiaux 2025 : 384 230 x 23,7% = ~91 000</w:t>
      </w:r>
    </w:p>
    <w:p>
      <w:pPr>
        <w:pStyle w:val="ListParagraph"/>
        <w:numPr>
          <w:ilvl w:val="0"/>
          <w:numId w:val="{b63-0}"/>
        </w:numPr>
        <w:spacing w:after="80"/>
      </w:pPr>
      <w:r>
        <w:rPr>
          <w:rFonts w:ascii="Arial" w:cs="Arial" w:eastAsia="Arial" w:hAnsi="Arial"/>
          <w:color w:val="1A2332"/>
          <w:sz w:val="22"/>
          <w:szCs w:val="22"/>
        </w:rPr>
        <w:t xml:space="preserve">Cout moyen d'un immigre familial pour les finances publiques : ~15 000-20 000 EUR/an (estimations Senat)</w:t>
      </w:r>
    </w:p>
    <w:p>
      <w:pPr>
        <w:spacing w:after="120"/>
        <w:jc w:val="both"/>
      </w:pPr>
      <w:r>
        <w:rPr>
          <w:rFonts w:ascii="Arial" w:cs="Arial" w:eastAsia="Arial" w:hAnsi="Arial"/>
          <w:b/>
          <w:bCs/>
          <w:color w:val="1A2332"/>
          <w:sz w:val="20"/>
          <w:szCs w:val="20"/>
        </w:rPr>
        <w:t xml:space="preserve">Reduction de 30 000 titres familiaux/an : </w:t>
      </w:r>
      <w:r>
        <w:rPr>
          <w:rFonts w:ascii="Consolas" w:cs="Consolas" w:eastAsia="Consolas" w:hAnsi="Consolas"/>
          <w:color w:val="6B7B8D"/>
          <w:sz w:val="18"/>
          <w:szCs w:val="18"/>
        </w:rPr>
        <w:t xml:space="preserve">30 000 x 17 500 EUR (moyen)</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~525 M EUR/an</w:t>
      </w:r>
    </w:p>
    <w:p>
      <w:pPr>
        <w:spacing w:after="80"/>
      </w:pPr>
      <w:r>
        <w:rPr>
          <w:rFonts w:ascii="Arial" w:cs="Arial" w:eastAsia="Arial" w:hAnsi="Arial"/>
          <w:color w:val="1A2332"/>
          <w:sz w:val="20"/>
          <w:szCs w:val="20"/>
        </w:rPr>
        <w:t xml:space="preserve">En ajoutant les economies sur les renouvellements (effet cumule sur 3-5 ans) :</w:t>
      </w:r>
    </w:p>
    <w:p>
      <w:pPr>
        <w:spacing w:after="120"/>
        <w:jc w:val="both"/>
      </w:pPr>
      <w:r>
        <w:rPr>
          <w:rFonts w:ascii="Arial" w:cs="Arial" w:eastAsia="Arial" w:hAnsi="Arial"/>
          <w:b/>
          <w:bCs/>
          <w:color w:val="1A2332"/>
          <w:sz w:val="20"/>
          <w:szCs w:val="20"/>
        </w:rPr>
        <w:t xml:space="preserve">Economies cumulees a 5 ans : </w:t>
      </w:r>
      <w:r>
        <w:rPr>
          <w:rFonts w:ascii="Consolas" w:cs="Consolas" w:eastAsia="Consolas" w:hAnsi="Consolas"/>
          <w:color w:val="6B7B8D"/>
          <w:sz w:val="18"/>
          <w:szCs w:val="18"/>
        </w:rPr>
        <w:t xml:space="preserve">525 M + effets cumul</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~1,5 Md EUR/an en regime de croisiere</w:t>
      </w:r>
    </w:p>
    <w:p>
      <w:pPr>
        <w:spacing w:before="200" w:after="100"/>
      </w:pPr>
      <w:r>
        <w:rPr>
          <w:rFonts w:ascii="Arial" w:cs="Arial" w:eastAsia="Arial" w:hAnsi="Arial"/>
          <w:b/>
          <w:bCs/>
          <w:color w:val="0A1628"/>
          <w:sz w:val="24"/>
          <w:szCs w:val="24"/>
        </w:rPr>
        <w:t xml:space="preserve">8.4 — Execution des OQTF</w:t>
      </w:r>
    </w:p>
    <w:p>
      <w:pPr>
        <w:spacing w:after="80"/>
      </w:pPr>
      <w:r>
        <w:rPr>
          <w:rFonts w:ascii="Arial" w:cs="Arial" w:eastAsia="Arial" w:hAnsi="Arial"/>
          <w:color w:val="1A2332"/>
          <w:sz w:val="20"/>
          <w:szCs w:val="20"/>
        </w:rPr>
        <w:t xml:space="preserve">Donnees de base (Ministere Interieur / IFRAP 2024) :</w:t>
      </w:r>
    </w:p>
    <w:p>
      <w:pPr>
        <w:pStyle w:val="ListParagraph"/>
        <w:numPr>
          <w:ilvl w:val="0"/>
          <w:numId w:val="{b64-0}"/>
        </w:numPr>
        <w:spacing w:after="80"/>
      </w:pPr>
      <w:r>
        <w:rPr>
          <w:rFonts w:ascii="Arial" w:cs="Arial" w:eastAsia="Arial" w:hAnsi="Arial"/>
          <w:color w:val="1A2332"/>
          <w:sz w:val="22"/>
          <w:szCs w:val="22"/>
        </w:rPr>
        <w:t xml:space="preserve">OQTF prononcees 2024 : 140 000. Executees : ~20 000 (14,3 %)</w:t>
      </w:r>
    </w:p>
    <w:p>
      <w:pPr>
        <w:pStyle w:val="ListParagraph"/>
        <w:numPr>
          <w:ilvl w:val="0"/>
          <w:numId w:val="{b64-0}"/>
        </w:numPr>
        <w:spacing w:after="80"/>
      </w:pPr>
      <w:r>
        <w:rPr>
          <w:rFonts w:ascii="Arial" w:cs="Arial" w:eastAsia="Arial" w:hAnsi="Arial"/>
          <w:color w:val="1A2332"/>
          <w:sz w:val="22"/>
          <w:szCs w:val="22"/>
        </w:rPr>
        <w:t xml:space="preserve">Cout d'un centre de retention : ~50 EUR/jour/place</w:t>
      </w:r>
    </w:p>
    <w:p>
      <w:pPr>
        <w:pStyle w:val="ListParagraph"/>
        <w:numPr>
          <w:ilvl w:val="0"/>
          <w:numId w:val="{b64-0}"/>
        </w:numPr>
        <w:spacing w:after="80"/>
      </w:pPr>
      <w:r>
        <w:rPr>
          <w:rFonts w:ascii="Arial" w:cs="Arial" w:eastAsia="Arial" w:hAnsi="Arial"/>
          <w:color w:val="1A2332"/>
          <w:sz w:val="22"/>
          <w:szCs w:val="22"/>
        </w:rPr>
        <w:t xml:space="preserve">Cout d'un eloignement effectif : ~4 000-6 000 EUR (transport, escorte)</w:t>
      </w:r>
    </w:p>
    <w:p>
      <w:pPr>
        <w:spacing w:after="120"/>
        <w:jc w:val="both"/>
      </w:pPr>
      <w:r>
        <w:rPr>
          <w:rFonts w:ascii="Arial" w:cs="Arial" w:eastAsia="Arial" w:hAnsi="Arial"/>
          <w:b/>
          <w:bCs/>
          <w:color w:val="1A2332"/>
          <w:sz w:val="20"/>
          <w:szCs w:val="20"/>
        </w:rPr>
        <w:t xml:space="preserve">5 000 places supplementaires : </w:t>
      </w:r>
      <w:r>
        <w:rPr>
          <w:rFonts w:ascii="Consolas" w:cs="Consolas" w:eastAsia="Consolas" w:hAnsi="Consolas"/>
          <w:color w:val="6B7B8D"/>
          <w:sz w:val="18"/>
          <w:szCs w:val="18"/>
        </w:rPr>
        <w:t xml:space="preserve">5 000 x 50 EUR x 365</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91 M EUR/an</w:t>
      </w:r>
    </w:p>
    <w:p>
      <w:pPr>
        <w:spacing w:after="120"/>
        <w:jc w:val="both"/>
      </w:pPr>
      <w:r>
        <w:rPr>
          <w:rFonts w:ascii="Arial" w:cs="Arial" w:eastAsia="Arial" w:hAnsi="Arial"/>
          <w:b/>
          <w:bCs/>
          <w:color w:val="1A2332"/>
          <w:sz w:val="20"/>
          <w:szCs w:val="20"/>
        </w:rPr>
        <w:t xml:space="preserve">Eloignements supplementaires (objectif +30 000) : </w:t>
      </w:r>
      <w:r>
        <w:rPr>
          <w:rFonts w:ascii="Consolas" w:cs="Consolas" w:eastAsia="Consolas" w:hAnsi="Consolas"/>
          <w:color w:val="6B7B8D"/>
          <w:sz w:val="18"/>
          <w:szCs w:val="18"/>
        </w:rPr>
        <w:t xml:space="preserve">30 000 x 5 000 EUR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150 M EUR/an</w:t>
      </w:r>
    </w:p>
    <w:p>
      <w:pPr>
        <w:spacing w:after="120"/>
        <w:jc w:val="both"/>
      </w:pPr>
      <w:r>
        <w:rPr>
          <w:rFonts w:ascii="Arial" w:cs="Arial" w:eastAsia="Arial" w:hAnsi="Arial"/>
          <w:b/>
          <w:bCs/>
          <w:color w:val="1A2332"/>
          <w:sz w:val="20"/>
          <w:szCs w:val="20"/>
        </w:rPr>
        <w:t xml:space="preserve">Cout total OQTF : </w:t>
      </w:r>
      <w:r>
        <w:rPr>
          <w:rFonts w:ascii="Consolas" w:cs="Consolas" w:eastAsia="Consolas" w:hAnsi="Consolas"/>
          <w:color w:val="6B7B8D"/>
          <w:sz w:val="18"/>
          <w:szCs w:val="18"/>
        </w:rPr>
        <w:t xml:space="preserve">91 + 150 + logistique</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~350 M EUR/an</w:t>
      </w:r>
    </w:p>
    <w:p>
      <w:pPr>
        <w:spacing w:after="80"/>
      </w:pPr>
      <w:r>
        <w:rPr>
          <w:rFonts w:ascii="Arial" w:cs="Arial" w:eastAsia="Arial" w:hAnsi="Arial"/>
          <w:color w:val="1A2332"/>
          <w:sz w:val="20"/>
          <w:szCs w:val="20"/>
        </w:rPr>
        <w:t xml:space="preserve">Economies : chaque personne en situation irreguliere eloignee ne coute plus d'hebergement d'urgence (~20k EUR/an) ni d'AME (~2 400 EUR/an).</w:t>
      </w:r>
    </w:p>
    <w:p>
      <w:pPr>
        <w:spacing w:after="120"/>
        <w:jc w:val="both"/>
      </w:pPr>
      <w:r>
        <w:rPr>
          <w:rFonts w:ascii="Arial" w:cs="Arial" w:eastAsia="Arial" w:hAnsi="Arial"/>
          <w:b/>
          <w:bCs/>
          <w:color w:val="1A2332"/>
          <w:sz w:val="20"/>
          <w:szCs w:val="20"/>
        </w:rPr>
        <w:t xml:space="preserve">Economies a terme (30 000 eloignements/an) : </w:t>
      </w:r>
      <w:r>
        <w:rPr>
          <w:rFonts w:ascii="Consolas" w:cs="Consolas" w:eastAsia="Consolas" w:hAnsi="Consolas"/>
          <w:color w:val="6B7B8D"/>
          <w:sz w:val="18"/>
          <w:szCs w:val="18"/>
        </w:rPr>
        <w:t xml:space="preserve">30 000 x 22 400 EUR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~670 M EUR/an</w:t>
      </w:r>
    </w:p>
    <w:p>
      <w:pPr>
        <w:spacing w:after="120"/>
        <w:jc w:val="both"/>
      </w:pPr>
      <w:r>
        <w:rPr>
          <w:rFonts w:ascii="Arial" w:cs="Arial" w:eastAsia="Arial" w:hAnsi="Arial"/>
          <w:b/>
          <w:bCs/>
          <w:color w:val="1A2332"/>
          <w:sz w:val="20"/>
          <w:szCs w:val="20"/>
        </w:rPr>
        <w:t xml:space="preserve">Bilan net : </w:t>
      </w:r>
      <w:r>
        <w:rPr>
          <w:rFonts w:ascii="Consolas" w:cs="Consolas" w:eastAsia="Consolas" w:hAnsi="Consolas"/>
          <w:color w:val="6B7B8D"/>
          <w:sz w:val="18"/>
          <w:szCs w:val="18"/>
        </w:rPr>
        <w:t xml:space="preserve">670 M - 350 M</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+320 M EUR/an (degressif dans le temps)</w:t>
      </w:r>
    </w:p>
    <w:p>
      <w:pPr>
        <w:spacing w:after="60"/>
      </w:pPr>
      <w:r>
        <w:rPr>
          <w:rFonts w:ascii="Arial" w:cs="Arial" w:eastAsia="Arial" w:hAnsi="Arial"/>
          <w:i/>
          <w:iCs/>
          <w:color w:val="6B7B8D"/>
          <w:sz w:val="18"/>
          <w:szCs w:val="18"/>
        </w:rPr>
        <w:t xml:space="preserve">Source : OQTF : Ministere Interieur / CNEWS 2024 ; AME : Senat Rapport 2024 (1 387 M EUR, 466k beneficiaires)</w:t>
      </w:r>
    </w:p>
    <w:p>
      <w:r>
        <w:br w:type="page"/>
      </w:r>
    </w:p>
    <w:p>
      <w:pPr>
        <w:pStyle w:val="Heading2"/>
        <w:spacing w:before="300" w:after="150"/>
      </w:pPr>
      <w:r>
        <w:rPr>
          <w:rFonts w:ascii="Georgia" w:cs="Georgia" w:eastAsia="Georgia" w:hAnsi="Georgia"/>
          <w:b/>
          <w:bCs/>
          <w:color w:val="0099BB"/>
          <w:sz w:val="28"/>
          <w:szCs w:val="28"/>
        </w:rPr>
        <w:t xml:space="preserve">A9. Logement</w:t>
      </w:r>
    </w:p>
    <w:p>
      <w:pPr>
        <w:spacing w:before="200" w:after="100"/>
      </w:pPr>
      <w:r>
        <w:rPr>
          <w:rFonts w:ascii="Arial" w:cs="Arial" w:eastAsia="Arial" w:hAnsi="Arial"/>
          <w:b/>
          <w:bCs/>
          <w:color w:val="0A1628"/>
          <w:sz w:val="24"/>
          <w:szCs w:val="24"/>
        </w:rPr>
        <w:t xml:space="preserve">9.3 — Reforme des APL</w:t>
      </w:r>
    </w:p>
    <w:p>
      <w:pPr>
        <w:spacing w:after="80"/>
      </w:pPr>
      <w:r>
        <w:rPr>
          <w:rFonts w:ascii="Arial" w:cs="Arial" w:eastAsia="Arial" w:hAnsi="Arial"/>
          <w:color w:val="1A2332"/>
          <w:sz w:val="20"/>
          <w:szCs w:val="20"/>
        </w:rPr>
        <w:t xml:space="preserve">Donnees de base (PLF 2024 / CNAF) :</w:t>
      </w:r>
    </w:p>
    <w:p>
      <w:pPr>
        <w:pStyle w:val="ListParagraph"/>
        <w:numPr>
          <w:ilvl w:val="0"/>
          <w:numId w:val="{b65-0}"/>
        </w:numPr>
        <w:spacing w:after="80"/>
      </w:pPr>
      <w:r>
        <w:rPr>
          <w:rFonts w:ascii="Arial" w:cs="Arial" w:eastAsia="Arial" w:hAnsi="Arial"/>
          <w:color w:val="1A2332"/>
          <w:sz w:val="22"/>
          <w:szCs w:val="22"/>
        </w:rPr>
        <w:t xml:space="preserve">Cout total APL : 13,9 Md EUR/an</w:t>
      </w:r>
    </w:p>
    <w:p>
      <w:pPr>
        <w:pStyle w:val="ListParagraph"/>
        <w:numPr>
          <w:ilvl w:val="0"/>
          <w:numId w:val="{b65-0}"/>
        </w:numPr>
        <w:spacing w:after="80"/>
      </w:pPr>
      <w:r>
        <w:rPr>
          <w:rFonts w:ascii="Arial" w:cs="Arial" w:eastAsia="Arial" w:hAnsi="Arial"/>
          <w:color w:val="1A2332"/>
          <w:sz w:val="22"/>
          <w:szCs w:val="22"/>
        </w:rPr>
        <w:t xml:space="preserve">5,7 millions de menages beneficiaires, aide moyenne : 219 EUR/mois</w:t>
      </w:r>
    </w:p>
    <w:p>
      <w:pPr>
        <w:spacing w:after="80"/>
      </w:pPr>
      <w:r>
        <w:rPr>
          <w:rFonts w:ascii="Arial" w:cs="Arial" w:eastAsia="Arial" w:hAnsi="Arial"/>
          <w:color w:val="1A2332"/>
          <w:sz w:val="20"/>
          <w:szCs w:val="20"/>
        </w:rPr>
        <w:t xml:space="preserve">Effet inflationniste demontre (Fack 2006, Grislain-Letremy &amp; Trevien 2014) :</w:t>
      </w:r>
    </w:p>
    <w:p>
      <w:pPr>
        <w:pStyle w:val="ListParagraph"/>
        <w:numPr>
          <w:ilvl w:val="0"/>
          <w:numId w:val="{b66-0}"/>
        </w:numPr>
        <w:spacing w:after="80"/>
      </w:pPr>
      <w:r>
        <w:rPr>
          <w:rFonts w:ascii="Arial" w:cs="Arial" w:eastAsia="Arial" w:hAnsi="Arial"/>
          <w:color w:val="1A2332"/>
          <w:sz w:val="22"/>
          <w:szCs w:val="22"/>
        </w:rPr>
        <w:t xml:space="preserve">1 EUR d'APL supplementaire = ~0,8 a 1 EUR de hausse de loyer</w:t>
      </w:r>
    </w:p>
    <w:p>
      <w:pPr>
        <w:pStyle w:val="ListParagraph"/>
        <w:numPr>
          <w:ilvl w:val="0"/>
          <w:numId w:val="{b66-0}"/>
        </w:numPr>
        <w:spacing w:after="80"/>
      </w:pPr>
      <w:r>
        <w:rPr>
          <w:rFonts w:ascii="Arial" w:cs="Arial" w:eastAsia="Arial" w:hAnsi="Arial"/>
          <w:color w:val="1A2332"/>
          <w:sz w:val="22"/>
          <w:szCs w:val="22"/>
        </w:rPr>
        <w:t xml:space="preserve">Les APL sont largement captees par les proprietaires via la hausse des loyers</w:t>
      </w:r>
    </w:p>
    <w:p>
      <w:pPr>
        <w:spacing w:after="80"/>
      </w:pPr>
      <w:r>
        <w:rPr>
          <w:rFonts w:ascii="Arial" w:cs="Arial" w:eastAsia="Arial" w:hAnsi="Arial"/>
          <w:color w:val="1A2332"/>
          <w:sz w:val="20"/>
          <w:szCs w:val="20"/>
        </w:rPr>
        <w:t xml:space="preserve">Reforme proposee : suppression progressive sur 5 ans, compensee par hausse de prime d'activite pour les actifs et maintien pour les retraites modestes.</w:t>
      </w:r>
    </w:p>
    <w:p>
      <w:pPr>
        <w:spacing w:after="120"/>
        <w:jc w:val="both"/>
      </w:pPr>
      <w:r>
        <w:rPr>
          <w:rFonts w:ascii="Arial" w:cs="Arial" w:eastAsia="Arial" w:hAnsi="Arial"/>
          <w:b/>
          <w:bCs/>
          <w:color w:val="1A2332"/>
          <w:sz w:val="20"/>
          <w:szCs w:val="20"/>
        </w:rPr>
        <w:t xml:space="preserve">Economies annee 1 (gel + plafonnement) : </w:t>
      </w:r>
      <w:r>
        <w:rPr>
          <w:rFonts w:ascii="Consolas" w:cs="Consolas" w:eastAsia="Consolas" w:hAnsi="Consolas"/>
          <w:color w:val="6B7B8D"/>
          <w:sz w:val="18"/>
          <w:szCs w:val="18"/>
        </w:rPr>
        <w:t xml:space="preserve">~1 Md EUR</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
      </w:r>
    </w:p>
    <w:p>
      <w:pPr>
        <w:spacing w:after="120"/>
        <w:jc w:val="both"/>
      </w:pPr>
      <w:r>
        <w:rPr>
          <w:rFonts w:ascii="Arial" w:cs="Arial" w:eastAsia="Arial" w:hAnsi="Arial"/>
          <w:b/>
          <w:bCs/>
          <w:color w:val="1A2332"/>
          <w:sz w:val="20"/>
          <w:szCs w:val="20"/>
        </w:rPr>
        <w:t xml:space="preserve">Economies annee 3 (reduction 30%) : </w:t>
      </w:r>
      <w:r>
        <w:rPr>
          <w:rFonts w:ascii="Consolas" w:cs="Consolas" w:eastAsia="Consolas" w:hAnsi="Consolas"/>
          <w:color w:val="6B7B8D"/>
          <w:sz w:val="18"/>
          <w:szCs w:val="18"/>
        </w:rPr>
        <w:t xml:space="preserve">13,9 Md x 30%</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~4,2 Md EUR</w:t>
      </w:r>
    </w:p>
    <w:p>
      <w:pPr>
        <w:spacing w:after="120"/>
        <w:jc w:val="both"/>
      </w:pPr>
      <w:r>
        <w:rPr>
          <w:rFonts w:ascii="Arial" w:cs="Arial" w:eastAsia="Arial" w:hAnsi="Arial"/>
          <w:b/>
          <w:bCs/>
          <w:color w:val="1A2332"/>
          <w:sz w:val="20"/>
          <w:szCs w:val="20"/>
        </w:rPr>
        <w:t xml:space="preserve">Economies annee 5 (reduction 50%) : </w:t>
      </w:r>
      <w:r>
        <w:rPr>
          <w:rFonts w:ascii="Consolas" w:cs="Consolas" w:eastAsia="Consolas" w:hAnsi="Consolas"/>
          <w:color w:val="6B7B8D"/>
          <w:sz w:val="18"/>
          <w:szCs w:val="18"/>
        </w:rPr>
        <w:t xml:space="preserve">13,9 Md x 50%</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~7 Md EUR</w:t>
      </w:r>
    </w:p>
    <w:p>
      <w:pPr>
        <w:spacing w:after="80"/>
      </w:pPr>
      <w:r>
        <w:rPr>
          <w:rFonts w:ascii="Arial" w:cs="Arial" w:eastAsia="Arial" w:hAnsi="Arial"/>
          <w:color w:val="1A2332"/>
          <w:sz w:val="20"/>
          <w:szCs w:val="20"/>
        </w:rPr>
        <w:t xml:space="preserve">Cout de la compensation (hausse prime d'activite) : ~2-3 Md EUR/an</w:t>
      </w:r>
    </w:p>
    <w:p>
      <w:pPr>
        <w:spacing w:after="120"/>
        <w:jc w:val="both"/>
      </w:pPr>
      <w:r>
        <w:rPr>
          <w:rFonts w:ascii="Arial" w:cs="Arial" w:eastAsia="Arial" w:hAnsi="Arial"/>
          <w:b/>
          <w:bCs/>
          <w:color w:val="1A2332"/>
          <w:sz w:val="20"/>
          <w:szCs w:val="20"/>
        </w:rPr>
        <w:t xml:space="preserve">Economie nette a terme : </w:t>
      </w:r>
      <w:r>
        <w:rPr>
          <w:rFonts w:ascii="Consolas" w:cs="Consolas" w:eastAsia="Consolas" w:hAnsi="Consolas"/>
          <w:color w:val="6B7B8D"/>
          <w:sz w:val="18"/>
          <w:szCs w:val="18"/>
        </w:rPr>
        <w:t xml:space="preserve">7 Md - 2,5 Md (compensation)</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~4,5 Md EUR/an</w:t>
      </w:r>
    </w:p>
    <w:p>
      <w:pPr>
        <w:spacing w:after="60"/>
      </w:pPr>
      <w:r>
        <w:rPr>
          <w:rFonts w:ascii="Arial" w:cs="Arial" w:eastAsia="Arial" w:hAnsi="Arial"/>
          <w:i/>
          <w:iCs/>
          <w:color w:val="6B7B8D"/>
          <w:sz w:val="18"/>
          <w:szCs w:val="18"/>
        </w:rPr>
        <w:t xml:space="preserve">Source : PLF 2024 / CNAF ; IPP — Reformer aides logement (2015) ; Fack (2006)</w:t>
      </w:r>
    </w:p>
    <w:p>
      <w:r>
        <w:br w:type="page"/>
      </w:r>
    </w:p>
    <w:p>
      <w:pPr>
        <w:pStyle w:val="Heading2"/>
        <w:spacing w:before="300" w:after="150"/>
      </w:pPr>
      <w:r>
        <w:rPr>
          <w:rFonts w:ascii="Georgia" w:cs="Georgia" w:eastAsia="Georgia" w:hAnsi="Georgia"/>
          <w:b/>
          <w:bCs/>
          <w:color w:val="0099BB"/>
          <w:sz w:val="28"/>
          <w:szCs w:val="28"/>
        </w:rPr>
        <w:t xml:space="preserve">A10. Defense, securite &amp; justice</w:t>
      </w:r>
    </w:p>
    <w:p>
      <w:pPr>
        <w:spacing w:before="200" w:after="100"/>
      </w:pPr>
      <w:r>
        <w:rPr>
          <w:rFonts w:ascii="Arial" w:cs="Arial" w:eastAsia="Arial" w:hAnsi="Arial"/>
          <w:b/>
          <w:bCs/>
          <w:color w:val="0A1628"/>
          <w:sz w:val="24"/>
          <w:szCs w:val="24"/>
        </w:rPr>
        <w:t xml:space="preserve">10.2 — Doublement du budget justice</w:t>
      </w:r>
    </w:p>
    <w:p>
      <w:pPr>
        <w:spacing w:after="80"/>
      </w:pPr>
      <w:r>
        <w:rPr>
          <w:rFonts w:ascii="Arial" w:cs="Arial" w:eastAsia="Arial" w:hAnsi="Arial"/>
          <w:color w:val="1A2332"/>
          <w:sz w:val="20"/>
          <w:szCs w:val="20"/>
        </w:rPr>
        <w:t xml:space="preserve">Donnees de base (Ministere Justice 2024) :</w:t>
      </w:r>
    </w:p>
    <w:p>
      <w:pPr>
        <w:pStyle w:val="ListParagraph"/>
        <w:numPr>
          <w:ilvl w:val="0"/>
          <w:numId w:val="{b67-0}"/>
        </w:numPr>
        <w:spacing w:after="80"/>
      </w:pPr>
      <w:r>
        <w:rPr>
          <w:rFonts w:ascii="Arial" w:cs="Arial" w:eastAsia="Arial" w:hAnsi="Arial"/>
          <w:color w:val="1A2332"/>
          <w:sz w:val="22"/>
          <w:szCs w:val="22"/>
        </w:rPr>
        <w:t xml:space="preserve">Budget justice 2024 : 10,4 Md EUR (premiere fois &gt; 10 Md)</w:t>
      </w:r>
    </w:p>
    <w:p>
      <w:pPr>
        <w:pStyle w:val="ListParagraph"/>
        <w:numPr>
          <w:ilvl w:val="0"/>
          <w:numId w:val="{b67-0}"/>
        </w:numPr>
        <w:spacing w:after="80"/>
      </w:pPr>
      <w:r>
        <w:rPr>
          <w:rFonts w:ascii="Arial" w:cs="Arial" w:eastAsia="Arial" w:hAnsi="Arial"/>
          <w:color w:val="1A2332"/>
          <w:sz w:val="22"/>
          <w:szCs w:val="22"/>
        </w:rPr>
        <w:t xml:space="preserve">Dont administration penitentiaire : 3,9 Md EUR</w:t>
      </w:r>
    </w:p>
    <w:p>
      <w:pPr>
        <w:spacing w:after="80"/>
      </w:pPr>
      <w:r>
        <w:rPr>
          <w:rFonts w:ascii="Arial" w:cs="Arial" w:eastAsia="Arial" w:hAnsi="Arial"/>
          <w:color w:val="1A2332"/>
          <w:sz w:val="20"/>
          <w:szCs w:val="20"/>
        </w:rPr>
        <w:t xml:space="preserve">Montee en charge vers 24 Md EUR en 10 ans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rPr>
          <w:tblHeader/>
        </w:trPr>
        <w:tc>
          <w:tcPr>
            <w:tcW w:type="dxa" w:w="20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Annee</w:t>
            </w:r>
          </w:p>
        </w:tc>
        <w:tc>
          <w:tcPr>
            <w:tcW w:type="dxa" w:w="2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Budget</w:t>
            </w:r>
          </w:p>
        </w:tc>
        <w:tc>
          <w:tcPr>
            <w:tcW w:type="dxa" w:w="2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Hausse annuelle</w:t>
            </w:r>
          </w:p>
        </w:tc>
        <w:tc>
          <w:tcPr>
            <w:tcW w:type="dxa" w:w="23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Recrutements</w:t>
            </w:r>
          </w:p>
        </w:tc>
      </w:tr>
      <w:tr>
        <w:tc>
          <w:tcPr>
            <w:tcW w:type="dxa" w:w="2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2024 (actuel)</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10,4 Md EUR</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w:t>
            </w:r>
          </w:p>
        </w:tc>
        <w:tc>
          <w:tcPr>
            <w:tcW w:type="dxa" w:w="23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2027</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13 Md EUR</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+0,9 Md/an</w:t>
            </w:r>
          </w:p>
        </w:tc>
        <w:tc>
          <w:tcPr>
            <w:tcW w:type="dxa" w:w="23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+1 500 magistrats</w:t>
            </w:r>
          </w:p>
        </w:tc>
      </w:tr>
      <w:tr>
        <w:tc>
          <w:tcPr>
            <w:tcW w:type="dxa" w:w="2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2030</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18 Md EUR</w:t>
            </w:r>
          </w:p>
        </w:tc>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+1,7 Md/an</w:t>
            </w:r>
          </w:p>
        </w:tc>
        <w:tc>
          <w:tcPr>
            <w:tcW w:type="dxa" w:w="23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+3 000 greffiers</w:t>
            </w:r>
          </w:p>
        </w:tc>
      </w:tr>
      <w:tr>
        <w:tc>
          <w:tcPr>
            <w:tcW w:type="dxa" w:w="2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2035</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24 Md EUR</w:t>
            </w:r>
          </w:p>
        </w:tc>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+1,2 Md/an</w:t>
            </w:r>
          </w:p>
        </w:tc>
        <w:tc>
          <w:tcPr>
            <w:tcW w:type="dxa" w:w="23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+10 000 agents penitentiaires</w:t>
            </w:r>
          </w:p>
        </w:tc>
      </w:tr>
    </w:tbl>
    <w:p>
      <w:pPr>
        <w:spacing w:before="200" w:after="100"/>
      </w:pPr>
      <w:r>
        <w:rPr>
          <w:rFonts w:ascii="Arial" w:cs="Arial" w:eastAsia="Arial" w:hAnsi="Arial"/>
          <w:b/>
          <w:bCs/>
          <w:color w:val="0A1628"/>
          <w:sz w:val="24"/>
          <w:szCs w:val="24"/>
        </w:rPr>
        <w:t xml:space="preserve">10.3 — 20 000 places de prison</w:t>
      </w:r>
    </w:p>
    <w:p>
      <w:pPr>
        <w:spacing w:after="80"/>
      </w:pPr>
      <w:r>
        <w:rPr>
          <w:rFonts w:ascii="Arial" w:cs="Arial" w:eastAsia="Arial" w:hAnsi="Arial"/>
          <w:color w:val="1A2332"/>
          <w:sz w:val="20"/>
          <w:szCs w:val="20"/>
        </w:rPr>
        <w:t xml:space="preserve">Donnees de base (OIP 2024) :</w:t>
      </w:r>
    </w:p>
    <w:p>
      <w:pPr>
        <w:pStyle w:val="ListParagraph"/>
        <w:numPr>
          <w:ilvl w:val="0"/>
          <w:numId w:val="{b68-0}"/>
        </w:numPr>
        <w:spacing w:after="80"/>
      </w:pPr>
      <w:r>
        <w:rPr>
          <w:rFonts w:ascii="Arial" w:cs="Arial" w:eastAsia="Arial" w:hAnsi="Arial"/>
          <w:color w:val="1A2332"/>
          <w:sz w:val="22"/>
          <w:szCs w:val="22"/>
        </w:rPr>
        <w:t xml:space="preserve">Taux d'occupation prisons : 122 %</w:t>
      </w:r>
    </w:p>
    <w:p>
      <w:pPr>
        <w:pStyle w:val="ListParagraph"/>
        <w:numPr>
          <w:ilvl w:val="0"/>
          <w:numId w:val="{b68-0}"/>
        </w:numPr>
        <w:spacing w:after="80"/>
      </w:pPr>
      <w:r>
        <w:rPr>
          <w:rFonts w:ascii="Arial" w:cs="Arial" w:eastAsia="Arial" w:hAnsi="Arial"/>
          <w:color w:val="1A2332"/>
          <w:sz w:val="22"/>
          <w:szCs w:val="22"/>
        </w:rPr>
        <w:t xml:space="preserve">Cout par place de prison (construction) : 150 000 - 190 000 EUR</w:t>
      </w:r>
    </w:p>
    <w:p>
      <w:pPr>
        <w:pStyle w:val="ListParagraph"/>
        <w:numPr>
          <w:ilvl w:val="0"/>
          <w:numId w:val="{b68-0}"/>
        </w:numPr>
        <w:spacing w:after="80"/>
      </w:pPr>
      <w:r>
        <w:rPr>
          <w:rFonts w:ascii="Arial" w:cs="Arial" w:eastAsia="Arial" w:hAnsi="Arial"/>
          <w:color w:val="1A2332"/>
          <w:sz w:val="22"/>
          <w:szCs w:val="22"/>
        </w:rPr>
        <w:t xml:space="preserve">Cout de detention : 105 EUR/jour/detenu (~38 000 EUR/an)</w:t>
      </w:r>
    </w:p>
    <w:p>
      <w:pPr>
        <w:spacing w:after="120"/>
        <w:jc w:val="both"/>
      </w:pPr>
      <w:r>
        <w:rPr>
          <w:rFonts w:ascii="Arial" w:cs="Arial" w:eastAsia="Arial" w:hAnsi="Arial"/>
          <w:b/>
          <w:bCs/>
          <w:color w:val="1A2332"/>
          <w:sz w:val="20"/>
          <w:szCs w:val="20"/>
        </w:rPr>
        <w:t xml:space="preserve">Construction 20 000 places : </w:t>
      </w:r>
      <w:r>
        <w:rPr>
          <w:rFonts w:ascii="Consolas" w:cs="Consolas" w:eastAsia="Consolas" w:hAnsi="Consolas"/>
          <w:color w:val="6B7B8D"/>
          <w:sz w:val="18"/>
          <w:szCs w:val="18"/>
        </w:rPr>
        <w:t xml:space="preserve">20 000 x 170 000 EUR (moyen)</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3,4 Md EUR</w:t>
      </w:r>
    </w:p>
    <w:p>
      <w:pPr>
        <w:spacing w:after="120"/>
        <w:jc w:val="both"/>
      </w:pPr>
      <w:r>
        <w:rPr>
          <w:rFonts w:ascii="Arial" w:cs="Arial" w:eastAsia="Arial" w:hAnsi="Arial"/>
          <w:b/>
          <w:bCs/>
          <w:color w:val="1A2332"/>
          <w:sz w:val="20"/>
          <w:szCs w:val="20"/>
        </w:rPr>
        <w:t xml:space="preserve">Etale sur 7 ans : </w:t>
      </w:r>
      <w:r>
        <w:rPr>
          <w:rFonts w:ascii="Consolas" w:cs="Consolas" w:eastAsia="Consolas" w:hAnsi="Consolas"/>
          <w:color w:val="6B7B8D"/>
          <w:sz w:val="18"/>
          <w:szCs w:val="18"/>
        </w:rPr>
        <w:t xml:space="preserve">3,4 Md / 7</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~486 M EUR/an de construction</w:t>
      </w:r>
    </w:p>
    <w:p>
      <w:pPr>
        <w:spacing w:after="120"/>
        <w:jc w:val="both"/>
      </w:pPr>
      <w:r>
        <w:rPr>
          <w:rFonts w:ascii="Arial" w:cs="Arial" w:eastAsia="Arial" w:hAnsi="Arial"/>
          <w:b/>
          <w:bCs/>
          <w:color w:val="1A2332"/>
          <w:sz w:val="20"/>
          <w:szCs w:val="20"/>
        </w:rPr>
        <w:t xml:space="preserve">Cout de fonctionnement supplementaire : </w:t>
      </w:r>
      <w:r>
        <w:rPr>
          <w:rFonts w:ascii="Consolas" w:cs="Consolas" w:eastAsia="Consolas" w:hAnsi="Consolas"/>
          <w:color w:val="6B7B8D"/>
          <w:sz w:val="18"/>
          <w:szCs w:val="18"/>
        </w:rPr>
        <w:t xml:space="preserve">20 000 x 38 000 EUR/an</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+760 M EUR/an a terme</w:t>
      </w:r>
    </w:p>
    <w:p>
      <w:pPr>
        <w:spacing w:after="80"/>
      </w:pPr>
      <w:r>
        <w:rPr>
          <w:rFonts w:ascii="Arial" w:cs="Arial" w:eastAsia="Arial" w:hAnsi="Arial"/>
          <w:color w:val="1A2332"/>
          <w:sz w:val="20"/>
          <w:szCs w:val="20"/>
        </w:rPr>
        <w:t xml:space="preserve">Budget supplementaire total (construction + fonctionnement) : ~1,2 Md EUR/an a plein regime.</w:t>
      </w:r>
    </w:p>
    <w:p>
      <w:pPr>
        <w:spacing w:after="60"/>
      </w:pPr>
      <w:r>
        <w:rPr>
          <w:rFonts w:ascii="Arial" w:cs="Arial" w:eastAsia="Arial" w:hAnsi="Arial"/>
          <w:i/>
          <w:iCs/>
          <w:color w:val="6B7B8D"/>
          <w:sz w:val="18"/>
          <w:szCs w:val="18"/>
        </w:rPr>
        <w:t xml:space="preserve">Source : OIP — Budget penitentiaire 2024 ; Ministere Justice</w:t>
      </w:r>
    </w:p>
    <w:p>
      <w:pPr>
        <w:spacing w:before="200" w:after="100"/>
      </w:pPr>
      <w:r>
        <w:rPr>
          <w:rFonts w:ascii="Arial" w:cs="Arial" w:eastAsia="Arial" w:hAnsi="Arial"/>
          <w:b/>
          <w:bCs/>
          <w:color w:val="0A1628"/>
          <w:sz w:val="24"/>
          <w:szCs w:val="24"/>
        </w:rPr>
        <w:t xml:space="preserve">10.5 — Cybersecurite : ANSSI renforcee</w:t>
      </w:r>
    </w:p>
    <w:p>
      <w:pPr>
        <w:spacing w:after="80"/>
      </w:pPr>
      <w:r>
        <w:rPr>
          <w:rFonts w:ascii="Arial" w:cs="Arial" w:eastAsia="Arial" w:hAnsi="Arial"/>
          <w:color w:val="1A2332"/>
          <w:sz w:val="20"/>
          <w:szCs w:val="20"/>
        </w:rPr>
        <w:t xml:space="preserve">Comparaison internationale :</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Agence</w:t>
            </w:r>
          </w:p>
        </w:tc>
        <w:tc>
          <w:tcPr>
            <w:tcW w:type="dxa" w:w="30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Budget 2024</w:t>
            </w:r>
          </w:p>
        </w:tc>
        <w:tc>
          <w:tcPr>
            <w:tcW w:type="dxa" w:w="2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Budget 2026</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ANSSI (France)</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29,6 M EUR</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~50 M EUR (estim.)</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BSI (Allemagne)</w:t>
            </w:r>
          </w:p>
        </w:tc>
        <w:tc>
          <w:tcPr>
            <w:tcW w:type="dxa" w:w="3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238 M EUR</w:t>
            </w:r>
          </w:p>
        </w:tc>
        <w:tc>
          <w:tcPr>
            <w:tcW w:type="dxa" w:w="2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379 M EUR</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Ecart</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x8</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x7,5</w:t>
            </w:r>
          </w:p>
        </w:tc>
      </w:tr>
    </w:tbl>
    <w:p>
      <w:pPr>
        <w:spacing w:after="120"/>
        <w:jc w:val="both"/>
      </w:pPr>
      <w:r>
        <w:rPr>
          <w:rFonts w:ascii="Arial" w:cs="Arial" w:eastAsia="Arial" w:hAnsi="Arial"/>
          <w:b/>
          <w:bCs/>
          <w:color w:val="1A2332"/>
          <w:sz w:val="20"/>
          <w:szCs w:val="20"/>
        </w:rPr>
        <w:t xml:space="preserve">Objectif : tripler l'ANSSI : </w:t>
      </w:r>
      <w:r>
        <w:rPr>
          <w:rFonts w:ascii="Consolas" w:cs="Consolas" w:eastAsia="Consolas" w:hAnsi="Consolas"/>
          <w:color w:val="6B7B8D"/>
          <w:sz w:val="18"/>
          <w:szCs w:val="18"/>
        </w:rPr>
        <w:t xml:space="preserve">30 M x 3</w:t>
      </w:r>
      <w:r>
        <w:rPr>
          <w:rFonts w:ascii="Arial" w:cs="Arial" w:eastAsia="Arial" w:hAnsi="Arial"/>
          <w:color w:val="1A2332"/>
          <w:sz w:val="20"/>
          <w:szCs w:val="20"/>
        </w:rPr>
        <w:t xml:space="preserve"> = </w:t>
      </w:r>
      <w:r>
        <w:rPr>
          <w:rFonts w:ascii="Consolas" w:cs="Consolas" w:eastAsia="Consolas" w:hAnsi="Consolas"/>
          <w:b/>
          <w:bCs/>
          <w:color w:val="D63031"/>
          <w:sz w:val="18"/>
          <w:szCs w:val="18"/>
        </w:rPr>
        <w:t xml:space="preserve">~100 M EUR/an (encore 2,5x moins que l'Allemagne)</w:t>
      </w:r>
    </w:p>
    <w:p>
      <w:pPr>
        <w:spacing w:after="80"/>
      </w:pPr>
      <w:r>
        <w:rPr>
          <w:rFonts w:ascii="Arial" w:cs="Arial" w:eastAsia="Arial" w:hAnsi="Arial"/>
          <w:color w:val="1A2332"/>
          <w:sz w:val="20"/>
          <w:szCs w:val="20"/>
        </w:rPr>
        <w:t xml:space="preserve">Budget demande dans le programme : 1,5 Md EUR/an (incluant reserve operationnelle cyber, formation, infrastructure cloud souverain).</w:t>
      </w:r>
    </w:p>
    <w:p>
      <w:pPr>
        <w:spacing w:after="60"/>
      </w:pPr>
      <w:r>
        <w:rPr>
          <w:rFonts w:ascii="Arial" w:cs="Arial" w:eastAsia="Arial" w:hAnsi="Arial"/>
          <w:i/>
          <w:iCs/>
          <w:color w:val="6B7B8D"/>
          <w:sz w:val="18"/>
          <w:szCs w:val="18"/>
        </w:rPr>
        <w:t xml:space="preserve">Source : ANSSI — Budget cyber.gouv.fr 2024 ; BSI — Behoerden Spiegel 2025</w:t>
      </w:r>
    </w:p>
    <w:p>
      <w:r>
        <w:br w:type="page"/>
      </w:r>
    </w:p>
    <w:p>
      <w:pPr>
        <w:pStyle w:val="Heading2"/>
        <w:spacing w:before="300" w:after="150"/>
      </w:pPr>
      <w:r>
        <w:rPr>
          <w:rFonts w:ascii="Georgia" w:cs="Georgia" w:eastAsia="Georgia" w:hAnsi="Georgia"/>
          <w:b/>
          <w:bCs/>
          <w:color w:val="0099BB"/>
          <w:sz w:val="28"/>
          <w:szCs w:val="28"/>
        </w:rPr>
        <w:t xml:space="preserve">Synthese : bilan budgetaire consolide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200"/>
        <w:gridCol w:w="2200"/>
        <w:gridCol w:w="2460"/>
      </w:tblGrid>
      <w:tr>
        <w:trPr>
          <w:tblHeader/>
        </w:trPr>
        <w:tc>
          <w:tcPr>
            <w:tcW w:type="dxa" w:w="2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Theme</w:t>
            </w:r>
          </w:p>
        </w:tc>
        <w:tc>
          <w:tcPr>
            <w:tcW w:type="dxa" w:w="22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Economies (+)</w:t>
            </w:r>
          </w:p>
        </w:tc>
        <w:tc>
          <w:tcPr>
            <w:tcW w:type="dxa" w:w="22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Couts (-)</w:t>
            </w:r>
          </w:p>
        </w:tc>
        <w:tc>
          <w:tcPr>
            <w:tcW w:type="dxa" w:w="24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Net</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 Reforme Etat</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+16 a 18 Md</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w:t>
            </w:r>
          </w:p>
        </w:tc>
        <w:tc>
          <w:tcPr>
            <w:tcW w:type="dxa" w:w="24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+16-18 Md</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 Fiscalite</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+7 Md (niches)</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-35 Md (baisses impots)</w:t>
            </w:r>
          </w:p>
        </w:tc>
        <w:tc>
          <w:tcPr>
            <w:tcW w:type="dxa" w:w="24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-28 Md</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 Emploi</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+3,8 Md (chomage)</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 Md (charges)</w:t>
            </w:r>
          </w:p>
        </w:tc>
        <w:tc>
          <w:tcPr>
            <w:tcW w:type="dxa" w:w="24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-1,2 Md</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4. Retraites</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+18 Md (age 65)</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-14 Md (transition)</w:t>
            </w:r>
          </w:p>
        </w:tc>
        <w:tc>
          <w:tcPr>
            <w:tcW w:type="dxa" w:w="24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+4 Md (puis +18)</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 Sante</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+8 Md (ambu+medic)</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 Md (prevention)</w:t>
            </w:r>
          </w:p>
        </w:tc>
        <w:tc>
          <w:tcPr>
            <w:tcW w:type="dxa" w:w="24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 Md</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6. Education</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 Md (reformes)</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-4 Md (revalorisation)</w:t>
            </w:r>
          </w:p>
        </w:tc>
        <w:tc>
          <w:tcPr>
            <w:tcW w:type="dxa" w:w="24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 Md</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 Energie</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 Md (renouv.)</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-7,5 Md (nucleaire)</w:t>
            </w:r>
          </w:p>
        </w:tc>
        <w:tc>
          <w:tcPr>
            <w:tcW w:type="dxa" w:w="24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-5,5 Md</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8. Immigration</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 Md (economies)</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-0,9 Md (investiss.)</w:t>
            </w:r>
          </w:p>
        </w:tc>
        <w:tc>
          <w:tcPr>
            <w:tcW w:type="dxa" w:w="24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+1,1 Md</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9. Logement</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+4,5 Md (APL)</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 Md (fiscalite)</w:t>
            </w:r>
          </w:p>
        </w:tc>
        <w:tc>
          <w:tcPr>
            <w:tcW w:type="dxa" w:w="24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+1,5 Md</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10. Regalien</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-36 Md (invest.)</w:t>
            </w:r>
          </w:p>
        </w:tc>
        <w:tc>
          <w:tcPr>
            <w:tcW w:type="dxa" w:w="24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-36 Md</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TOTAL Annee 5</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+55 Md</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-103 Md</w:t>
            </w:r>
          </w:p>
        </w:tc>
        <w:tc>
          <w:tcPr>
            <w:tcW w:type="dxa" w:w="24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-48 Md</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Recettes croissance (+0,5 pt PIB)</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+15-20 Md</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w:t>
            </w:r>
          </w:p>
        </w:tc>
        <w:tc>
          <w:tcPr>
            <w:tcW w:type="dxa" w:w="24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+15-20 Md</w:t>
            </w:r>
          </w:p>
        </w:tc>
      </w:tr>
      <w:tr>
        <w:tc>
          <w:tcPr>
            <w:tcW w:type="dxa" w:w="2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TOTAL NET Annee 5</w:t>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
            </w:r>
          </w:p>
        </w:tc>
        <w:tc>
          <w:tcPr>
            <w:tcW w:type="dxa" w:w="22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
            </w:r>
          </w:p>
        </w:tc>
        <w:tc>
          <w:tcPr>
            <w:tcW w:type="dxa" w:w="24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-28 a -33 Md</w:t>
            </w:r>
          </w:p>
        </w:tc>
      </w:tr>
      <w:tr>
        <w:tc>
          <w:tcPr>
            <w:tcW w:type="dxa" w:w="2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TOTAL NET Annee 10 (capitalisation autofinancee)</w:t>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
            </w:r>
          </w:p>
        </w:tc>
        <w:tc>
          <w:tcPr>
            <w:tcW w:type="dxa" w:w="22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
            </w:r>
          </w:p>
        </w:tc>
        <w:tc>
          <w:tcPr>
            <w:tcW w:type="dxa" w:w="24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 a +15 Md</w:t>
            </w:r>
          </w:p>
        </w:tc>
      </w:tr>
    </w:tbl>
    <w:p>
      <w:pPr>
        <w:spacing w:after="100"/>
      </w:pPr>
    </w:p>
    <w:p>
      <w:pPr>
        <w:spacing w:after="80"/>
      </w:pPr>
      <w:r>
        <w:rPr>
          <w:rFonts w:ascii="Arial" w:cs="Arial" w:eastAsia="Arial" w:hAnsi="Arial"/>
          <w:color w:val="1A2332"/>
          <w:sz w:val="20"/>
          <w:szCs w:val="20"/>
        </w:rPr>
        <w:t xml:space="preserve">Lecture : en annee 5, le deficit se reduit de ~140 Md EUR (deficit 2024 de ~170 Md) mais ne revient pas a zero a cause du cout de transition de la capitalisation et des investissements regaliens massifs. L'equilibre budgetaire est atteint en annee 8-10, quand :</w:t>
      </w:r>
    </w:p>
    <w:p>
      <w:pPr>
        <w:pStyle w:val="ListParagraph"/>
        <w:numPr>
          <w:ilvl w:val="0"/>
          <w:numId w:val="{b69-0}"/>
        </w:numPr>
        <w:spacing w:after="80"/>
      </w:pPr>
      <w:r>
        <w:rPr>
          <w:rFonts w:ascii="Arial" w:cs="Arial" w:eastAsia="Arial" w:hAnsi="Arial"/>
          <w:color w:val="1A2332"/>
          <w:sz w:val="22"/>
          <w:szCs w:val="22"/>
        </w:rPr>
        <w:t xml:space="preserve">La capitalisation retraite s'autofinance (les economies d'age compensent)</w:t>
      </w:r>
    </w:p>
    <w:p>
      <w:pPr>
        <w:pStyle w:val="ListParagraph"/>
        <w:numPr>
          <w:ilvl w:val="0"/>
          <w:numId w:val="{b69-0}"/>
        </w:numPr>
        <w:spacing w:after="80"/>
      </w:pPr>
      <w:r>
        <w:rPr>
          <w:rFonts w:ascii="Arial" w:cs="Arial" w:eastAsia="Arial" w:hAnsi="Arial"/>
          <w:color w:val="1A2332"/>
          <w:sz w:val="22"/>
          <w:szCs w:val="22"/>
        </w:rPr>
        <w:t xml:space="preserve">Les investissements nucleaires generent des recettes (vente d'electricite)</w:t>
      </w:r>
    </w:p>
    <w:p>
      <w:pPr>
        <w:pStyle w:val="ListParagraph"/>
        <w:numPr>
          <w:ilvl w:val="0"/>
          <w:numId w:val="{b69-0}"/>
        </w:numPr>
        <w:spacing w:after="80"/>
      </w:pPr>
      <w:r>
        <w:rPr>
          <w:rFonts w:ascii="Arial" w:cs="Arial" w:eastAsia="Arial" w:hAnsi="Arial"/>
          <w:color w:val="1A2332"/>
          <w:sz w:val="22"/>
          <w:szCs w:val="22"/>
        </w:rPr>
        <w:t xml:space="preserve">La croissance supplementaire genere des recettes fiscales</w:t>
      </w:r>
    </w:p>
    <w:p>
      <w:pPr>
        <w:spacing w:after="80"/>
      </w:pPr>
      <w:r>
        <w:rPr>
          <w:rFonts w:ascii="Arial" w:cs="Arial" w:eastAsia="Arial" w:hAnsi="Arial"/>
          <w:color w:val="1A2332"/>
          <w:sz w:val="20"/>
          <w:szCs w:val="20"/>
        </w:rPr>
        <w:t xml:space="preserve">C'est un programme de redressement sur 10 ans, pas 5. L'honnetete commande de le dire.</w:t>
      </w:r>
    </w:p>
    <w:p>
      <w:pPr>
        <w:pStyle w:val="Heading1"/>
        <w:spacing w:before="400" w:after="200"/>
      </w:pPr>
      <w:r>
        <w:rPr>
          <w:rFonts w:ascii="Georgia" w:cs="Georgia" w:eastAsia="Georgia" w:hAnsi="Georgia"/>
          <w:b/>
          <w:bCs/>
          <w:color w:val="0A1628"/>
          <w:sz w:val="36"/>
          <w:szCs w:val="36"/>
        </w:rPr>
        <w:t xml:space="preserve">Annexe 2 : reformes liberales reussies a l'etranger</w:t>
      </w:r>
    </w:p>
    <w:p>
      <w:pPr>
        <w:spacing w:after="120"/>
        <w:jc w:val="both"/>
      </w:pPr>
      <w:r>
        <w:rPr>
          <w:rFonts w:ascii="Arial" w:cs="Arial" w:eastAsia="Arial" w:hAnsi="Arial"/>
          <w:color w:val="1A2332"/>
          <w:sz w:val="22"/>
          <w:szCs w:val="22"/>
        </w:rPr>
        <w:t xml:space="preserve">Chaque proposition de ce programme s'appuie sur des reformes testees et validees dans d'autres pays. Voici les benchmarks internationaux detailles.</w:t>
      </w:r>
    </w:p>
    <w:p>
      <w:pPr>
        <w:pStyle w:val="Heading2"/>
        <w:spacing w:before="300" w:after="150"/>
      </w:pPr>
      <w:r>
        <w:rPr>
          <w:rFonts w:ascii="Georgia" w:cs="Georgia" w:eastAsia="Georgia" w:hAnsi="Georgia"/>
          <w:b/>
          <w:bCs/>
          <w:color w:val="0099BB"/>
          <w:sz w:val="28"/>
          <w:szCs w:val="28"/>
        </w:rPr>
        <w:t xml:space="preserve">B1. Fiscalite : les exemples qui marchent</w:t>
      </w:r>
    </w:p>
    <w:p>
      <w:pPr>
        <w:spacing w:before="200" w:after="100"/>
      </w:pPr>
      <w:r>
        <w:rPr>
          <w:rFonts w:ascii="Arial" w:cs="Arial" w:eastAsia="Arial" w:hAnsi="Arial"/>
          <w:b/>
          <w:bCs/>
          <w:color w:val="0A1628"/>
          <w:sz w:val="24"/>
          <w:szCs w:val="24"/>
        </w:rPr>
        <w:t xml:space="preserve">Irlande — IS a 12,5 % (1999)</w:t>
      </w:r>
    </w:p>
    <w:p>
      <w:pPr>
        <w:pStyle w:val="ListParagraph"/>
        <w:numPr>
          <w:ilvl w:val="0"/>
          <w:numId w:val="{b70-0}"/>
        </w:numPr>
        <w:spacing w:after="80"/>
      </w:pPr>
      <w:r>
        <w:rPr>
          <w:rFonts w:ascii="Arial" w:cs="Arial" w:eastAsia="Arial" w:hAnsi="Arial"/>
          <w:color w:val="1A2332"/>
          <w:sz w:val="22"/>
          <w:szCs w:val="22"/>
        </w:rPr>
        <w:t xml:space="preserve">Avant : IS a 38 %, PIB/habitant = 70 % de la moyenne UE</w:t>
      </w:r>
    </w:p>
    <w:p>
      <w:pPr>
        <w:pStyle w:val="ListParagraph"/>
        <w:numPr>
          <w:ilvl w:val="0"/>
          <w:numId w:val="{b70-0}"/>
        </w:numPr>
        <w:spacing w:after="80"/>
      </w:pPr>
      <w:r>
        <w:rPr>
          <w:rFonts w:ascii="Arial" w:cs="Arial" w:eastAsia="Arial" w:hAnsi="Arial"/>
          <w:color w:val="1A2332"/>
          <w:sz w:val="22"/>
          <w:szCs w:val="22"/>
        </w:rPr>
        <w:t xml:space="preserve">Apres : IS a 12,5 %, afflux massif d'IDE (Apple, Google, Pfizer...)</w:t>
      </w:r>
    </w:p>
    <w:p>
      <w:pPr>
        <w:pStyle w:val="ListParagraph"/>
        <w:numPr>
          <w:ilvl w:val="0"/>
          <w:numId w:val="{b70-0}"/>
        </w:numPr>
        <w:spacing w:after="80"/>
      </w:pPr>
      <w:r>
        <w:rPr>
          <w:rFonts w:ascii="Arial" w:cs="Arial" w:eastAsia="Arial" w:hAnsi="Arial"/>
          <w:color w:val="1A2332"/>
          <w:sz w:val="22"/>
          <w:szCs w:val="22"/>
        </w:rPr>
        <w:t xml:space="preserve">Resultat : PIB/habitant = 190 % de la moyenne UE en 2023 (2e mondial)</w:t>
      </w:r>
    </w:p>
    <w:p>
      <w:pPr>
        <w:pStyle w:val="ListParagraph"/>
        <w:numPr>
          <w:ilvl w:val="0"/>
          <w:numId w:val="{b70-0}"/>
        </w:numPr>
        <w:spacing w:after="80"/>
      </w:pPr>
      <w:r>
        <w:rPr>
          <w:rFonts w:ascii="Arial" w:cs="Arial" w:eastAsia="Arial" w:hAnsi="Arial"/>
          <w:b/>
          <w:bCs/>
          <w:color w:val="1A2332"/>
          <w:sz w:val="22"/>
          <w:szCs w:val="22"/>
        </w:rPr>
        <w:t xml:space="preserve">Recettes IS multipliees par 4</w:t>
      </w:r>
      <w:r>
        <w:rPr>
          <w:rFonts w:ascii="Arial" w:cs="Arial" w:eastAsia="Arial" w:hAnsi="Arial"/>
          <w:color w:val="1A2332"/>
          <w:sz w:val="22"/>
          <w:szCs w:val="22"/>
        </w:rPr>
        <w:t xml:space="preserve"> malgre un taux divise par 3 (effet assiette)</w:t>
      </w:r>
    </w:p>
    <w:p>
      <w:pPr>
        <w:spacing w:after="60"/>
      </w:pPr>
      <w:r>
        <w:rPr>
          <w:rFonts w:ascii="Arial" w:cs="Arial" w:eastAsia="Arial" w:hAnsi="Arial"/>
          <w:i/>
          <w:iCs/>
          <w:color w:val="6B7B8D"/>
          <w:sz w:val="18"/>
          <w:szCs w:val="18"/>
        </w:rPr>
        <w:t xml:space="preserve">Source : OCDE Revenue Statistics ; Eurostat ; Tax Foundation</w:t>
      </w:r>
    </w:p>
    <w:p>
      <w:pPr>
        <w:spacing w:before="200" w:after="100"/>
      </w:pPr>
      <w:r>
        <w:rPr>
          <w:rFonts w:ascii="Arial" w:cs="Arial" w:eastAsia="Arial" w:hAnsi="Arial"/>
          <w:b/>
          <w:bCs/>
          <w:color w:val="0A1628"/>
          <w:sz w:val="24"/>
          <w:szCs w:val="24"/>
        </w:rPr>
        <w:t xml:space="preserve">Estonie — Flat tax et e-residency (1994)</w:t>
      </w:r>
    </w:p>
    <w:p>
      <w:pPr>
        <w:pStyle w:val="ListParagraph"/>
        <w:numPr>
          <w:ilvl w:val="0"/>
          <w:numId w:val="{b71-0}"/>
        </w:numPr>
        <w:spacing w:after="80"/>
      </w:pPr>
      <w:r>
        <w:rPr>
          <w:rFonts w:ascii="Arial" w:cs="Arial" w:eastAsia="Arial" w:hAnsi="Arial"/>
          <w:color w:val="1A2332"/>
          <w:sz w:val="22"/>
          <w:szCs w:val="22"/>
        </w:rPr>
        <w:t xml:space="preserve">Taux unique a 20 % sur les revenus + 0 % d'IS sur les benefices reinvestis</w:t>
      </w:r>
    </w:p>
    <w:p>
      <w:pPr>
        <w:pStyle w:val="ListParagraph"/>
        <w:numPr>
          <w:ilvl w:val="0"/>
          <w:numId w:val="{b71-0}"/>
        </w:numPr>
        <w:spacing w:after="80"/>
      </w:pPr>
      <w:r>
        <w:rPr>
          <w:rFonts w:ascii="Arial" w:cs="Arial" w:eastAsia="Arial" w:hAnsi="Arial"/>
          <w:color w:val="1A2332"/>
          <w:sz w:val="22"/>
          <w:szCs w:val="22"/>
        </w:rPr>
        <w:t xml:space="preserve">Croissance moyenne 1995-2007 : +7 %/an</w:t>
      </w:r>
    </w:p>
    <w:p>
      <w:pPr>
        <w:pStyle w:val="ListParagraph"/>
        <w:numPr>
          <w:ilvl w:val="0"/>
          <w:numId w:val="{b71-0}"/>
        </w:numPr>
        <w:spacing w:after="80"/>
      </w:pPr>
      <w:r>
        <w:rPr>
          <w:rFonts w:ascii="Arial" w:cs="Arial" w:eastAsia="Arial" w:hAnsi="Arial"/>
          <w:color w:val="1A2332"/>
          <w:sz w:val="22"/>
          <w:szCs w:val="22"/>
        </w:rPr>
        <w:t xml:space="preserve">E-residency : 100 000 entrepreneurs etrangers enregistres</w:t>
      </w:r>
    </w:p>
    <w:p>
      <w:pPr>
        <w:pStyle w:val="ListParagraph"/>
        <w:numPr>
          <w:ilvl w:val="0"/>
          <w:numId w:val="{b71-0}"/>
        </w:numPr>
        <w:spacing w:after="80"/>
      </w:pPr>
      <w:r>
        <w:rPr>
          <w:rFonts w:ascii="Arial" w:cs="Arial" w:eastAsia="Arial" w:hAnsi="Arial"/>
          <w:color w:val="1A2332"/>
          <w:sz w:val="22"/>
          <w:szCs w:val="22"/>
        </w:rPr>
        <w:t xml:space="preserve">Ratio dette/PIB : 19 % (vs 113 % France)</w:t>
      </w:r>
    </w:p>
    <w:p>
      <w:pPr>
        <w:spacing w:after="60"/>
      </w:pPr>
      <w:r>
        <w:rPr>
          <w:rFonts w:ascii="Arial" w:cs="Arial" w:eastAsia="Arial" w:hAnsi="Arial"/>
          <w:i/>
          <w:iCs/>
          <w:color w:val="6B7B8D"/>
          <w:sz w:val="18"/>
          <w:szCs w:val="18"/>
        </w:rPr>
        <w:t xml:space="preserve">Source : Ministry of Finance Estonia ; FMI — Country Report Estonia</w:t>
      </w:r>
    </w:p>
    <w:p>
      <w:pPr>
        <w:pStyle w:val="Heading2"/>
        <w:spacing w:before="300" w:after="150"/>
      </w:pPr>
      <w:r>
        <w:rPr>
          <w:rFonts w:ascii="Georgia" w:cs="Georgia" w:eastAsia="Georgia" w:hAnsi="Georgia"/>
          <w:b/>
          <w:bCs/>
          <w:color w:val="0099BB"/>
          <w:sz w:val="28"/>
          <w:szCs w:val="28"/>
        </w:rPr>
        <w:t xml:space="preserve">B2. Emploi : flexisecurite</w:t>
      </w:r>
    </w:p>
    <w:p>
      <w:pPr>
        <w:spacing w:before="200" w:after="100"/>
      </w:pPr>
      <w:r>
        <w:rPr>
          <w:rFonts w:ascii="Arial" w:cs="Arial" w:eastAsia="Arial" w:hAnsi="Arial"/>
          <w:b/>
          <w:bCs/>
          <w:color w:val="0A1628"/>
          <w:sz w:val="24"/>
          <w:szCs w:val="24"/>
        </w:rPr>
        <w:t xml:space="preserve">Danemark — Le triangle d'or (1990s)</w:t>
      </w:r>
    </w:p>
    <w:p>
      <w:pPr>
        <w:pStyle w:val="ListParagraph"/>
        <w:numPr>
          <w:ilvl w:val="0"/>
          <w:numId w:val="{b72-0}"/>
        </w:numPr>
        <w:spacing w:after="80"/>
      </w:pPr>
      <w:r>
        <w:rPr>
          <w:rFonts w:ascii="Arial" w:cs="Arial" w:eastAsia="Arial" w:hAnsi="Arial"/>
          <w:color w:val="1A2332"/>
          <w:sz w:val="22"/>
          <w:szCs w:val="22"/>
        </w:rPr>
        <w:t xml:space="preserve">Avant : chomage a 9,6 % (1993)</w:t>
      </w:r>
    </w:p>
    <w:p>
      <w:pPr>
        <w:pStyle w:val="ListParagraph"/>
        <w:numPr>
          <w:ilvl w:val="0"/>
          <w:numId w:val="{b72-0}"/>
        </w:numPr>
        <w:spacing w:after="80"/>
      </w:pPr>
      <w:r>
        <w:rPr>
          <w:rFonts w:ascii="Arial" w:cs="Arial" w:eastAsia="Arial" w:hAnsi="Arial"/>
          <w:b/>
          <w:bCs/>
          <w:color w:val="1A2332"/>
          <w:sz w:val="22"/>
          <w:szCs w:val="22"/>
        </w:rPr>
        <w:t xml:space="preserve">Trois piliers :</w:t>
      </w:r>
      <w:r>
        <w:rPr>
          <w:rFonts w:ascii="Arial" w:cs="Arial" w:eastAsia="Arial" w:hAnsi="Arial"/>
          <w:color w:val="1A2332"/>
          <w:sz w:val="22"/>
          <w:szCs w:val="22"/>
        </w:rPr>
        <w:t xml:space="preserve"> (1) Flexibilite du licenciement, (2) Indemnisation genereuse, (3) Accompagnement intensif obligatoire</w:t>
      </w:r>
    </w:p>
    <w:p>
      <w:pPr>
        <w:pStyle w:val="ListParagraph"/>
        <w:numPr>
          <w:ilvl w:val="0"/>
          <w:numId w:val="{b72-0}"/>
        </w:numPr>
        <w:spacing w:after="80"/>
      </w:pPr>
      <w:r>
        <w:rPr>
          <w:rFonts w:ascii="Arial" w:cs="Arial" w:eastAsia="Arial" w:hAnsi="Arial"/>
          <w:color w:val="1A2332"/>
          <w:sz w:val="22"/>
          <w:szCs w:val="22"/>
        </w:rPr>
        <w:t xml:space="preserve">Apres : chomage a 4,3 % (2007), puis stabilise a 5 %</w:t>
      </w:r>
    </w:p>
    <w:p>
      <w:pPr>
        <w:pStyle w:val="ListParagraph"/>
        <w:numPr>
          <w:ilvl w:val="0"/>
          <w:numId w:val="{b72-0}"/>
        </w:numPr>
        <w:spacing w:after="80"/>
      </w:pPr>
      <w:r>
        <w:rPr>
          <w:rFonts w:ascii="Arial" w:cs="Arial" w:eastAsia="Arial" w:hAnsi="Arial"/>
          <w:color w:val="1A2332"/>
          <w:sz w:val="22"/>
          <w:szCs w:val="22"/>
        </w:rPr>
        <w:t xml:space="preserve">25 % des salaries changent d'emploi chaque annee (vs 10 % en France)</w:t>
      </w:r>
    </w:p>
    <w:p>
      <w:pPr>
        <w:spacing w:after="60"/>
      </w:pPr>
      <w:r>
        <w:rPr>
          <w:rFonts w:ascii="Arial" w:cs="Arial" w:eastAsia="Arial" w:hAnsi="Arial"/>
          <w:i/>
          <w:iCs/>
          <w:color w:val="6B7B8D"/>
          <w:sz w:val="18"/>
          <w:szCs w:val="18"/>
        </w:rPr>
        <w:t xml:space="preserve">Source : OCDE — Employment Outlook Denmark ; IZA Discussion Papers</w:t>
      </w:r>
    </w:p>
    <w:p>
      <w:pPr>
        <w:spacing w:before="200" w:after="100"/>
      </w:pPr>
      <w:r>
        <w:rPr>
          <w:rFonts w:ascii="Arial" w:cs="Arial" w:eastAsia="Arial" w:hAnsi="Arial"/>
          <w:b/>
          <w:bCs/>
          <w:color w:val="0A1628"/>
          <w:sz w:val="24"/>
          <w:szCs w:val="24"/>
        </w:rPr>
        <w:t xml:space="preserve">Allemagne — Reformes Hartz (2003-2005)</w:t>
      </w:r>
    </w:p>
    <w:p>
      <w:pPr>
        <w:pStyle w:val="ListParagraph"/>
        <w:numPr>
          <w:ilvl w:val="0"/>
          <w:numId w:val="{b73-0}"/>
        </w:numPr>
        <w:spacing w:after="80"/>
      </w:pPr>
      <w:r>
        <w:rPr>
          <w:rFonts w:ascii="Arial" w:cs="Arial" w:eastAsia="Arial" w:hAnsi="Arial"/>
          <w:color w:val="1A2332"/>
          <w:sz w:val="22"/>
          <w:szCs w:val="22"/>
        </w:rPr>
        <w:t xml:space="preserve">Avant : chomage a 11,4 % (2005), 'homme malade de l'Europe'</w:t>
      </w:r>
    </w:p>
    <w:p>
      <w:pPr>
        <w:pStyle w:val="ListParagraph"/>
        <w:numPr>
          <w:ilvl w:val="0"/>
          <w:numId w:val="{b73-0}"/>
        </w:numPr>
        <w:spacing w:after="80"/>
      </w:pPr>
      <w:r>
        <w:rPr>
          <w:rFonts w:ascii="Arial" w:cs="Arial" w:eastAsia="Arial" w:hAnsi="Arial"/>
          <w:color w:val="1A2332"/>
          <w:sz w:val="22"/>
          <w:szCs w:val="22"/>
        </w:rPr>
        <w:t xml:space="preserve">Mesures : fusion aide sociale/chomage (Hartz IV), mini-jobs, agences pour l'emploi renovees</w:t>
      </w:r>
    </w:p>
    <w:p>
      <w:pPr>
        <w:pStyle w:val="ListParagraph"/>
        <w:numPr>
          <w:ilvl w:val="0"/>
          <w:numId w:val="{b73-0}"/>
        </w:numPr>
        <w:spacing w:after="80"/>
      </w:pPr>
      <w:r>
        <w:rPr>
          <w:rFonts w:ascii="Arial" w:cs="Arial" w:eastAsia="Arial" w:hAnsi="Arial"/>
          <w:color w:val="1A2332"/>
          <w:sz w:val="22"/>
          <w:szCs w:val="22"/>
        </w:rPr>
        <w:t xml:space="preserve">Apres : chomage a 5,5 % (2012), puis 3,0 % (2024)</w:t>
      </w:r>
    </w:p>
    <w:p>
      <w:pPr>
        <w:pStyle w:val="ListParagraph"/>
        <w:numPr>
          <w:ilvl w:val="0"/>
          <w:numId w:val="{b73-0}"/>
        </w:numPr>
        <w:spacing w:after="80"/>
      </w:pPr>
      <w:r>
        <w:rPr>
          <w:rFonts w:ascii="Arial" w:cs="Arial" w:eastAsia="Arial" w:hAnsi="Arial"/>
          <w:b/>
          <w:bCs/>
          <w:color w:val="1A2332"/>
          <w:sz w:val="22"/>
          <w:szCs w:val="22"/>
        </w:rPr>
        <w:t xml:space="preserve">+2,5 millions d'emplois crees en 7 ans</w:t>
      </w:r>
    </w:p>
    <w:p>
      <w:pPr>
        <w:pStyle w:val="ListParagraph"/>
        <w:numPr>
          <w:ilvl w:val="0"/>
          <w:numId w:val="{b73-0}"/>
        </w:numPr>
        <w:spacing w:after="80"/>
      </w:pPr>
      <w:r>
        <w:rPr>
          <w:rFonts w:ascii="Arial" w:cs="Arial" w:eastAsia="Arial" w:hAnsi="Arial"/>
          <w:color w:val="1A2332"/>
          <w:sz w:val="22"/>
          <w:szCs w:val="22"/>
        </w:rPr>
        <w:t xml:space="preserve">Bémol : 7,4 millions de mini-jobs (emplois precaires)</w:t>
      </w:r>
    </w:p>
    <w:p>
      <w:pPr>
        <w:spacing w:after="60"/>
      </w:pPr>
      <w:r>
        <w:rPr>
          <w:rFonts w:ascii="Arial" w:cs="Arial" w:eastAsia="Arial" w:hAnsi="Arial"/>
          <w:i/>
          <w:iCs/>
          <w:color w:val="6B7B8D"/>
          <w:sz w:val="18"/>
          <w:szCs w:val="18"/>
        </w:rPr>
        <w:t xml:space="preserve">Source : IZA — Labour Market Reforms Germany ; Bundesagentur fur Arbeit</w:t>
      </w:r>
    </w:p>
    <w:p>
      <w:pPr>
        <w:pStyle w:val="Heading2"/>
        <w:spacing w:before="300" w:after="150"/>
      </w:pPr>
      <w:r>
        <w:rPr>
          <w:rFonts w:ascii="Georgia" w:cs="Georgia" w:eastAsia="Georgia" w:hAnsi="Georgia"/>
          <w:b/>
          <w:bCs/>
          <w:color w:val="0099BB"/>
          <w:sz w:val="28"/>
          <w:szCs w:val="28"/>
        </w:rPr>
        <w:t xml:space="preserve">B3. Retraite par capitalisation</w:t>
      </w:r>
    </w:p>
    <w:p>
      <w:pPr>
        <w:spacing w:before="200" w:after="100"/>
      </w:pPr>
      <w:r>
        <w:rPr>
          <w:rFonts w:ascii="Arial" w:cs="Arial" w:eastAsia="Arial" w:hAnsi="Arial"/>
          <w:b/>
          <w:bCs/>
          <w:color w:val="0A1628"/>
          <w:sz w:val="24"/>
          <w:szCs w:val="24"/>
        </w:rPr>
        <w:t xml:space="preserve">Suede — Comptes notionnels + capitalisation (1994)</w:t>
      </w:r>
    </w:p>
    <w:p>
      <w:pPr>
        <w:pStyle w:val="ListParagraph"/>
        <w:numPr>
          <w:ilvl w:val="0"/>
          <w:numId w:val="{b74-0}"/>
        </w:numPr>
        <w:spacing w:after="80"/>
      </w:pPr>
      <w:r>
        <w:rPr>
          <w:rFonts w:ascii="Arial" w:cs="Arial" w:eastAsia="Arial" w:hAnsi="Arial"/>
          <w:color w:val="1A2332"/>
          <w:sz w:val="22"/>
          <w:szCs w:val="22"/>
        </w:rPr>
        <w:t xml:space="preserve">Systeme mixte : 16 % en repartition + 2,5 % en capitalisation (fonds AP7)</w:t>
      </w:r>
    </w:p>
    <w:p>
      <w:pPr>
        <w:pStyle w:val="ListParagraph"/>
        <w:numPr>
          <w:ilvl w:val="0"/>
          <w:numId w:val="{b74-0}"/>
        </w:numPr>
        <w:spacing w:after="80"/>
      </w:pPr>
      <w:r>
        <w:rPr>
          <w:rFonts w:ascii="Arial" w:cs="Arial" w:eastAsia="Arial" w:hAnsi="Arial"/>
          <w:color w:val="1A2332"/>
          <w:sz w:val="22"/>
          <w:szCs w:val="22"/>
        </w:rPr>
        <w:t xml:space="preserve">Mecanisme d'equilibrage automatique (pas de reforme tous les 5 ans)</w:t>
      </w:r>
    </w:p>
    <w:p>
      <w:pPr>
        <w:pStyle w:val="ListParagraph"/>
        <w:numPr>
          <w:ilvl w:val="0"/>
          <w:numId w:val="{b74-0}"/>
        </w:numPr>
        <w:spacing w:after="80"/>
      </w:pPr>
      <w:r>
        <w:rPr>
          <w:rFonts w:ascii="Arial" w:cs="Arial" w:eastAsia="Arial" w:hAnsi="Arial"/>
          <w:color w:val="1A2332"/>
          <w:sz w:val="22"/>
          <w:szCs w:val="22"/>
        </w:rPr>
        <w:t xml:space="preserve">Rendement du fonds AP7 : ~8,5 %/an sur 2011-2020</w:t>
      </w:r>
    </w:p>
    <w:p>
      <w:pPr>
        <w:pStyle w:val="ListParagraph"/>
        <w:numPr>
          <w:ilvl w:val="0"/>
          <w:numId w:val="{b74-0}"/>
        </w:numPr>
        <w:spacing w:after="80"/>
      </w:pPr>
      <w:r>
        <w:rPr>
          <w:rFonts w:ascii="Arial" w:cs="Arial" w:eastAsia="Arial" w:hAnsi="Arial"/>
          <w:b/>
          <w:bCs/>
          <w:color w:val="1A2332"/>
          <w:sz w:val="22"/>
          <w:szCs w:val="22"/>
        </w:rPr>
        <w:t xml:space="preserve">Zero deficit structurel depuis 2000</w:t>
      </w:r>
    </w:p>
    <w:p>
      <w:pPr>
        <w:spacing w:after="60"/>
      </w:pPr>
      <w:r>
        <w:rPr>
          <w:rFonts w:ascii="Arial" w:cs="Arial" w:eastAsia="Arial" w:hAnsi="Arial"/>
          <w:i/>
          <w:iCs/>
          <w:color w:val="6B7B8D"/>
          <w:sz w:val="18"/>
          <w:szCs w:val="18"/>
        </w:rPr>
        <w:t xml:space="preserve">Source : Finnish Centre for Pensions ; Swedish Pension Agency — Orange Report</w:t>
      </w:r>
    </w:p>
    <w:p>
      <w:pPr>
        <w:spacing w:before="200" w:after="100"/>
      </w:pPr>
      <w:r>
        <w:rPr>
          <w:rFonts w:ascii="Arial" w:cs="Arial" w:eastAsia="Arial" w:hAnsi="Arial"/>
          <w:b/>
          <w:bCs/>
          <w:color w:val="0A1628"/>
          <w:sz w:val="24"/>
          <w:szCs w:val="24"/>
        </w:rPr>
        <w:t xml:space="preserve">Pays-Bas — Fonds de pension (depuis 1950s)</w:t>
      </w:r>
    </w:p>
    <w:p>
      <w:pPr>
        <w:pStyle w:val="ListParagraph"/>
        <w:numPr>
          <w:ilvl w:val="0"/>
          <w:numId w:val="{b75-0}"/>
        </w:numPr>
        <w:spacing w:after="80"/>
      </w:pPr>
      <w:r>
        <w:rPr>
          <w:rFonts w:ascii="Arial" w:cs="Arial" w:eastAsia="Arial" w:hAnsi="Arial"/>
          <w:color w:val="1A2332"/>
          <w:sz w:val="22"/>
          <w:szCs w:val="22"/>
        </w:rPr>
        <w:t xml:space="preserve">Actifs des fonds : 200 % du PIB (1er mondial)</w:t>
      </w:r>
    </w:p>
    <w:p>
      <w:pPr>
        <w:pStyle w:val="ListParagraph"/>
        <w:numPr>
          <w:ilvl w:val="0"/>
          <w:numId w:val="{b75-0}"/>
        </w:numPr>
        <w:spacing w:after="80"/>
      </w:pPr>
      <w:r>
        <w:rPr>
          <w:rFonts w:ascii="Arial" w:cs="Arial" w:eastAsia="Arial" w:hAnsi="Arial"/>
          <w:color w:val="1A2332"/>
          <w:sz w:val="22"/>
          <w:szCs w:val="22"/>
        </w:rPr>
        <w:t xml:space="preserve">Fonds ABP (fonctionnaires) : 520 Md EUR geres</w:t>
      </w:r>
    </w:p>
    <w:p>
      <w:pPr>
        <w:pStyle w:val="ListParagraph"/>
        <w:numPr>
          <w:ilvl w:val="0"/>
          <w:numId w:val="{b75-0}"/>
        </w:numPr>
        <w:spacing w:after="80"/>
      </w:pPr>
      <w:r>
        <w:rPr>
          <w:rFonts w:ascii="Arial" w:cs="Arial" w:eastAsia="Arial" w:hAnsi="Arial"/>
          <w:color w:val="1A2332"/>
          <w:sz w:val="22"/>
          <w:szCs w:val="22"/>
        </w:rPr>
        <w:t xml:space="preserve">Pension moyenne : ~70 % du dernier salaire (vs ~50 % en France)</w:t>
      </w:r>
    </w:p>
    <w:p>
      <w:pPr>
        <w:pStyle w:val="ListParagraph"/>
        <w:numPr>
          <w:ilvl w:val="0"/>
          <w:numId w:val="{b75-0}"/>
        </w:numPr>
        <w:spacing w:after="80"/>
      </w:pPr>
      <w:r>
        <w:rPr>
          <w:rFonts w:ascii="Arial" w:cs="Arial" w:eastAsia="Arial" w:hAnsi="Arial"/>
          <w:color w:val="1A2332"/>
          <w:sz w:val="22"/>
          <w:szCs w:val="22"/>
        </w:rPr>
        <w:t xml:space="preserve">Taux de pauvrete des retraites neerlandais : 3,1 % (vs 8,6 % France)</w:t>
      </w:r>
    </w:p>
    <w:p>
      <w:pPr>
        <w:spacing w:after="60"/>
      </w:pPr>
      <w:r>
        <w:rPr>
          <w:rFonts w:ascii="Arial" w:cs="Arial" w:eastAsia="Arial" w:hAnsi="Arial"/>
          <w:i/>
          <w:iCs/>
          <w:color w:val="6B7B8D"/>
          <w:sz w:val="18"/>
          <w:szCs w:val="18"/>
        </w:rPr>
        <w:t xml:space="preserve">Source : OCDE Pensions at a Glance 2025 ; ABP Annual Report</w:t>
      </w:r>
    </w:p>
    <w:p>
      <w:pPr>
        <w:pStyle w:val="Heading2"/>
        <w:spacing w:before="300" w:after="150"/>
      </w:pPr>
      <w:r>
        <w:rPr>
          <w:rFonts w:ascii="Georgia" w:cs="Georgia" w:eastAsia="Georgia" w:hAnsi="Georgia"/>
          <w:b/>
          <w:bCs/>
          <w:color w:val="0099BB"/>
          <w:sz w:val="28"/>
          <w:szCs w:val="28"/>
        </w:rPr>
        <w:t xml:space="preserve">B4. Reduction du nombre de communes</w:t>
      </w:r>
    </w:p>
    <w:p>
      <w:pPr>
        <w:spacing w:before="200" w:after="100"/>
      </w:pPr>
      <w:r>
        <w:rPr>
          <w:rFonts w:ascii="Arial" w:cs="Arial" w:eastAsia="Arial" w:hAnsi="Arial"/>
          <w:b/>
          <w:bCs/>
          <w:color w:val="0A1628"/>
          <w:sz w:val="24"/>
          <w:szCs w:val="24"/>
        </w:rPr>
        <w:t xml:space="preserve">Danemark (2007) : de 271 a 98</w:t>
      </w:r>
    </w:p>
    <w:p>
      <w:pPr>
        <w:pStyle w:val="ListParagraph"/>
        <w:numPr>
          <w:ilvl w:val="0"/>
          <w:numId w:val="{b76-0}"/>
        </w:numPr>
        <w:spacing w:after="80"/>
      </w:pPr>
      <w:r>
        <w:rPr>
          <w:rFonts w:ascii="Arial" w:cs="Arial" w:eastAsia="Arial" w:hAnsi="Arial"/>
          <w:color w:val="1A2332"/>
          <w:sz w:val="22"/>
          <w:szCs w:val="22"/>
        </w:rPr>
        <w:t xml:space="preserve">Fusion obligatoire par le Parlement (pas de referendum local)</w:t>
      </w:r>
    </w:p>
    <w:p>
      <w:pPr>
        <w:pStyle w:val="ListParagraph"/>
        <w:numPr>
          <w:ilvl w:val="0"/>
          <w:numId w:val="{b76-0}"/>
        </w:numPr>
        <w:spacing w:after="80"/>
      </w:pPr>
      <w:r>
        <w:rPr>
          <w:rFonts w:ascii="Arial" w:cs="Arial" w:eastAsia="Arial" w:hAnsi="Arial"/>
          <w:color w:val="1A2332"/>
          <w:sz w:val="22"/>
          <w:szCs w:val="22"/>
        </w:rPr>
        <w:t xml:space="preserve">Taille minimale : 30 000 habitants</w:t>
      </w:r>
    </w:p>
    <w:p>
      <w:pPr>
        <w:pStyle w:val="ListParagraph"/>
        <w:numPr>
          <w:ilvl w:val="0"/>
          <w:numId w:val="{b76-0}"/>
        </w:numPr>
        <w:spacing w:after="80"/>
      </w:pPr>
      <w:r>
        <w:rPr>
          <w:rFonts w:ascii="Arial" w:cs="Arial" w:eastAsia="Arial" w:hAnsi="Arial"/>
          <w:color w:val="1A2332"/>
          <w:sz w:val="22"/>
          <w:szCs w:val="22"/>
        </w:rPr>
        <w:t xml:space="preserve">Economies : ~1 Md EUR/an (pour 5,8M habitants)</w:t>
      </w:r>
    </w:p>
    <w:p>
      <w:pPr>
        <w:pStyle w:val="ListParagraph"/>
        <w:numPr>
          <w:ilvl w:val="0"/>
          <w:numId w:val="{b76-0}"/>
        </w:numPr>
        <w:spacing w:after="80"/>
      </w:pPr>
      <w:r>
        <w:rPr>
          <w:rFonts w:ascii="Arial" w:cs="Arial" w:eastAsia="Arial" w:hAnsi="Arial"/>
          <w:color w:val="1A2332"/>
          <w:sz w:val="22"/>
          <w:szCs w:val="22"/>
        </w:rPr>
        <w:t xml:space="preserve">Satisfaction citoyenne : stable apres 3 ans d'adaptation</w:t>
      </w:r>
    </w:p>
    <w:p>
      <w:pPr>
        <w:spacing w:after="60"/>
      </w:pPr>
      <w:r>
        <w:rPr>
          <w:rFonts w:ascii="Arial" w:cs="Arial" w:eastAsia="Arial" w:hAnsi="Arial"/>
          <w:i/>
          <w:iCs/>
          <w:color w:val="6B7B8D"/>
          <w:sz w:val="18"/>
          <w:szCs w:val="18"/>
        </w:rPr>
        <w:t xml:space="preserve">Source : Danish Ministry of Interior 2013 ; Local Government Denmark</w:t>
      </w:r>
    </w:p>
    <w:p>
      <w:pPr>
        <w:spacing w:before="200" w:after="100"/>
      </w:pPr>
      <w:r>
        <w:rPr>
          <w:rFonts w:ascii="Arial" w:cs="Arial" w:eastAsia="Arial" w:hAnsi="Arial"/>
          <w:b/>
          <w:bCs/>
          <w:color w:val="0A1628"/>
          <w:sz w:val="24"/>
          <w:szCs w:val="24"/>
        </w:rPr>
        <w:t xml:space="preserve">Japon (1999-2010) : de 3 232 a 1 727</w:t>
      </w:r>
    </w:p>
    <w:p>
      <w:pPr>
        <w:pStyle w:val="ListParagraph"/>
        <w:numPr>
          <w:ilvl w:val="0"/>
          <w:numId w:val="{b77-0}"/>
        </w:numPr>
        <w:spacing w:after="80"/>
      </w:pPr>
      <w:r>
        <w:rPr>
          <w:rFonts w:ascii="Arial" w:cs="Arial" w:eastAsia="Arial" w:hAnsi="Arial"/>
          <w:color w:val="1A2332"/>
          <w:sz w:val="22"/>
          <w:szCs w:val="22"/>
        </w:rPr>
        <w:t xml:space="preserve">Incitations financieres (pas de contrainte legale)</w:t>
      </w:r>
    </w:p>
    <w:p>
      <w:pPr>
        <w:pStyle w:val="ListParagraph"/>
        <w:numPr>
          <w:ilvl w:val="0"/>
          <w:numId w:val="{b77-0}"/>
        </w:numPr>
        <w:spacing w:after="80"/>
      </w:pPr>
      <w:r>
        <w:rPr>
          <w:rFonts w:ascii="Arial" w:cs="Arial" w:eastAsia="Arial" w:hAnsi="Arial"/>
          <w:color w:val="1A2332"/>
          <w:sz w:val="22"/>
          <w:szCs w:val="22"/>
        </w:rPr>
        <w:t xml:space="preserve">Reduction de 47 % du nombre de communes en 11 ans</w:t>
      </w:r>
    </w:p>
    <w:p>
      <w:pPr>
        <w:pStyle w:val="ListParagraph"/>
        <w:numPr>
          <w:ilvl w:val="0"/>
          <w:numId w:val="{b77-0}"/>
        </w:numPr>
        <w:spacing w:after="80"/>
      </w:pPr>
      <w:r>
        <w:rPr>
          <w:rFonts w:ascii="Arial" w:cs="Arial" w:eastAsia="Arial" w:hAnsi="Arial"/>
          <w:color w:val="1A2332"/>
          <w:sz w:val="22"/>
          <w:szCs w:val="22"/>
        </w:rPr>
        <w:t xml:space="preserve">Economies limitees (les services ont ete maintenus)</w:t>
      </w:r>
    </w:p>
    <w:p>
      <w:pPr>
        <w:spacing w:after="60"/>
      </w:pPr>
      <w:r>
        <w:rPr>
          <w:rFonts w:ascii="Arial" w:cs="Arial" w:eastAsia="Arial" w:hAnsi="Arial"/>
          <w:i/>
          <w:iCs/>
          <w:color w:val="6B7B8D"/>
          <w:sz w:val="18"/>
          <w:szCs w:val="18"/>
        </w:rPr>
        <w:t xml:space="preserve">Source : Ministry of Internal Affairs Japan ; World Bank — Municipal Mergers</w:t>
      </w:r>
    </w:p>
    <w:p>
      <w:pPr>
        <w:pStyle w:val="Heading2"/>
        <w:spacing w:before="300" w:after="150"/>
      </w:pPr>
      <w:r>
        <w:rPr>
          <w:rFonts w:ascii="Georgia" w:cs="Georgia" w:eastAsia="Georgia" w:hAnsi="Georgia"/>
          <w:b/>
          <w:bCs/>
          <w:color w:val="0099BB"/>
          <w:sz w:val="28"/>
          <w:szCs w:val="28"/>
        </w:rPr>
        <w:t xml:space="preserve">B5. Reduction de la depense publique</w:t>
      </w:r>
    </w:p>
    <w:p>
      <w:pPr>
        <w:spacing w:before="200" w:after="100"/>
      </w:pPr>
      <w:r>
        <w:rPr>
          <w:rFonts w:ascii="Arial" w:cs="Arial" w:eastAsia="Arial" w:hAnsi="Arial"/>
          <w:b/>
          <w:bCs/>
          <w:color w:val="0A1628"/>
          <w:sz w:val="24"/>
          <w:szCs w:val="24"/>
        </w:rPr>
        <w:t xml:space="preserve">Canada (1994-1999) : le modele de reference</w:t>
      </w:r>
    </w:p>
    <w:p>
      <w:pPr>
        <w:pStyle w:val="ListParagraph"/>
        <w:numPr>
          <w:ilvl w:val="0"/>
          <w:numId w:val="{b78-0}"/>
        </w:numPr>
        <w:spacing w:after="80"/>
      </w:pPr>
      <w:r>
        <w:rPr>
          <w:rFonts w:ascii="Arial" w:cs="Arial" w:eastAsia="Arial" w:hAnsi="Arial"/>
          <w:color w:val="1A2332"/>
          <w:sz w:val="22"/>
          <w:szCs w:val="22"/>
        </w:rPr>
        <w:t xml:space="preserve">Avant : deficit de 30 Md CAD (6 % du PIB), dette a 68 % du PIB</w:t>
      </w:r>
    </w:p>
    <w:p>
      <w:pPr>
        <w:pStyle w:val="ListParagraph"/>
        <w:numPr>
          <w:ilvl w:val="0"/>
          <w:numId w:val="{b78-0}"/>
        </w:numPr>
        <w:spacing w:after="80"/>
      </w:pPr>
      <w:r>
        <w:rPr>
          <w:rFonts w:ascii="Arial" w:cs="Arial" w:eastAsia="Arial" w:hAnsi="Arial"/>
          <w:color w:val="1A2332"/>
          <w:sz w:val="22"/>
          <w:szCs w:val="22"/>
        </w:rPr>
        <w:t xml:space="preserve">Methode : revue complete de chaque programme (-20 % sur 3 ans)</w:t>
      </w:r>
    </w:p>
    <w:p>
      <w:pPr>
        <w:pStyle w:val="ListParagraph"/>
        <w:numPr>
          <w:ilvl w:val="0"/>
          <w:numId w:val="{b78-0}"/>
        </w:numPr>
        <w:spacing w:after="80"/>
      </w:pPr>
      <w:r>
        <w:rPr>
          <w:rFonts w:ascii="Arial" w:cs="Arial" w:eastAsia="Arial" w:hAnsi="Arial"/>
          <w:color w:val="1A2332"/>
          <w:sz w:val="22"/>
          <w:szCs w:val="22"/>
        </w:rPr>
        <w:t xml:space="preserve">Apres : excedent de 14,3 Md CAD en 1998 (surplus pendant 12 ans consecutifs)</w:t>
      </w:r>
    </w:p>
    <w:p>
      <w:pPr>
        <w:pStyle w:val="ListParagraph"/>
        <w:numPr>
          <w:ilvl w:val="0"/>
          <w:numId w:val="{b78-0}"/>
        </w:numPr>
        <w:spacing w:after="80"/>
      </w:pPr>
      <w:r>
        <w:rPr>
          <w:rFonts w:ascii="Arial" w:cs="Arial" w:eastAsia="Arial" w:hAnsi="Arial"/>
          <w:color w:val="1A2332"/>
          <w:sz w:val="22"/>
          <w:szCs w:val="22"/>
        </w:rPr>
        <w:t xml:space="preserve">Croissance : 3,3 %/an pendant la periode (supérieure aux G7)</w:t>
      </w:r>
    </w:p>
    <w:p>
      <w:pPr>
        <w:pStyle w:val="ListParagraph"/>
        <w:numPr>
          <w:ilvl w:val="0"/>
          <w:numId w:val="{b78-0}"/>
        </w:numPr>
        <w:spacing w:after="80"/>
      </w:pPr>
      <w:r>
        <w:rPr>
          <w:rFonts w:ascii="Arial" w:cs="Arial" w:eastAsia="Arial" w:hAnsi="Arial"/>
          <w:b/>
          <w:bCs/>
          <w:color w:val="1A2332"/>
          <w:sz w:val="22"/>
          <w:szCs w:val="22"/>
        </w:rPr>
        <w:t xml:space="preserve">-8 points de depenses publiques en % du PIB en 5 ans</w:t>
      </w:r>
    </w:p>
    <w:p>
      <w:pPr>
        <w:spacing w:after="60"/>
      </w:pPr>
      <w:r>
        <w:rPr>
          <w:rFonts w:ascii="Arial" w:cs="Arial" w:eastAsia="Arial" w:hAnsi="Arial"/>
          <w:i/>
          <w:iCs/>
          <w:color w:val="6B7B8D"/>
          <w:sz w:val="18"/>
          <w:szCs w:val="18"/>
        </w:rPr>
        <w:t xml:space="preserve">Source : Bank of Canada ; FMI — Canada Article IV ; Fraser Institute</w:t>
      </w:r>
    </w:p>
    <w:p>
      <w:pPr>
        <w:pStyle w:val="Heading2"/>
        <w:spacing w:before="300" w:after="150"/>
      </w:pPr>
      <w:r>
        <w:rPr>
          <w:rFonts w:ascii="Georgia" w:cs="Georgia" w:eastAsia="Georgia" w:hAnsi="Georgia"/>
          <w:b/>
          <w:bCs/>
          <w:color w:val="0099BB"/>
          <w:sz w:val="28"/>
          <w:szCs w:val="28"/>
        </w:rPr>
        <w:t xml:space="preserve">B6. Immigration selective</w:t>
      </w:r>
    </w:p>
    <w:p>
      <w:pPr>
        <w:spacing w:before="200" w:after="100"/>
      </w:pPr>
      <w:r>
        <w:rPr>
          <w:rFonts w:ascii="Arial" w:cs="Arial" w:eastAsia="Arial" w:hAnsi="Arial"/>
          <w:b/>
          <w:bCs/>
          <w:color w:val="0A1628"/>
          <w:sz w:val="24"/>
          <w:szCs w:val="24"/>
        </w:rPr>
        <w:t xml:space="preserve">Canada — Express Entry (depuis 1967, reforme 2015)</w:t>
      </w:r>
    </w:p>
    <w:p>
      <w:pPr>
        <w:pStyle w:val="ListParagraph"/>
        <w:numPr>
          <w:ilvl w:val="0"/>
          <w:numId w:val="{b79-0}"/>
        </w:numPr>
        <w:spacing w:after="80"/>
      </w:pPr>
      <w:r>
        <w:rPr>
          <w:rFonts w:ascii="Arial" w:cs="Arial" w:eastAsia="Arial" w:hAnsi="Arial"/>
          <w:color w:val="1A2332"/>
          <w:sz w:val="22"/>
          <w:szCs w:val="22"/>
        </w:rPr>
        <w:t xml:space="preserve">Systeme a points : diplome (30 pts), langue (25), experience (20), age (15), offre emploi (10)</w:t>
      </w:r>
    </w:p>
    <w:p>
      <w:pPr>
        <w:pStyle w:val="ListParagraph"/>
        <w:numPr>
          <w:ilvl w:val="0"/>
          <w:numId w:val="{b79-0}"/>
        </w:numPr>
        <w:spacing w:after="80"/>
      </w:pPr>
      <w:r>
        <w:rPr>
          <w:rFonts w:ascii="Arial" w:cs="Arial" w:eastAsia="Arial" w:hAnsi="Arial"/>
          <w:color w:val="1A2332"/>
          <w:sz w:val="22"/>
          <w:szCs w:val="22"/>
        </w:rPr>
        <w:t xml:space="preserve">60 % de l'immigration est economique (vs 13 % en France)</w:t>
      </w:r>
    </w:p>
    <w:p>
      <w:pPr>
        <w:pStyle w:val="ListParagraph"/>
        <w:numPr>
          <w:ilvl w:val="0"/>
          <w:numId w:val="{b79-0}"/>
        </w:numPr>
        <w:spacing w:after="80"/>
      </w:pPr>
      <w:r>
        <w:rPr>
          <w:rFonts w:ascii="Arial" w:cs="Arial" w:eastAsia="Arial" w:hAnsi="Arial"/>
          <w:color w:val="1A2332"/>
          <w:sz w:val="22"/>
          <w:szCs w:val="22"/>
        </w:rPr>
        <w:t xml:space="preserve">Immigrants selectionnes : revenu median superieur a la moyenne nationale apres 5 ans</w:t>
      </w:r>
    </w:p>
    <w:p>
      <w:pPr>
        <w:pStyle w:val="ListParagraph"/>
        <w:numPr>
          <w:ilvl w:val="0"/>
          <w:numId w:val="{b79-0}"/>
        </w:numPr>
        <w:spacing w:after="80"/>
      </w:pPr>
      <w:r>
        <w:rPr>
          <w:rFonts w:ascii="Arial" w:cs="Arial" w:eastAsia="Arial" w:hAnsi="Arial"/>
          <w:color w:val="1A2332"/>
          <w:sz w:val="22"/>
          <w:szCs w:val="22"/>
        </w:rPr>
        <w:t xml:space="preserve">4 000 invitations/mois (Q1 2026)</w:t>
      </w:r>
    </w:p>
    <w:p>
      <w:pPr>
        <w:spacing w:after="60"/>
      </w:pPr>
      <w:r>
        <w:rPr>
          <w:rFonts w:ascii="Arial" w:cs="Arial" w:eastAsia="Arial" w:hAnsi="Arial"/>
          <w:i/>
          <w:iCs/>
          <w:color w:val="6B7B8D"/>
          <w:sz w:val="18"/>
          <w:szCs w:val="18"/>
        </w:rPr>
        <w:t xml:space="preserve">Source : IRCC Canada.ca ; VisaHQ — Express Entry 2026</w:t>
      </w:r>
    </w:p>
    <w:p>
      <w:pPr>
        <w:spacing w:before="200" w:after="100"/>
      </w:pPr>
      <w:r>
        <w:rPr>
          <w:rFonts w:ascii="Arial" w:cs="Arial" w:eastAsia="Arial" w:hAnsi="Arial"/>
          <w:b/>
          <w:bCs/>
          <w:color w:val="0A1628"/>
          <w:sz w:val="24"/>
          <w:szCs w:val="24"/>
        </w:rPr>
        <w:t xml:space="preserve">Australie — SkillSelect</w:t>
      </w:r>
    </w:p>
    <w:p>
      <w:pPr>
        <w:pStyle w:val="ListParagraph"/>
        <w:numPr>
          <w:ilvl w:val="0"/>
          <w:numId w:val="{b80-0}"/>
        </w:numPr>
        <w:spacing w:after="80"/>
      </w:pPr>
      <w:r>
        <w:rPr>
          <w:rFonts w:ascii="Arial" w:cs="Arial" w:eastAsia="Arial" w:hAnsi="Arial"/>
          <w:color w:val="1A2332"/>
          <w:sz w:val="22"/>
          <w:szCs w:val="22"/>
        </w:rPr>
        <w:t xml:space="preserve">70 % de l'immigration est qualifiee</w:t>
      </w:r>
    </w:p>
    <w:p>
      <w:pPr>
        <w:pStyle w:val="ListParagraph"/>
        <w:numPr>
          <w:ilvl w:val="0"/>
          <w:numId w:val="{b80-0}"/>
        </w:numPr>
        <w:spacing w:after="80"/>
      </w:pPr>
      <w:r>
        <w:rPr>
          <w:rFonts w:ascii="Arial" w:cs="Arial" w:eastAsia="Arial" w:hAnsi="Arial"/>
          <w:color w:val="1A2332"/>
          <w:sz w:val="22"/>
          <w:szCs w:val="22"/>
        </w:rPr>
        <w:t xml:space="preserve">Score minimum : 65 points</w:t>
      </w:r>
    </w:p>
    <w:p>
      <w:pPr>
        <w:pStyle w:val="ListParagraph"/>
        <w:numPr>
          <w:ilvl w:val="0"/>
          <w:numId w:val="{b80-0}"/>
        </w:numPr>
        <w:spacing w:after="80"/>
      </w:pPr>
      <w:r>
        <w:rPr>
          <w:rFonts w:ascii="Arial" w:cs="Arial" w:eastAsia="Arial" w:hAnsi="Arial"/>
          <w:color w:val="1A2332"/>
          <w:sz w:val="22"/>
          <w:szCs w:val="22"/>
        </w:rPr>
        <w:t xml:space="preserve">Categories prioritaires adaptees chaque annee aux besoins du marche</w:t>
      </w:r>
    </w:p>
    <w:p>
      <w:pPr>
        <w:spacing w:after="60"/>
      </w:pPr>
      <w:r>
        <w:rPr>
          <w:rFonts w:ascii="Arial" w:cs="Arial" w:eastAsia="Arial" w:hAnsi="Arial"/>
          <w:i/>
          <w:iCs/>
          <w:color w:val="6B7B8D"/>
          <w:sz w:val="18"/>
          <w:szCs w:val="18"/>
        </w:rPr>
        <w:t xml:space="preserve">Source : Australian Home Affairs — Points Table</w:t>
      </w:r>
    </w:p>
    <w:p>
      <w:pPr>
        <w:pStyle w:val="Heading2"/>
        <w:spacing w:before="300" w:after="150"/>
      </w:pPr>
      <w:r>
        <w:rPr>
          <w:rFonts w:ascii="Georgia" w:cs="Georgia" w:eastAsia="Georgia" w:hAnsi="Georgia"/>
          <w:b/>
          <w:bCs/>
          <w:color w:val="0099BB"/>
          <w:sz w:val="28"/>
          <w:szCs w:val="28"/>
        </w:rPr>
        <w:t xml:space="preserve">B7. Nucleaire</w:t>
      </w:r>
    </w:p>
    <w:p>
      <w:pPr>
        <w:spacing w:before="200" w:after="100"/>
      </w:pPr>
      <w:r>
        <w:rPr>
          <w:rFonts w:ascii="Arial" w:cs="Arial" w:eastAsia="Arial" w:hAnsi="Arial"/>
          <w:b/>
          <w:bCs/>
          <w:color w:val="0A1628"/>
          <w:sz w:val="24"/>
          <w:szCs w:val="24"/>
        </w:rPr>
        <w:t xml:space="preserve">Coree du Sud — Standardisation et construction en serie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2860"/>
      </w:tblGrid>
      <w:tr>
        <w:trPr>
          <w:tblHeader/>
        </w:trPr>
        <w:tc>
          <w:tcPr>
            <w:tcW w:type="dxa" w:w="35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Indicateur</w:t>
            </w:r>
          </w:p>
        </w:tc>
        <w:tc>
          <w:tcPr>
            <w:tcW w:type="dxa" w:w="300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Coree du Sud</w:t>
            </w:r>
          </w:p>
        </w:tc>
        <w:tc>
          <w:tcPr>
            <w:tcW w:type="dxa" w:w="2860"/>
            <w:tcBorders>
              <w:top w:val="single" w:color="CCCCCC" w:sz="1"/>
              <w:left w:val="single" w:color="CCCCCC" w:sz="1"/>
              <w:bottom w:val="single" w:color="CCCCCC" w:sz="1"/>
              <w:right w:val="single" w:color="CCCCCC" w:sz="1"/>
            </w:tcBorders>
            <w:shd w:fill="0A1628" w:val="clear"/>
            <w:vAlign w:val="center"/>
          </w:tcPr>
          <w:p>
            <w:pPr>
              <w:jc w:val="center"/>
            </w:pPr>
            <w:r>
              <w:rPr>
                <w:rFonts w:ascii="Arial" w:cs="Arial" w:eastAsia="Arial" w:hAnsi="Arial"/>
                <w:b/>
                <w:bCs/>
                <w:color w:val="FFFFFF"/>
                <w:sz w:val="20"/>
                <w:szCs w:val="20"/>
              </w:rPr>
              <w:t xml:space="preserve">France (Flamanville)</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Cout par MW installe</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3 571 USD/kW</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7 931 USD/kW</w:t>
            </w:r>
          </w:p>
        </w:tc>
      </w:tr>
      <w:tr>
        <w:tc>
          <w:tcPr>
            <w:tcW w:type="dxa" w:w="35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Duree construction</w:t>
            </w:r>
          </w:p>
        </w:tc>
        <w:tc>
          <w:tcPr>
            <w:tcW w:type="dxa" w:w="300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56 mois</w:t>
            </w:r>
          </w:p>
        </w:tc>
        <w:tc>
          <w:tcPr>
            <w:tcW w:type="dxa" w:w="2860"/>
            <w:tcBorders>
              <w:top w:val="single" w:color="CCCCCC" w:sz="1"/>
              <w:left w:val="single" w:color="CCCCCC" w:sz="1"/>
              <w:bottom w:val="single" w:color="CCCCCC" w:sz="1"/>
              <w:right w:val="single" w:color="CCCCCC" w:sz="1"/>
            </w:tcBorders>
          </w:tcPr>
          <w:p>
            <w:pPr>
              <w:spacing w:after="40"/>
            </w:pPr>
            <w:r>
              <w:rPr>
                <w:rFonts w:ascii="Arial" w:cs="Arial" w:eastAsia="Arial" w:hAnsi="Arial"/>
                <w:color w:val="333333"/>
                <w:sz w:val="20"/>
                <w:szCs w:val="20"/>
              </w:rPr>
              <w:t xml:space="preserve">216+ mois (18 ans)</w:t>
            </w:r>
          </w:p>
        </w:tc>
      </w:tr>
      <w:tr>
        <w:tc>
          <w:tcPr>
            <w:tcW w:type="dxa" w:w="35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Taux de disponibilite</w:t>
            </w:r>
          </w:p>
        </w:tc>
        <w:tc>
          <w:tcPr>
            <w:tcW w:type="dxa" w:w="300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&gt; 90 %</w:t>
            </w:r>
          </w:p>
        </w:tc>
        <w:tc>
          <w:tcPr>
            <w:tcW w:type="dxa" w:w="2860"/>
            <w:tcBorders>
              <w:top w:val="single" w:color="CCCCCC" w:sz="1"/>
              <w:left w:val="single" w:color="CCCCCC" w:sz="1"/>
              <w:bottom w:val="single" w:color="CCCCCC" w:sz="1"/>
              <w:right w:val="single" w:color="CCCCCC" w:sz="1"/>
            </w:tcBorders>
            <w:shd w:fill="E8F4F8" w:val="clear"/>
          </w:tcPr>
          <w:p>
            <w:pPr>
              <w:spacing w:after="40"/>
            </w:pPr>
            <w:r>
              <w:rPr>
                <w:rFonts w:ascii="Arial" w:cs="Arial" w:eastAsia="Arial" w:hAnsi="Arial"/>
                <w:color w:val="333333"/>
                <w:sz w:val="20"/>
                <w:szCs w:val="20"/>
              </w:rPr>
              <w:t xml:space="preserve">~65-70 %</w:t>
            </w:r>
          </w:p>
        </w:tc>
      </w:tr>
    </w:tbl>
    <w:p>
      <w:pPr>
        <w:spacing w:after="80"/>
      </w:pPr>
      <w:r>
        <w:rPr>
          <w:rFonts w:ascii="Arial" w:cs="Arial" w:eastAsia="Arial" w:hAnsi="Arial"/>
          <w:color w:val="1A2332"/>
          <w:sz w:val="20"/>
          <w:szCs w:val="20"/>
        </w:rPr>
        <w:t xml:space="preserve">La difference : standardisation (un seul design replique), main-d'oeuvre experimentee, chaine d'approvisionnement nationale.</w:t>
      </w:r>
    </w:p>
    <w:p>
      <w:pPr>
        <w:spacing w:after="80"/>
      </w:pPr>
      <w:r>
        <w:rPr>
          <w:rFonts w:ascii="Arial" w:cs="Arial" w:eastAsia="Arial" w:hAnsi="Arial"/>
          <w:color w:val="1A2332"/>
          <w:sz w:val="20"/>
          <w:szCs w:val="20"/>
        </w:rPr>
        <w:t xml:space="preserve">Le programme EPR2 vise a reproduire cette logique : meme design x 6, puis x 14.</w:t>
      </w:r>
    </w:p>
    <w:p>
      <w:pPr>
        <w:spacing w:after="60"/>
      </w:pPr>
      <w:r>
        <w:rPr>
          <w:rFonts w:ascii="Arial" w:cs="Arial" w:eastAsia="Arial" w:hAnsi="Arial"/>
          <w:i/>
          <w:iCs/>
          <w:color w:val="6B7B8D"/>
          <w:sz w:val="18"/>
          <w:szCs w:val="18"/>
        </w:rPr>
        <w:t xml:space="preserve">Source : World Nuclear Association ; SFEN — Comparaison couts nucleaires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onsolas" w:cs="Consolas" w:eastAsia="Consolas" w:hAnsi="Consolas"/>
        <w:color w:val="0099BB"/>
        <w:sz w:val="16"/>
        <w:szCs w:val="16"/>
      </w:rPr>
      <w:t xml:space="preserve">ouvalargent.com</w:t>
    </w:r>
    <w:r>
      <w:rPr>
        <w:rFonts w:ascii="Arial" w:cs="Arial" w:eastAsia="Arial" w:hAnsi="Arial"/>
        <w:color w:val="6B7B8D"/>
        <w:sz w:val="16"/>
        <w:szCs w:val="16"/>
      </w:rPr>
      <w:t xml:space="preserve">  |  Page </w:t>
    </w:r>
    <w:r>
      <w:rPr>
        <w:rFonts w:ascii="Arial" w:cs="Arial" w:eastAsia="Arial" w:hAnsi="Arial"/>
        <w:color w:val="6B7B8D"/>
        <w:sz w:val="16"/>
        <w:szCs w:val="16"/>
      </w:rPr>
      <w:fldChar w:fldCharType="begin"/>
      <w:instrText xml:space="preserve">PAGE</w:instrText>
      <w:fldChar w:fldCharType="separate"/>
      <w:fldChar w:fldCharType="end"/>
    </w:r>
    <w:r>
      <w:rPr>
        <w:rFonts w:ascii="Arial" w:cs="Arial" w:eastAsia="Arial" w:hAnsi="Arial"/>
        <w:color w:val="6B7B8D"/>
        <w:sz w:val="16"/>
        <w:szCs w:val="16"/>
      </w:rPr>
      <w:t xml:space="preserve"> sur </w:t>
    </w:r>
    <w:r>
      <w:rPr>
        <w:rFonts w:ascii="Arial" w:cs="Arial" w:eastAsia="Arial" w:hAnsi="Arial"/>
        <w:color w:val="6B7B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b/>
        <w:bCs/>
        <w:color w:val="0099BB"/>
        <w:sz w:val="20"/>
        <w:szCs w:val="20"/>
      </w:rPr>
      <w:t xml:space="preserve">€ </w:t>
    </w:r>
    <w:r>
      <w:rPr>
        <w:rFonts w:ascii="Georgia" w:cs="Georgia" w:eastAsia="Georgia" w:hAnsi="Georgia"/>
        <w:b/>
        <w:bCs/>
        <w:color w:val="0A1628"/>
        <w:sz w:val="18"/>
        <w:szCs w:val="18"/>
      </w:rPr>
      <w:t xml:space="preserve">Ou Va l'Argent ? </w:t>
    </w:r>
    <w:r>
      <w:rPr>
        <w:rFonts w:ascii="Arial" w:cs="Arial" w:eastAsia="Arial" w:hAnsi="Arial"/>
        <w:i/>
        <w:iCs/>
        <w:color w:val="6B7B8D"/>
        <w:sz w:val="18"/>
        <w:szCs w:val="18"/>
      </w:rPr>
      <w:t xml:space="preserve">| FRANCE 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decimal"/>
      <w:lvlText w:val="%1."/>
      <w:lvlJc w:val="left"/>
      <w:pPr>
        <w:ind w:left="72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decimal"/>
      <w:lvlText w:val="%1."/>
      <w:lvlJc w:val="left"/>
      <w:pPr>
        <w:ind w:left="72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 w:numId="14">
    <w:abstractNumId w:val="14"/>
    <w:lvlOverride w:ilvl="0">
      <w:startOverride w:val="1"/>
    </w:lvlOverride>
  </w:num>
  <w:num w:numId="15">
    <w:abstractNumId w:val="15"/>
    <w:lvlOverride w:ilvl="0">
      <w:startOverride w:val="1"/>
    </w:lvlOverride>
  </w:num>
  <w:num w:numId="16">
    <w:abstractNumId w:val="16"/>
    <w:lvlOverride w:ilvl="0">
      <w:startOverride w:val="1"/>
    </w:lvlOverride>
  </w:num>
  <w:num w:numId="17">
    <w:abstractNumId w:val="17"/>
    <w:lvlOverride w:ilvl="0">
      <w:startOverride w:val="1"/>
    </w:lvlOverride>
  </w:num>
  <w:num w:numId="18">
    <w:abstractNumId w:val="18"/>
    <w:lvlOverride w:ilvl="0">
      <w:startOverride w:val="1"/>
    </w:lvlOverride>
  </w:num>
  <w:num w:numId="19">
    <w:abstractNumId w:val="19"/>
    <w:lvlOverride w:ilvl="0">
      <w:startOverride w:val="1"/>
    </w:lvlOverride>
  </w:num>
  <w:num w:numId="20">
    <w:abstractNumId w:val="20"/>
    <w:lvlOverride w:ilvl="0">
      <w:startOverride w:val="1"/>
    </w:lvlOverride>
  </w:num>
  <w:num w:numId="21">
    <w:abstractNumId w:val="21"/>
    <w:lvlOverride w:ilvl="0">
      <w:startOverride w:val="1"/>
    </w:lvlOverride>
  </w:num>
  <w:num w:numId="22">
    <w:abstractNumId w:val="22"/>
    <w:lvlOverride w:ilvl="0">
      <w:startOverride w:val="1"/>
    </w:lvlOverride>
  </w:num>
  <w:num w:numId="23">
    <w:abstractNumId w:val="23"/>
    <w:lvlOverride w:ilvl="0">
      <w:startOverride w:val="1"/>
    </w:lvlOverride>
  </w:num>
  <w:num w:numId="24">
    <w:abstractNumId w:val="24"/>
    <w:lvlOverride w:ilvl="0">
      <w:startOverride w:val="1"/>
    </w:lvlOverride>
  </w:num>
  <w:num w:numId="25">
    <w:abstractNumId w:val="25"/>
    <w:lvlOverride w:ilvl="0">
      <w:startOverride w:val="1"/>
    </w:lvlOverride>
  </w:num>
  <w:num w:numId="26">
    <w:abstractNumId w:val="26"/>
    <w:lvlOverride w:ilvl="0">
      <w:startOverride w:val="1"/>
    </w:lvlOverride>
  </w:num>
  <w:num w:numId="27">
    <w:abstractNumId w:val="27"/>
    <w:lvlOverride w:ilvl="0">
      <w:startOverride w:val="1"/>
    </w:lvlOverride>
  </w:num>
  <w:num w:numId="28">
    <w:abstractNumId w:val="28"/>
    <w:lvlOverride w:ilvl="0">
      <w:startOverride w:val="1"/>
    </w:lvlOverride>
  </w:num>
  <w:num w:numId="29">
    <w:abstractNumId w:val="29"/>
    <w:lvlOverride w:ilvl="0">
      <w:startOverride w:val="1"/>
    </w:lvlOverride>
  </w:num>
  <w:num w:numId="30">
    <w:abstractNumId w:val="30"/>
    <w:lvlOverride w:ilvl="0">
      <w:startOverride w:val="1"/>
    </w:lvlOverride>
  </w:num>
  <w:num w:numId="31">
    <w:abstractNumId w:val="31"/>
    <w:lvlOverride w:ilvl="0">
      <w:startOverride w:val="1"/>
    </w:lvlOverride>
  </w:num>
  <w:num w:numId="32">
    <w:abstractNumId w:val="32"/>
    <w:lvlOverride w:ilvl="0">
      <w:startOverride w:val="1"/>
    </w:lvlOverride>
  </w:num>
  <w:num w:numId="33">
    <w:abstractNumId w:val="33"/>
    <w:lvlOverride w:ilvl="0">
      <w:startOverride w:val="1"/>
    </w:lvlOverride>
  </w:num>
  <w:num w:numId="34">
    <w:abstractNumId w:val="34"/>
    <w:lvlOverride w:ilvl="0">
      <w:startOverride w:val="1"/>
    </w:lvlOverride>
  </w:num>
  <w:num w:numId="35">
    <w:abstractNumId w:val="35"/>
    <w:lvlOverride w:ilvl="0">
      <w:startOverride w:val="1"/>
    </w:lvlOverride>
  </w:num>
  <w:num w:numId="36">
    <w:abstractNumId w:val="36"/>
    <w:lvlOverride w:ilvl="0">
      <w:startOverride w:val="1"/>
    </w:lvlOverride>
  </w:num>
  <w:num w:numId="37">
    <w:abstractNumId w:val="37"/>
    <w:lvlOverride w:ilvl="0">
      <w:startOverride w:val="1"/>
    </w:lvlOverride>
  </w:num>
  <w:num w:numId="38">
    <w:abstractNumId w:val="38"/>
    <w:lvlOverride w:ilvl="0">
      <w:startOverride w:val="1"/>
    </w:lvlOverride>
  </w:num>
  <w:num w:numId="39">
    <w:abstractNumId w:val="39"/>
    <w:lvlOverride w:ilvl="0">
      <w:startOverride w:val="1"/>
    </w:lvlOverride>
  </w:num>
  <w:num w:numId="40">
    <w:abstractNumId w:val="40"/>
    <w:lvlOverride w:ilvl="0">
      <w:startOverride w:val="1"/>
    </w:lvlOverride>
  </w:num>
  <w:num w:numId="41">
    <w:abstractNumId w:val="4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240" w:after="120"/>
      <w:jc w:val="center"/>
    </w:pPr>
    <w:rPr>
      <w:rFonts w:ascii="Georgia" w:cs="Georgia" w:eastAsia="Georgia" w:hAnsi="Georgia"/>
      <w:b/>
      <w:bCs/>
      <w:color w:val="0A1628"/>
      <w:sz w:val="56"/>
      <w:szCs w:val="56"/>
    </w:rPr>
  </w:style>
  <w:style w:type="paragraph" w:styleId="Heading1">
    <w:name w:val="Heading 1"/>
    <w:basedOn w:val="Normal"/>
    <w:next w:val="Normal"/>
    <w:qFormat/>
    <w:pPr>
      <w:spacing w:before="400" w:after="200"/>
      <w:outlineLvl w:val="0"/>
    </w:pPr>
    <w:rPr>
      <w:rFonts w:ascii="Georgia" w:cs="Georgia" w:eastAsia="Georgia" w:hAnsi="Georgia"/>
      <w:b/>
      <w:bCs/>
      <w:color w:val="0A1628"/>
      <w:sz w:val="36"/>
      <w:szCs w:val="36"/>
    </w:rPr>
  </w:style>
  <w:style w:type="paragraph" w:styleId="Heading2">
    <w:name w:val="Heading 2"/>
    <w:basedOn w:val="Normal"/>
    <w:next w:val="Normal"/>
    <w:qFormat/>
    <w:pPr>
      <w:spacing w:before="300" w:after="150"/>
      <w:outlineLvl w:val="1"/>
    </w:pPr>
    <w:rPr>
      <w:rFonts w:ascii="Georgia" w:cs="Georgia" w:eastAsia="Georgia" w:hAnsi="Georgia"/>
      <w:b/>
      <w:bCs/>
      <w:color w:val="0099B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2026-03-19T20:17:34.212Z</dcterms:created>
  <dcterms:modified xsi:type="dcterms:W3CDTF">2026-03-19T20:17:34.218Z</dcterms:modified>
</cp:coreProperties>
</file>

<file path=docProps/custom.xml><?xml version="1.0" encoding="utf-8"?>
<Properties xmlns="http://schemas.openxmlformats.org/officeDocument/2006/custom-properties" xmlns:vt="http://schemas.openxmlformats.org/officeDocument/2006/docPropsVTypes"/>
</file>