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</w:p>
    <w:p>
      <w:pPr>
        <w:spacing w:after="80"/>
        <w:jc w:val="center"/>
      </w:pPr>
      <w:r>
        <w:rPr>
          <w:rFonts w:ascii="Georgia" w:cs="Georgia" w:eastAsia="Georgia" w:hAnsi="Georgia"/>
          <w:b/>
          <w:bCs/>
          <w:color w:val="0099BB"/>
          <w:sz w:val="96"/>
          <w:szCs w:val="96"/>
        </w:rPr>
        <w:t xml:space="preserve">€</w:t>
      </w:r>
    </w:p>
    <w:p>
      <w:pPr>
        <w:spacing w:after="400"/>
        <w:jc w:val="center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Ou Va l'Argent ?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0099BB"/>
          <w:sz w:val="28"/>
          <w:szCs w:val="28"/>
        </w:rPr>
        <w:t xml:space="preserve">____________________</w:t>
      </w: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0A1628"/>
          <w:sz w:val="56"/>
          <w:szCs w:val="56"/>
        </w:rPr>
        <w:t xml:space="preserve">RETRAITES : REUSSIR LA TRANSITION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0099BB"/>
          <w:sz w:val="32"/>
          <w:szCs w:val="32"/>
        </w:rPr>
        <w:t xml:space="preserve">De la repartition pure au systeme mixte</w:t>
      </w:r>
    </w:p>
    <w:p>
      <w:pPr>
        <w:spacing w:after="100"/>
        <w:jc w:val="center"/>
      </w:pPr>
      <w:r>
        <w:rPr>
          <w:rFonts w:ascii="Arial" w:cs="Arial" w:eastAsia="Arial" w:hAnsi="Arial"/>
          <w:color w:val="6B7B8D"/>
          <w:sz w:val="24"/>
          <w:szCs w:val="24"/>
        </w:rPr>
        <w:t xml:space="preserve">Mecanisme de transition, financement de la double charge,</w:t>
      </w:r>
    </w:p>
    <w:p>
      <w:pPr>
        <w:spacing w:after="200"/>
        <w:jc w:val="center"/>
      </w:pPr>
      <w:r>
        <w:rPr>
          <w:rFonts w:ascii="Arial" w:cs="Arial" w:eastAsia="Arial" w:hAnsi="Arial"/>
          <w:color w:val="6B7B8D"/>
          <w:sz w:val="24"/>
          <w:szCs w:val="24"/>
        </w:rPr>
        <w:t xml:space="preserve">scenarios chiffres et comparaisons internationales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0099BB"/>
          <w:sz w:val="28"/>
          <w:szCs w:val="28"/>
        </w:rPr>
        <w:t xml:space="preserve">____________________</w:t>
      </w:r>
    </w:p>
    <w:p>
      <w:pPr>
        <w:spacing w:before="500"/>
        <w:jc w:val="center"/>
      </w:pPr>
      <w:r>
        <w:rPr>
          <w:rFonts w:ascii="Consolas" w:cs="Consolas" w:eastAsia="Consolas" w:hAnsi="Consolas"/>
          <w:color w:val="0099BB"/>
          <w:sz w:val="22"/>
          <w:szCs w:val="22"/>
        </w:rPr>
        <w:t xml:space="preserve">ouvalargent.com</w:t>
      </w:r>
    </w:p>
    <w:p>
      <w:pPr>
        <w:jc w:val="center"/>
      </w:pPr>
      <w:r>
        <w:rPr>
          <w:rFonts w:ascii="Arial" w:cs="Arial" w:eastAsia="Arial" w:hAnsi="Arial"/>
          <w:color w:val="6B7B8D"/>
          <w:sz w:val="22"/>
          <w:szCs w:val="22"/>
        </w:rPr>
        <w:t xml:space="preserve">Mars 2026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Table des matieres</w:t>
      </w:r>
    </w:p>
    <w:sdt>
      <w:sdtPr>
        <w:alias w:val="Table des matiere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Partie 1 : Pourquoi la repartition pure ne suffit plus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1.1 — Le mur demographique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systeme par repartition repose sur un pacte intergenerationnel : les actifs d'aujourd'hui financent les retraites d'aujourd'hui. Ce systeme fonctionne quand il y a beaucoup d'actifs pour peu de retraites. Or la demographie francaise s'est retournee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Cotisants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Retraites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1960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~12 millions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~3 millions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4,0 pour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1990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~25 millions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~10 millions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2,5 pour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30,4 millions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17,1 millions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1,79 pour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2040 (proj.)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~30 millions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~20 millions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1,5 pour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2070 (proj.)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~30,5 millions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~21,6 millions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1,41 pour 1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COR — Rapport annuel juin 2025 ; INSEE projections demographiques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 60 ans, le ratio est passe de </w:t>
      </w: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4 cotisants pour 1 retraite a 1,79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. En 2070, il sera de 1,41. Autrement dit : chaque actif devra financer presque un retraite entier. C'est mathematiquement insoutenable sans hausse perpetuelle des cotisations ou baisse des pensions.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1.2 — Un deficit structurel qui se creuse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COR projette un deficit croissant du systeme de retraites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Deficit (Md EUR)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du PIB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-1,7 (hors produits financiers)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-0,06 %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-15 a -20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-0,5 %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2045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-25 a -30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-0,8 %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2070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-42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-1,4 %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COR Rapport annuel 2025 — Projections tous scenarios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Ces projections supposent que les reformes actuelles (64 ans) sont maintenues. Sans reforme supplementaire, le deficit cumule 2025-2070 depasse </w:t>
      </w: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1 000 milliards d'euros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1.3 — La France depense plus que tous ses voisins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Les depenses de retraite francaises atteignent </w:t>
      </w: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406,9 milliards d'euros en 2024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(13,9 % du PIB, source COR), ce qui place la France au 2e rang europeen apres l'Italie (16,2 %). A titre de comparaison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Depenses retraite (% PIB)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 capitalisation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Italie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16,2 %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~10 %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13,9 %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~0 %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Allemagne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10,3 %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~15 %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Suede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7,4 %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~35 %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Pays-Bas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5,5 %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~70 %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Australie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2,3 %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~90 %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OCDE — Pensions at a Glance 2025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Les pays qui depensent le moins en repartition sont ceux qui ont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developpe la capitalisation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. Ce n'est pas un hasard : la capitalisation transfere une partie du financement vers les rendements de marche, delestant le budget public.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1.4 — Le rendement implicite de la repartition s'effondre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rendement de la repartition depend de la croissance de la masse salariale (= croissance des salaires + croissance de l'emploi). Or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Rendement implicite de la repartition : ~1,5 % nominal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(croissance masse salariale tendancielle)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Rendement historique de la capitalisation : 5-8 % nominal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sur 20-30 ans (voir Partie 5)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Sur 40 ans de carriere, la difference est colossale 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100 EUR/mois a 1,5% pendant 40 ans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100 x ((1,00125^480-1)/0,00125)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~73 000 EUR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100 EUR/mois a 6% pendant 40 ans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100 x ((1,005^480-1)/0,005)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~199 000 EUR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 cotisation egale, la capitalisation genere </w:t>
      </w: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2,7 fois plus de capital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que la repartition. C'est la puissance des interets composes.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Aaron (1966) — The Social Insurance Paradox ; Jordà et al. (2019) — Rate of Return on Everything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Partie 2 : Ce que les autres pays ont fait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2.1 — Suede : le modele de reference (1994)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Le systeme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Cotisation totale : 18,5 % du salaire brut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16 % en repartition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(comptes notionnels individuels — NDC)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2,5 % en capitalisation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(fonds par defaut AP7 ou choix parmi ~800 fonds)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Mecanisme d'equilibrage automatique (ABM) : si le ratio actifs/passifs du systeme passe sous 1, les pensions sont automatiquement reduites. Aucune decision politique requise.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La transition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Cout de transition quasi-nul : la Suede disposait deja de fonds tampons (AP1-AP4) representant ~40 % du PIB (750 Md SEK)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 part capitalisation (2,5 %) etait financee par redirection des cotisations existantes, pas par cotisation supplementaire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Mise en oeuvre progressive : generation de transition (personnes nees entre 1938 et 1953) = systeme mixte ancien/nouveau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Les resultats (25 ans apres)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Taux de remplacement : ~79 %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(repartition 86 % + capitalisation = complement)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Rendement AP7 : 13,5 % nominal sur 10 ans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(meilleur fonds par defaut au monde)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crise politique : l'ABM s'est declenche 2 fois (2010, 2014) sans debat public majeur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Taux de pauvrete des retraites : 11 % (similaire a la France)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Lecons pour la France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A reproduire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comptes notionnels, ABM automatique, fonds par defaut performant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Limite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la Suede avait des reserves massives. La France n'en a quasiment pas (FRR = 20 Md EUR)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Swedish Pension Agency — Orange Report ; Finnish Centre for Pensions 2024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2.2 — Australie : la montee en charge sur 33 ans (1992)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Le systeme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Superannuation : cotisation 100 % employeur, 0 % salarie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Montee en charge tres progressive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Hausse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1992-1993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Lancement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1993-2002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3 % a 9 %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+0,5-1 %/an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2002-2013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9 %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Gel (pression politique)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2013-2025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9 % a 12 %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+0,5 %/an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Les resultats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3 600 milliards AUD accumules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en 30 ans (~2 400 Md USD)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Rendement moyen des super funds : 7-10 %/an sur 20 ans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Taux de remplacement actuel : 35-40 % (monte a 50 % projete en 2050)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Couverture : &gt;98 % des salaries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Lecons pour la France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A reproduire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montee en charge TRES progressive (pas de choc), financement employeur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Limite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taux de remplacement insuffisant seul (35 %), necessite une pension publique en complement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APRA — Annual Fund-level Superannuation Statistics ; Australian Treasury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2.3 — Chili : l'exemple a ne pas suivre (1981)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Basculement total vers la capitalisation (0 % repartition)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Cout de transition : 2,5 a 5,7 % du PIB/an pendant 30 ans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(~200-250 Md USD cumules)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'Bono de reconocimiento' : obligations d'Etat a 4 % pour compenser les droits acquis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Commissions des fonds : 2-3 %/an = 10-15 % des actifs perdus sur 30 ans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Pensions effectives : 30-40 % du dernier salaire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(totalement insuffisant)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Retraits d'urgence COVID 2020-21 : 14 % du PIB preleve sur les comptes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Contre-reforme 2022 : retour partiel a la repartition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Conclusion : ne JAMAIS faire de basculement total. Le modele mixte (Suede/Australie) est le seul viable.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Banco Central de Chile ; World Bank — Pension Reform Primer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2.4 — Les echecs : Pologne et Hongrie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Pologne (1999-2014)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systeme a 3 piliers (ZUS 12,22 % + OFE 7,3 %). Nationalise en 2014 apres crise budgetaire. Transfert force de 153 Md PLN (51,5 % des actifs) vers le regime public. Duree : 15 ans seulement.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Hongrie (1998-2010)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3 piliers similaires. Nationalise en 2010 par Viktor Orban pour combler le deficit. Duree : 12 ans. Moody's a degrade la note immediatement.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Lecon : sans consensus politique large (&gt;80 %) et sans verrou constitutionnel, une reforme capitalisation peut etre annulee en une legislature.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Partie 3 : Le mecanisme de transition pour la France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Cette partie est le coeur du rapport.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Elle detaille annee par annee comment passer d'un systeme 100 % repartition a un systeme mixte 85 %/15 %, avec trois scenarios chiffres.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3.1 — Donnees de base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2024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Masse salariale brute (tous secteurs)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~1 400 Md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URSSAF/ACOSS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Cotisations retraite collectees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~392 Md EUR (28% du brut)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COR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Depenses de retraite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406,9 Md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COR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Deficit (hors produits financiers)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-1,7 Md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COR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Reserves FRR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 Md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FRR 2024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Reserves AGIRC-ARRCO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85,6 Md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AGIRC-ARRCO 2024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Nombre de cotisants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30,4 millions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COR 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Nombre de retraites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17,1 millions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COR 2025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COR Rapport annuel juin 2025 ; URSSAF Open Data ; FRR ; AGIRC-ARRCO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3.2 — Le principe : ne pas creer de choc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modele propose s'inspire de la Suede et de l'Australie. Les principes fondamentaux 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Progressivite 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montee en charge sur 10 ans, pas de basculement brutal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Systeme mixte 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jamais plus de 15 % en capitalisation (le reste en repartition)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Garantie des droits acquis 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aucun retraite actuel n'est touche. Seuls les actifs &lt; 50 ans entrent dans le nouveau systeme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Mecanisme automatique 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equilibrage suedois (ABM) pour eviter les crises politiques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Fonds par defaut public 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gestion collective avec frais &lt; 0,3 %/an (pas de fonds prives couteux)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3.3 — Trois scenarios de montee en charge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Scenario A : Prudent (1 % du brut en 10 ans)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capitalisation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redirige/an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Manque repartition/an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 (2028)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0,25 %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3,5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3,5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0,75 %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10,5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10,5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10 (2037)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1,0 %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10+ (croisiere)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1,0 %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 Md EUR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Cout de transition total (40 ans)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14 Md x 40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~560 Md EUR cumules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Capital accumule par salarie median (40 ans, 6%)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21 EUR/mois x ((1,005^480-1)/0,005)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~40 600 EUR = 135 EUR/mois de rente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Scenario B : Modere (2,5 % du brut en 10 ans) — RECOMMANDE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capitalisation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redirige/an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Manque repartition/an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 (2028)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1,0 %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21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18 Md EUR*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2,0 %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28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15 Md EUR*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2,5 %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35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 Md EUR*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10 (2037)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2,5 %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35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Md EUR*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15 (2042)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2,5 %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37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 Md EUR*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20 (2047)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2,5 %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38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 (autofinancement)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* Le manque a gagner pour la repartition diminue grace aux economies du recul de l'age (65 ans = +18 Md/an) et de l'alignement des regimes (+3-5 Md/an).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Cout de transition cumule (20 ans)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~200 Md EUR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(decroissant : 130 Md les 10 premieres annees, 70 Md les 10 suivantes)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Capital accumule par salarie median (40 ans, 6%)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52,50 EUR/mois x ((1,005^480-1)/0,005)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~102 000 EUR = 340 EUR/mois de rente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Scenario C : Ambitieux (5 % du brut en 10 ans)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Taux capitalisation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redirige/an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Manque repartition/an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 (2028)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14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28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25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3,5 %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49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30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10 (2037)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5,0 %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70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35 Md EUR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Cout de transition cumule (30 ans)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~400 Md EUR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(tres eleve)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Capital accumule par salarie median (40 ans, 6%)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105 EUR/mois x ((1,005^480-1)/0,005)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~204 000 EUR = 680 EUR/mois de rente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Attention 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ce scenario necessite 30-35 Md EUR/an de financement supplementaire, soit l'equivalent du budget de la Defense. Probablement irrealiste politiquement et budgetairement dans le contexte francais (deficit a 5,8 % du PIB).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3.4 — Notre recommandation : le Scenario B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scenario B (2,5 % en 10 ans) est le seul qui combine 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Realisme budgetaire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cout de transition de 10-14 Md EUR/an, finançable (voir Partie 4)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Impact significatif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340 EUR/mois de rente complementaire pour le salaire median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Precedent reussi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c'est exactement le taux suedois (2,5 %), prouve sur 25 ans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Acceptabilite politique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pas de baisse de pension pour les retraites actuels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3.5 — Calendrier legislatif detaille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Echeance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Vehicule legislatif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T1 2027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Discours presidentiel : annonce de la reforme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T2 2027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Convention citoyenne sur les retraites (3 mois)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Decret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T4 2027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Projet de loi organique 'Retraite mixte'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Loi organique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T1 2028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Vote au Parlement (majorite qualifiee souhaitee)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49.3 en dernier recours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T2 2028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Creation du Fonds France Retraite (FFR)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Decret + arrete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T3 2028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Premiere cotisation capitalisation (0,5%)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Mise en oeuvre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2028-2037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Montee en charge progressive jusqu'a 2,5%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Decrets annuels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2032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Premier bilan quinquennal + ajustements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Rapport COR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2042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Point d'equilibrage : la transition s'autofinance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Partie 4 : Financer la double charge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Le probleme central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pendant la transition, les actifs doivent a la fois financer les pensions en cours (repartition) ET epargner pour leur propre retraite (capitalisation). C'est la 'double charge'.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Dans le scenario B recommande, le manque a gagner pour la repartition est de </w:t>
      </w: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7 a 14 Md EUR/an les premieres annees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, decroissant progressivement. Sur 20 ans, le cout cumule est de ~200 Md EUR.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Bonne nouvelle : ce montant est finançable.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Voici les 7 sources de financement identifiees, avec leur chiffrage precis.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4.1 — Source 1 : Recul de l'age legal a 65 ans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Comme detaille dans la Partie 3, le recul de l'age de depart de 64 a 65 ans genere des economies majeures 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Economies par annee de recul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~0,5 point de PIB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~14 Md EUR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Impact de 64 a 65 ans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~7 Md EUR/an (montee progressive)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puis 14 Md EUR en croisiere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C'est la source de financement la plus importante. Elle couvre a elle seule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50 a 100 % du cout de transition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selon les annees.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Annee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Economies age 65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Cout transition (Sc. B)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 (2028)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Md 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-5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3 (2030)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 Md 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18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-12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5 (2032)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 Md 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15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-3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7 (2034)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16 Md 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+4 Md EUR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 10 (2037)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18 Md EUR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 Md EUR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+8 Md EUR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COR Rapport 2025 ; France Info — Estimations COR recul age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A partir de l'annee 7, le recul de l'age finance integralement la transition ET genere un excedent.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4.2 — Source 2 : Fonds de Reserve des Retraites (FRR)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FRR a ete cree en 2001 precisement pour financer la transition demographique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Actifs geres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 Md EUR (2024)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FRR Rapport annuel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Rendement depuis creation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3,7 % nominal = 1,7 % reel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Allocation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80 % performance / 20 % couverture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Ponctions CADES (2011-2024)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-29,4 Md EUR (2,1 Md/an)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CADES/FRR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Versements CADES restants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Jusqu'en 2033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Loi organique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FRR verse actuellement 2,1 Md EUR/an a la CADES (remboursement dette sociale). Ces versements s'arretent en 2033. A partir de cette date, le FRR peut etre integralement fléche vers le financement de la transition.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Utilisation FRR (2028-2033)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Mobilisation partielle de 5 Md EUR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soit 1 Md EUR/an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Utilisation FRR (2033-2042)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Mobilisation totale : 20 Md + rendements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~3 Md EUR/an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Fonds de Reserve pour les Retraites — fondsdereserve.fr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4.3 — Source 3 : Suppression de l'abattement 10 % sur les pensions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Les retraites beneficient d'un abattement forfaitaire de 10 % sur leurs pensions pour le calcul de l'impot sur le revenu, plafonne a ~4 321 EUR/an. C'est une niche fiscale qui coute cher 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Cout pour l'Etat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~4,5 Md EUR/an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(DGFiP — Evaluation depenses fiscales)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Supprimer cet abattement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ne reduit pas les pensions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: les retraites percoivent le meme montant, mais paient un peu plus d'impot. C'est un effort de solidarite intergenerationnelle.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Variante : reduction de l'abattement de 10 % a 5 % = economie de ~2,2 Md EUR/an (plus acceptable politiquement).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DGFiP — Voies et Moyens Tome II ; Fondapol 2025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4.4 — Source 4 : Hausse ciblee de CSG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 CSG est l'impot le plus juste (assiette large, tous revenus). Une hausse minime peut generer des recettes importantes 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Rendement de 0,1 point de CSG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~3 Md EUR/an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(estimation DGFiP)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Proposition : hausse de 0,2 point de CSG exclusivement flechee vers le Fonds France Retraite 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Recette supplementaire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3 Md x 2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~6 Md EUR/an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Cette hausse represente </w:t>
      </w: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~4 EUR/mois pour un salaire median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. En contrepartie, chaque cotisant recevra ~340 EUR/mois de rente a la retraite. Le ratio cout/benefice est de 1 pour 85.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DGFiP ; FIPECO — La CSG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4.5 — Source 5 : Alignement des regimes speciaux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L'alignement de tous les regimes speciaux sur le regime general genere des economies estimees a 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Economies alignement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3 a 5 Md EUR/an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(COR / Cour des Comptes)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Cela concerne les regimes de la RATP, SNCF, EDF, fonctionnaires (taux employeur Etat a 74,3 % vs 16,5 % dans le prive), etc.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Cour des Comptes — Rapport Securite sociale ; COR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4.6 — Source 6 : Reserves AGIRC-ARRCO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regime complementaire AGIRC-ARRCO dispose de reserves considerables 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Reserves AGIRC-ARRCO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85,6 Md EUR (2024)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Ces reserves sont gerees par les partenaires sociaux et servent de 'coussin' en cas de crise. Une partie pourrait etre mobilisee pour amorcer la capitalisation 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0"/>
          <w:szCs w:val="20"/>
        </w:rPr>
        <w:t xml:space="preserve">Mobilisation partielle (10 %) : </w:t>
      </w:r>
      <w:r>
        <w:rPr>
          <w:rFonts w:ascii="Consolas" w:cs="Consolas" w:eastAsia="Consolas" w:hAnsi="Consolas"/>
          <w:color w:val="6B7B8D"/>
          <w:sz w:val="18"/>
          <w:szCs w:val="18"/>
        </w:rPr>
        <w:t xml:space="preserve">85,6 Md x 10%</w:t>
      </w:r>
      <w:r>
        <w:rPr>
          <w:rFonts w:ascii="Arial" w:cs="Arial" w:eastAsia="Arial" w:hAnsi="Arial"/>
          <w:sz w:val="20"/>
          <w:szCs w:val="20"/>
        </w:rPr>
        <w:t xml:space="preserve"> = </w:t>
      </w:r>
      <w:r>
        <w:rPr>
          <w:rFonts w:ascii="Consolas" w:cs="Consolas" w:eastAsia="Consolas" w:hAnsi="Consolas"/>
          <w:b/>
          <w:bCs/>
          <w:color w:val="D63031"/>
          <w:sz w:val="18"/>
          <w:szCs w:val="18"/>
        </w:rPr>
        <w:t xml:space="preserve">8,6 Md EUR (one-shot)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Cette mobilisation est politiquement delicate (gouvernance paritaire) mais serait justifiee par la creation d'un nouveau pilier capitalisation qui beneficie aux memes assures.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AGIRC-ARRCO — Rapport financier 2024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4.7 — Source 7 : Cession d'actifs publics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L'Etat detient des participations financieres considerables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estimee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Realiste a ceder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BPI France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~35 Md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Non (strategique)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Participations cotees (EDF, Engie...)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~50 Md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10-15 Md 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Immobilier de l'Etat (sous-utilise)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~40 Md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5-10 Md 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Total mobilisable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~125 Md EUR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15-25 Md EUR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Une cession progressive de 15-25 Md EUR sur 10 ans = 1,5-2,5 Md EUR/an.</w:t>
      </w:r>
    </w:p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APE — Agence des Participations de l'Etat ; Cour des Comptes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4.8 — SYNTHESE : le plan de financement consolide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Scenario B (2,5 %) — Besoin de financement : 7 a 14 Md EUR/an (decroissant)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1500"/>
        <w:gridCol w:w="1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de financement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annuel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Horizon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1. Economies recul age 65 ans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 a 18 Md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Permanent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2028-2037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2. Fonds de Reserve (FRR)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a 3 Md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Stock (epuisable)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2028-2042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3. Abattement 10% pensions (-5pts)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2,2 Md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Permanent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2028+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4. CSG +0,2 point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 Md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Permanent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2028+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5. Alignement regimes speciaux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3-5 Md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Permanent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2029+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6. Reserves AGIRC-ARRCO (10%)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0,9 Md EUR/an (sur 10 ans)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Stock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2028-2037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7. Cessions actifs publics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1,5-2,5 Md EUR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Stock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2028-2037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TOTAL DISPONIBLE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16,6 a 37,6 Md EUR/an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BESOIN (Scenario B)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 a 14 Md EUR/an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MARGE DE SECURITE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+2,6 a +23,6 Md EUR/an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Conclusion : le financement est non seulement possible, mais il degage une marge de securite significative.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Meme dans le pire scenario (economies age 65 minimales + resistance politique sur CSG et abattement), au moins 3 des 7 sources suffisent a couvrir le besoin.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4.9 — Matrice de combinaison : quels leviers activer selon le contexte politique 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 politique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Leviers actives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Financement/an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Consensuel (&gt;60% majorite)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1+2+3+4+5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15-34 Md 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Modere (majorite simple)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1+2+4+5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12-32 Md 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Contraint (opposition forte)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1+2+7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4,5-23,5 Md 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Minimum vital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seul (recul age)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2-18 Md EUR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Meme dans le scenario le plus contraint (recul de l'age seul), la transition est finançable a partir de l'annee 7. Les 6 premieres annees necessitent un apport supplementaire de ~5 Md EUR/an, couvert par le FRR et les cessions d'actifs.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Partie 5 : Simulations individuelles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Combien un salarie accumulerait-il avec le scenario B (2,5 % du brut en capitalisation) ? Voici les projections sur 40 ans de carriere, pour 3 profils et 3 hypotheses de rendement.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5.1 — Hypotheses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SMIC brut 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1 767 EUR/mois = 21 204 EUR/an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Salaire median 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2 100 EUR brut/mois = 25 200 EUR/an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Cadre 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4 500 EUR brut/mois = 54 000 EUR/an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Cotisation : 2,5 % du brut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Duree : 40 ans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Taux de conversion rente : 4 % du capital (norme OCDE)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Rendements testes : 4 % (prudent), 6 % (median), 8 % (optimiste)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5.2 — Capital accumule et rente mensuelle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Cotisation/mois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a 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a 6%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a 8%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SMIC (1 767 EUR)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44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51 000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86 000 EUR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150 000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Median (2 100 EUR)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52,50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61 000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102 000 EUR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178 000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Cadre (4 500 EUR)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112,50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131 000 EUR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219 000 EUR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382 000 EUR</w:t>
            </w:r>
          </w:p>
        </w:tc>
      </w:tr>
    </w:tbl>
    <w:p>
      <w:pPr>
        <w:spacing w:after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2300"/>
        <w:gridCol w:w="2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Rente a 4%/an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Rente a 6%/an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Rente a 8%/an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SMIC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170 EUR/mois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287 EUR/mois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500 EUR/mois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Median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203 EUR/mois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340 EUR/mois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593 EUR/mois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Cadre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437 EUR/mois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730 EUR/mois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1 273 EUR/mois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 : Calcul : formule annuite constante C x ((1+r)^n - 1)/r. Taux mensualise. Rente = capital x 4% / 12.</w:t>
      </w:r>
    </w:p>
    <w:p>
      <w:pPr>
        <w:spacing w:after="80"/>
      </w:pP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Pour le salaire median, avec un rendement de 6 % (hypothese raisonnable sur 40 ans, inferieure au rendement historique de AP7 a 13,5 %) :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340 EUR/mois de rente complementaire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, en plus de la pension de repartition (~1 200-1 400 EUR/mois). Le taux de remplacement total passerait de ~50 % (repartition seule) a </w:t>
      </w:r>
      <w:r>
        <w:rPr>
          <w:rFonts w:ascii="Arial" w:cs="Arial" w:eastAsia="Arial" w:hAnsi="Arial"/>
          <w:b/>
          <w:bCs/>
          <w:color w:val="00A86B"/>
          <w:sz w:val="22"/>
          <w:szCs w:val="22"/>
        </w:rPr>
        <w:t xml:space="preserve">~65-70 % (systeme mixte)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.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5.3 — Comparaison avec le FRR actuel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FRR, cree en 2001, n'a rapporte que 3,7 % nominal (1,7 % reel) en 23 ans. Pourquoi le nouveau fonds ferait-il mieux ?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Allocation d'actifs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le FRR est contraint par ses versements CADES (80% performance / 20% couverture). Un fonds retraite a 40 ans d'horizon peut etre investi a 90% en actions.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Horizon de temps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le FRR verse 2,1 Md/an a la CADES = il doit rester liquide. Un fonds capitalisation a 40 ans d'horizon peut supporter la volatilite.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Benchmark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AP7 Suede (90% actions) = 13,5% sur 10 ans. CPPIB Canada (65% actions) = 9,1% reel. CalPERS USA = 7,1% reel sur 20 ans.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 cle : un fonds par defaut investi massivement en actions mondiales (70-90 %), avec basculement progressif vers les obligations a l'approche de la retraite (cycle de vie).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Partie 6 : Gouvernance et gestion des risques</w:t>
      </w:r>
    </w:p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6.1 — Le Fonds France Retraite (FFR)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Structure proposee 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Statut juridique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Etablissement public ad hoc (comme le FRR)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Gouvernance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Conseil tripartite : 1/3 Etat + 1/3 partenaires sociaux + 1/3 independants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Frais de gestion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Plafond legal : 0,3 %/an (vs 2-3% au Chili)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Fonds par defaut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Cycle de vie : 90% actions (jeunes) a 30% actions (pre-retraite)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Choix individuel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Option : 5-10 fonds agrees (concurrence encadree)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Transparence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Releve annuel individuel obligatoire (comme l'Orange Report suedois)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Verrou constitutionnel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8" w:val="clear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Inscription dans la Constitution : les actifs capitalises sont incessibles et insaisissables</w:t>
            </w:r>
          </w:p>
        </w:tc>
      </w:tr>
    </w:tbl>
    <w:p>
      <w:pPr>
        <w:pStyle w:val="Heading2"/>
        <w:spacing w:before="300" w:after="150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6.2 — Les risques et les reponses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Risque 1 : Krach boursier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 krach de -40 % (type 2008) reduirait le capital de 102 000 EUR a 61 000 EUR pour le salarie median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Reponse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(a) Horizon de 40 ans = le temps de recuperer (apres 2008, les marches ont retrouve leur niveau en 5 ans). (b) Fonds cycle de vie = les pre-retraites sont en obligations, non affectes. (c) Mecanisme de garantie plancher : l'Etat garantit au minimum le capital cotise (cout : ~1-2 Md/an)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Risque 2 : Nationalisation (cas Pologne/Hongrie)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Reponse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verrou constitutionnel. Inscription dans l'article 34 de la Constitution : 'les droits acquis au titre de la capitalisation retraite sont des droits de propriete individuels, insaisissables et imprescriptibles'. Necessite une revision constitutionnelle = vote 3/5 du Congres.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Risque 3 : Frais excessifs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Reponse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plafond legal de 0,3 %/an (vs 1,5 % en moyenne pour l'assurance-vie en France). Le fonds par defaut public est gere avec des frais de ~0,10 % (comme AP7 en Suede). Sur 40 ans, des frais de 0,3 % vs 1,5 % representent 20 % de capital en plus.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0A1628"/>
          <w:sz w:val="24"/>
          <w:szCs w:val="24"/>
        </w:rPr>
        <w:t xml:space="preserve">Risque 4 : Inegalites hommes-femmes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En Australie, les femmes ont 25,7 % de capital en moins que les hommes (carrieres interrompues)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Reponse :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(a) Credits de cotisation pour conge parental (l'Etat cotise a la place). (b) Partage 50/50 du capital en cas de divorce. (c) Plancher de rente garanti (= minimum vieillesse rehausse)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Georgia" w:cs="Georgia" w:eastAsia="Georgia" w:hAnsi="Georgia"/>
          <w:b/>
          <w:bCs/>
          <w:color w:val="0A1628"/>
          <w:sz w:val="36"/>
          <w:szCs w:val="36"/>
        </w:rPr>
        <w:t xml:space="preserve">Conclusion : oser la transition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La transition vers un systeme mixte n'est pas un saut dans l'inconnu. C'est une reforme testee, eprouvee et reussie dans les pays les plus developpes du monde.</w:t>
      </w: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Les chiffres sont clairs :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Le systeme actuel est condamne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: ratio cotisants/retraites de 1,79 aujourd'hui, 1,41 en 2070. Deficit cumule de plus de 1 000 milliards d'euros d'ici 2070.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La capitalisation rapporte 3 a 5 fois plus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que la repartition sur 40 ans (6 % vs 1,5 % de rendement)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La transition est finançable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: 7 sources identifiees couvrant 16 a 38 Md EUR/an, pour un besoin de 7 a 14 Md EUR/an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b/>
          <w:bCs/>
          <w:color w:val="1A2332"/>
          <w:sz w:val="22"/>
          <w:szCs w:val="22"/>
        </w:rPr>
        <w:t xml:space="preserve">Le modele suedois fonctionne depuis 25 ans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avec exactement le meme taux (2,5 %)</w:t>
      </w:r>
    </w:p>
    <w:p>
      <w:pPr>
        <w:spacing w:after="200"/>
      </w:pPr>
    </w:p>
    <w:p>
      <w:pPr>
        <w:spacing w:after="120"/>
        <w:jc w:val="both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Le vrai risque n'est pas de reformer. Le vrai risque, c'est de </w:t>
      </w:r>
      <w:r>
        <w:rPr>
          <w:rFonts w:ascii="Arial" w:cs="Arial" w:eastAsia="Arial" w:hAnsi="Arial"/>
          <w:b/>
          <w:bCs/>
          <w:color w:val="D63031"/>
          <w:sz w:val="22"/>
          <w:szCs w:val="22"/>
        </w:rPr>
        <w:t xml:space="preserve">ne rien faire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 et de laisser le systeme s'effondrer sous son propre poids.</w:t>
      </w:r>
    </w:p>
    <w:p>
      <w:pPr>
        <w:spacing w:before="400"/>
        <w:jc w:val="center"/>
      </w:pPr>
      <w:r>
        <w:rPr>
          <w:rFonts w:ascii="Georgia" w:cs="Georgia" w:eastAsia="Georgia" w:hAnsi="Georgia"/>
          <w:color w:val="0099BB"/>
          <w:sz w:val="28"/>
          <w:szCs w:val="28"/>
        </w:rPr>
        <w:t xml:space="preserve">____________________</w:t>
      </w:r>
    </w:p>
    <w:p>
      <w:pPr>
        <w:spacing w:after="100"/>
        <w:jc w:val="center"/>
      </w:pPr>
      <w:r>
        <w:rPr>
          <w:rFonts w:ascii="Georgia" w:cs="Georgia" w:eastAsia="Georgia" w:hAnsi="Georgia"/>
          <w:b/>
          <w:bCs/>
          <w:color w:val="0099BB"/>
          <w:sz w:val="28"/>
          <w:szCs w:val="28"/>
        </w:rPr>
        <w:t xml:space="preserve">€ </w:t>
      </w:r>
      <w:r>
        <w:rPr>
          <w:rFonts w:ascii="Georgia" w:cs="Georgia" w:eastAsia="Georgia" w:hAnsi="Georgia"/>
          <w:b/>
          <w:bCs/>
          <w:color w:val="0A1628"/>
          <w:sz w:val="24"/>
          <w:szCs w:val="24"/>
        </w:rPr>
        <w:t xml:space="preserve">Ou Va l'Argent ?</w:t>
      </w:r>
    </w:p>
    <w:p>
      <w:pPr>
        <w:spacing w:after="100"/>
        <w:jc w:val="center"/>
      </w:pPr>
      <w:r>
        <w:rPr>
          <w:rFonts w:ascii="Consolas" w:cs="Consolas" w:eastAsia="Consolas" w:hAnsi="Consolas"/>
          <w:color w:val="0099BB"/>
          <w:sz w:val="20"/>
          <w:szCs w:val="20"/>
        </w:rPr>
        <w:t xml:space="preserve">ouvalargent.com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B7B8D"/>
          <w:sz w:val="18"/>
          <w:szCs w:val="18"/>
        </w:rPr>
        <w:t xml:space="preserve">Sources : COR, OCDE, Swedish Pension Agency, APRA, URSSAF, FRR, AGIRC-ARRCO, DGFiP, Fondapol, Institut Montaigne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0099BB"/>
        <w:sz w:val="16"/>
        <w:szCs w:val="16"/>
      </w:rPr>
      <w:t xml:space="preserve">ouvalargent.com</w:t>
    </w:r>
    <w:r>
      <w:rPr>
        <w:rFonts w:ascii="Arial" w:cs="Arial" w:eastAsia="Arial" w:hAnsi="Arial"/>
        <w:color w:val="6B7B8D"/>
        <w:sz w:val="16"/>
        <w:szCs w:val="16"/>
      </w:rPr>
      <w:t xml:space="preserve">  |  Page </w:t>
    </w:r>
    <w:r>
      <w:rPr>
        <w:rFonts w:ascii="Arial" w:cs="Arial" w:eastAsia="Arial" w:hAnsi="Arial"/>
        <w:color w:val="6B7B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B8D"/>
        <w:sz w:val="16"/>
        <w:szCs w:val="16"/>
      </w:rPr>
      <w:t xml:space="preserve"> sur </w:t>
    </w:r>
    <w:r>
      <w:rPr>
        <w:rFonts w:ascii="Arial" w:cs="Arial" w:eastAsia="Arial" w:hAnsi="Arial"/>
        <w:color w:val="6B7B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b/>
        <w:bCs/>
        <w:color w:val="0099BB"/>
        <w:sz w:val="20"/>
        <w:szCs w:val="20"/>
      </w:rPr>
      <w:t xml:space="preserve">€ </w:t>
    </w:r>
    <w:r>
      <w:rPr>
        <w:rFonts w:ascii="Georgia" w:cs="Georgia" w:eastAsia="Georgia" w:hAnsi="Georgia"/>
        <w:b/>
        <w:bCs/>
        <w:color w:val="0A1628"/>
        <w:sz w:val="18"/>
        <w:szCs w:val="18"/>
      </w:rPr>
      <w:t xml:space="preserve">Ou Va l'Argent ? </w:t>
    </w:r>
    <w:r>
      <w:rPr>
        <w:rFonts w:ascii="Arial" w:cs="Arial" w:eastAsia="Arial" w:hAnsi="Arial"/>
        <w:i/>
        <w:iCs/>
        <w:color w:val="6B7B8D"/>
        <w:sz w:val="18"/>
        <w:szCs w:val="18"/>
      </w:rPr>
      <w:t xml:space="preserve">| Transition Retraites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Georgia" w:cs="Georgia" w:eastAsia="Georgia" w:hAnsi="Georgia"/>
      <w:b/>
      <w:bCs/>
      <w:color w:val="0A1628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Georgia" w:cs="Georgia" w:eastAsia="Georgia" w:hAnsi="Georgia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Georgia" w:cs="Georgia" w:eastAsia="Georgia" w:hAnsi="Georgia"/>
      <w:b/>
      <w:bCs/>
      <w:color w:val="0099B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2026-03-19T20:33:15.539Z</dcterms:created>
  <dcterms:modified xsi:type="dcterms:W3CDTF">2026-03-19T20:33:15.544Z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