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vant-propos-1"/>
    <w:p>
      <w:pPr>
        <w:pStyle w:val="Heading1"/>
      </w:pPr>
      <w:r>
        <w:t xml:space="preserve">Avant-propos</w:t>
      </w:r>
    </w:p>
    <w:bookmarkStart w:id="21" w:name="le-paradoxe-doliprane"/>
    <w:p>
      <w:pPr>
        <w:pStyle w:val="Heading2"/>
      </w:pPr>
      <w:r>
        <w:t xml:space="preserve">Le paradoxe Doliprane</w:t>
      </w:r>
    </w:p>
    <w:p>
      <w:pPr>
        <w:pStyle w:val="FirstParagraph"/>
      </w:pPr>
      <w:r>
        <w:t xml:space="preserve">Octobre 2024. Sanofi annonce la cession du contrôle d’Opella, sa filiale santé grand public — celle qui fabrique le Doliprane, le médicament le plus consommé en France, quasi symbole national. L’acheteur s’appelle Clayton, Dubilier &amp; Rice, un fonds d’investissement américain, basé à New York. L’opération valorise Opella à environ seize milliards d’euros ; Sanofi en encaisse une dizaine pour les cinquante pour cent cédés. La France réalise que le médicament le plus consommé du pays vient de passer sous contrôle américain.</w:t>
      </w:r>
    </w:p>
    <w:p>
      <w:pPr>
        <w:pStyle w:val="BodyText"/>
      </w:pPr>
      <w:r>
        <w:t xml:space="preserve">L’émotion est immédiate : des pétitions circulent, des députés montent au créneau, à gauche comme à droite. Les ministres de l’Économie, Antoine Armand, et de l’Industrie, Marc Ferracci, négocient en urgence avec Sanofi et CD&amp;R un accord tripartite. La presse parle de symbole, de bradage industriel, d’« actif stratégique ». Pendant trois semaines, le Doliprane domine l’actualité économique — jusqu’au 21 octobre 2024, jour où Bercy obtient des garanties d’emploi, de production et de siège, et où Bpifrance entre au capital d’Opella à hauteur de 1,8 %, avec un siège au conseil d’administration</w:t>
      </w:r>
      <w:r>
        <w:rPr>
          <w:rStyle w:val="FootnoteReference"/>
        </w:rPr>
        <w:footnoteReference w:id="9"/>
      </w:r>
      <w:r>
        <w:t xml:space="preserve">. Puis le quotidien reprend ses droits.</w:t>
      </w:r>
    </w:p>
    <w:p>
      <w:pPr>
        <w:pStyle w:val="BodyText"/>
      </w:pPr>
      <w:r>
        <w:t xml:space="preserve">L’épisode est emblématique pour deux raisons. La première : on assiste, en direct, au passage d’un actif industriel français sous contrôle d’un fonds étranger. Un produit que tout le monde connaît, un nom familier, fabriqué à Lisieux et à Compiègne. Et la deuxième : pendant que la France s’indigne, personne ne pose une question pourtant simple. Qui aurait pu acheter à la place ? Quel acteur français disposait, en octobre 2024, des dix milliards d’euros en propre pour reprendre les parts cédées par Sanofi sans recourir massivement à des capitaux étrangers ?</w:t>
      </w:r>
    </w:p>
    <w:p>
      <w:pPr>
        <w:pStyle w:val="BodyText"/>
      </w:pPr>
      <w:r>
        <w:t xml:space="preserve">Personne. Aucun investisseur français n’avait à cette date la capacité de mettre dix milliards d’euros sur la table pour un actif de cette taille. Et d’ailleurs personne ne l’a fait. Le plus gros gestionnaire français de capital-investissement, Ardian, gérait alors environ 176 milliards de dollars au total — avec des centaines d’entreprises en portefeuille direct</w:t>
      </w:r>
      <w:r>
        <w:rPr>
          <w:rStyle w:val="FootnoteReference"/>
        </w:rPr>
        <w:footnoteReference w:id="11"/>
      </w:r>
      <w:r>
        <w:t xml:space="preserve">. Clayton, Dubilier &amp; Rice, lui, dispose d’une base d’investisseurs sans équivalent en France. Le fonds n’est pas lui-même un fonds de pension : c’est un gestionnaire de capital-investissement, qui lève l’argent qu’il déploie auprès d’investisseurs institutionnels —</w:t>
      </w:r>
      <w:r>
        <w:t xml:space="preserve"> </w:t>
      </w:r>
      <w:r>
        <w:rPr>
          <w:i/>
          <w:iCs/>
        </w:rPr>
        <w:t xml:space="preserve">Limited Partners</w:t>
      </w:r>
      <w:r>
        <w:t xml:space="preserve">, dans le langage de l’industrie. Au premier rang de ces investisseurs, des fonds de pension publics américains.</w:t>
      </w:r>
      <w:r>
        <w:t xml:space="preserve"> </w:t>
      </w:r>
      <w:r>
        <w:rPr>
          <w:i/>
          <w:iCs/>
        </w:rPr>
        <w:t xml:space="preserve">CalPERS</w:t>
      </w:r>
      <w:r>
        <w:t xml:space="preserve">, le régime des fonctionnaires de Californie et premier fonds public du pays avec plus de cinq cents milliards de dollars d’actifs, s’est engagé comme</w:t>
      </w:r>
      <w:r>
        <w:t xml:space="preserve"> </w:t>
      </w:r>
      <w:r>
        <w:rPr>
          <w:i/>
          <w:iCs/>
        </w:rPr>
        <w:t xml:space="preserve">anchor investor</w:t>
      </w:r>
      <w:r>
        <w:t xml:space="preserve"> </w:t>
      </w:r>
      <w:r>
        <w:t xml:space="preserve">du fonds XI de CD&amp;R à hauteur de cinq cents millions de dollars</w:t>
      </w:r>
      <w:r>
        <w:rPr>
          <w:rStyle w:val="FootnoteReference"/>
        </w:rPr>
        <w:footnoteReference w:id="12"/>
      </w:r>
      <w:r>
        <w:t xml:space="preserve">. Ce sont,</w:t>
      </w:r>
      <w:r>
        <w:t xml:space="preserve"> </w:t>
      </w:r>
      <w:r>
        <w:rPr>
          <w:i/>
          <w:iCs/>
        </w:rPr>
        <w:t xml:space="preserve">in fine</w:t>
      </w:r>
      <w:r>
        <w:t xml:space="preserve">, les retraites des fonctionnaires californiens qui rachètent une part du Doliprane.</w:t>
      </w:r>
    </w:p>
    <w:p>
      <w:pPr>
        <w:pStyle w:val="BodyText"/>
      </w:pPr>
      <w:r>
        <w:t xml:space="preserve">C’est ici que se joue le paradoxe français.</w:t>
      </w:r>
    </w:p>
    <w:p>
      <w:pPr>
        <w:pStyle w:val="BodyText"/>
      </w:pPr>
      <w:r>
        <w:t xml:space="preserve">D’un côté, nous détestons les fonds de pension. Le mot lui-même fait peur. Il sent l’anglo-saxon, le libéralisme débridé, le capitalisme financier déshumanisé. Quand un homme politique français évoque la capitalisation, même prudemment, il déclenche une levée de boucliers immédiate. Les syndicats parlent de marchandisation</w:t>
      </w:r>
      <w:r>
        <w:rPr>
          <w:rStyle w:val="FootnoteReference"/>
        </w:rPr>
        <w:footnoteReference w:id="15"/>
      </w:r>
      <w:r>
        <w:t xml:space="preserve">, certains économistes considèrent que les marchés financiers sont instables, la gauche dénonce une privatisation de la Sécurité sociale. Le sujet est explosif. La loi Thomas, votée en mars 1997, instaurant des plans d’épargne retraite, a été enterrée par le gouvernement Jospin avant d’être abrogée en 2002</w:t>
      </w:r>
      <w:r>
        <w:rPr>
          <w:rStyle w:val="FootnoteReference"/>
        </w:rPr>
        <w:footnoteReference w:id="16"/>
      </w:r>
      <w:r>
        <w:t xml:space="preserve">.</w:t>
      </w:r>
    </w:p>
    <w:p>
      <w:pPr>
        <w:pStyle w:val="BodyText"/>
      </w:pPr>
      <w:r>
        <w:t xml:space="preserve">Dans le même temps, nous détestons que des capitaux étrangers rachètent nos entreprises. Quand Heico, l’américain, s’empare d’Exxelia pour 453 millions d’euros, nous nous indignons</w:t>
      </w:r>
      <w:r>
        <w:rPr>
          <w:rStyle w:val="FootnoteReference"/>
        </w:rPr>
        <w:footnoteReference w:id="17"/>
      </w:r>
      <w:r>
        <w:t xml:space="preserve">. Quand Photonis - la pépite française des systèmes de vision nocturne pour les forces spéciales - manque d’être vendu à l’américain Teledyne, Bercy intervient en catastrophe et la cible est finalement reprise par un consortium français adossé à Bpifrance</w:t>
      </w:r>
      <w:r>
        <w:rPr>
          <w:rStyle w:val="FootnoteReference"/>
        </w:rPr>
        <w:footnoteReference w:id="18"/>
      </w:r>
      <w:r>
        <w:t xml:space="preserve">. Quand le moteur Vinci d’Ariane 6 quitte Vernon pour Lampoldshausen, nous parlons de trahison industrielle</w:t>
      </w:r>
      <w:r>
        <w:rPr>
          <w:rStyle w:val="FootnoteReference"/>
        </w:rPr>
        <w:footnoteReference w:id="19"/>
      </w:r>
      <w:r>
        <w:t xml:space="preserve">. Quand Lafarge fusionne avec Holcim, Alstom Énergie passe à General Electric, Technip s’unit à FMC, Doliprane bascule à Clayton, Dubilier &amp; Rice, nous pleurons dans les chaumières.</w:t>
      </w:r>
    </w:p>
    <w:p>
      <w:pPr>
        <w:pStyle w:val="BodyText"/>
      </w:pPr>
      <w:r>
        <w:t xml:space="preserve">Nous voulons donc deux choses incompatibles. Nous voulons que nos entreprises restent françaises - leurs sièges, leurs brevets, leurs centres de décision. Et nous voulons interdire qu’existe en France l’instrument qui, dans tous les pays qui s’en sont dotés, fait précisément contrepoids aux capitaux étrangers. Nous voulons le résultat sans accepter l’outil. Nous reprochons aux fonds étrangers de faire ce que nous nous interdisons de faire.</w:t>
      </w:r>
    </w:p>
    <w:p>
      <w:pPr>
        <w:pStyle w:val="BodyText"/>
      </w:pPr>
      <w:r>
        <w:rPr>
          <w:b/>
          <w:bCs/>
          <w:highlight w:val="yellow"/>
          <w:u w:val="single"/>
        </w:rPr>
        <w:t xml:space="preserve">Ma volonté de sortir de ce paradoxe et de défendre la capitalisation comme outil de souveraineté</w:t>
      </w:r>
      <w:r>
        <w:t xml:space="preserve"> </w:t>
      </w:r>
      <w:r>
        <w:rPr>
          <w:b/>
          <w:bCs/>
          <w:highlight w:val="yellow"/>
          <w:u w:val="single"/>
        </w:rPr>
        <w:t xml:space="preserve">est le point de départ de ce livre.</w:t>
      </w:r>
    </w:p>
    <w:p>
      <w:pPr>
        <w:pStyle w:val="BodyText"/>
      </w:pPr>
      <w:r>
        <w:t xml:space="preserve">*</w:t>
      </w:r>
    </w:p>
    <w:p>
      <w:pPr>
        <w:pStyle w:val="BodyText"/>
      </w:pPr>
      <w:r>
        <w:t xml:space="preserve">Il existe, dans le monde occidental, deux grandes familles de pays. Ceux qui ont des fonds de pension, et ceux qui n’en ont pas. La France appartient, avec l’Italie et l’Allemagne, à la deuxième catégorie — un trio singulier parmi les grandes économies développées. 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 13 % — à peu près au même niveau que l’Italie (12 %) et l’Allemagne (6 %)</w:t>
      </w:r>
      <w:r>
        <w:rPr>
          <w:rStyle w:val="FootnoteReference"/>
        </w:rPr>
        <w:footnoteReference w:id="20"/>
      </w:r>
      <w:r>
        <w:t xml:space="preserve">.</w:t>
      </w:r>
    </w:p>
    <w:p>
      <w:pPr>
        <w:pStyle w:val="BodyText"/>
      </w:pPr>
      <w:r>
        <w:t xml:space="preserve">Graphique sur les actifs privés de retraite en % du PIB au sein de l’OCDE.</w:t>
      </w:r>
    </w:p>
    <w:p>
      <w:pPr>
        <w:pStyle w:val="BodyText"/>
      </w:pPr>
      <w:r>
        <w:t xml:space="preserve">Cet écart d'échelle structure une économie entière. Il détermine qui détient les entreprises cotées, qui finance les startups, qui rachète les ETI familiales lorsque leur fondateur part à la retraite, quel niveau de pension touchent les retraités, à quelle profondeur de marché s’échangent les actions, et - au bout du compte - où s’accumule le capital long terme qui permet aux pays de rester propriétaire de lui-même.</w:t>
      </w:r>
    </w:p>
    <w:p>
      <w:pPr>
        <w:pStyle w:val="BodyText"/>
      </w:pPr>
      <w:r>
        <w:t xml:space="preserve">Pendant trente ans, la France s’est protégée derrière un récit : la capitalisation serait inégalitaire, risquée, étrangère à notre culture de la solidarité, contraire à l’esprit de 1945. Ce récit a tenu jusqu’aujourd’hui. Il est en train de se fissurer, parce que les conséquences concrètes du choix français deviennent, année après année, trop coûteuses pour être ignorées. Il est désormais temps d’avancer.</w:t>
      </w:r>
    </w:p>
    <w:p>
      <w:pPr>
        <w:pStyle w:val="BodyText"/>
      </w:pPr>
      <w:r>
        <w:t xml:space="preserve">Que la France se dote, ou non, de fonds de pension sera, in fine, un choix politique. Et comme tout choix politique, il commence par un débat - qui suppose, d’abord, un diagnostic partagé.</w:t>
      </w:r>
    </w:p>
    <w:p>
      <w:pPr>
        <w:pStyle w:val="BodyText"/>
      </w:pPr>
      <w:r>
        <w:br/>
      </w:r>
    </w:p>
    <w:bookmarkEnd w:id="21"/>
    <w:bookmarkEnd w:id="22"/>
    <w:bookmarkStart w:id="64" w:name="introduction"/>
    <w:p>
      <w:pPr>
        <w:pStyle w:val="Heading1"/>
      </w:pPr>
      <w:r>
        <w:t xml:space="preserve">Introduction</w:t>
      </w:r>
    </w:p>
    <w:p>
      <w:pPr>
        <w:pStyle w:val="FirstParagraph"/>
      </w:pPr>
      <w:r>
        <w:t xml:space="preserve">Le Doliprane n’est pas un cas isolé. Le scénario, à quelques nuances près, est presque toujours le même. Une entreprise française stratégique se retrouve à vendre. Aucun acteur français n’a la taille pour reprendre. Un investisseur étranger emporte l’affaire. La France s’indigne — éditoriaux, pétitions, convocation à Bercy. Et puis on passe à autre chose.</w:t>
      </w:r>
    </w:p>
    <w:bookmarkStart w:id="33" w:name="les-français-sont-prêts"/>
    <w:p>
      <w:pPr>
        <w:pStyle w:val="Heading2"/>
      </w:pPr>
      <w:r>
        <w:t xml:space="preserve">Les Français sont prêts</w:t>
      </w:r>
    </w:p>
    <w:p>
      <w:pPr>
        <w:pStyle w:val="FirstParagraph"/>
      </w:pPr>
      <w:r>
        <w:t xml:space="preserve">Avant d’ouvrir le dossier, une remarque préalable. Le débat sur la capitalisation en France est un débat de classe politique, pas un débat d’opinion publique. Les sondages publiés en 2024, 2025 et début 2026 — dont aucun n’a été commandé par les promoteurs d’une réforme — convergent vers une conclusion que peu de commentateurs ont relevée : l’opinion française est mûre pour un système mixte mêlant répartition et capitalisation.</w:t>
      </w:r>
    </w:p>
    <w:p>
      <w:pPr>
        <w:pStyle w:val="BodyText"/>
      </w:pPr>
      <w:r>
        <w:t xml:space="preserve">Le baromètre Odoxa-Groupama publié en novembre 2025, mené sur plus de cinq mille répondants — l’un des plus grands échantillons jamais constitués sur cette question —, mesure que 57 % des Français se déclarent favorables à un système mixte combinant répartition et capitalisation</w:t>
      </w:r>
      <w:r>
        <w:rPr>
          <w:rStyle w:val="FootnoteReference"/>
        </w:rPr>
        <w:footnoteReference w:id="23"/>
      </w:r>
      <w:r>
        <w:t xml:space="preserve">. Vingt-deux pour cent se prononcent même pour un système exclusivement capitalisé. À peine vingt pour cent défendent la répartition pure. Le rapport entre les deux modèles extrêmes s’est inversé : pour la première fois depuis qu’on les mesure, la capitalisation seule dépasse la répartition seule dans les déclarations d’opinion.</w:t>
      </w:r>
    </w:p>
    <w:p>
      <w:pPr>
        <w:pStyle w:val="BodyText"/>
      </w:pPr>
      <w:r>
        <w:t xml:space="preserve">Ce résultat n’est pas un accident statistique. L’enquête Elabe-BFMTV de février 2025 trouve, sur une question légèrement différente, 59 % de Français favorables à un modèle où la répartition reste majoritaire mais où une dose de capitalisation s’ajoute, contre 40 % attachés à la répartition exclusive</w:t>
      </w:r>
      <w:r>
        <w:rPr>
          <w:rStyle w:val="FootnoteReference"/>
        </w:rPr>
        <w:footnoteReference w:id="25"/>
      </w:r>
      <w:r>
        <w:t xml:space="preserve">. La donnée est transpartisane : même 47 % des électeurs déclarés du Nouveau Front populaire approuvent l’ajout d’une dose de capitalisation. L’enquête Ipsos-CESI publiée en janvier 2025 par le Cercle des épargnants mesure 55 % de Français favorables aux fonds de pension — soit neuf points de plus qu’en 2017 — et 77 % d’inquiets pour l’avenir de leur retraite</w:t>
      </w:r>
      <w:r>
        <w:rPr>
          <w:rStyle w:val="FootnoteReference"/>
        </w:rPr>
        <w:footnoteReference w:id="27"/>
      </w:r>
      <w:r>
        <w:t xml:space="preserve">. Le sondage OpinionWay pour Finary de janvier 2026, sur deux mille cinq cents répondants, complète le tableau : 76 % des actifs déclarent cotiser pour un système dont ils ne bénéficieront jamais ; 70 % jugent la répartition intenable à long terme</w:t>
      </w:r>
      <w:r>
        <w:rPr>
          <w:rStyle w:val="FootnoteReference"/>
        </w:rPr>
        <w:footnoteReference w:id="29"/>
      </w:r>
      <w:r>
        <w:t xml:space="preserve">. Le baromètre AMF d’octobre 2024 confirme l’arrière-plan d’anxiété : 58 % des Français se déclarent inquiets pour leur retraite, taux qui monte à 66 % chez les non-retraités</w:t>
      </w:r>
      <w:r>
        <w:rPr>
          <w:rStyle w:val="FootnoteReference"/>
        </w:rPr>
        <w:footnoteReference w:id="31"/>
      </w:r>
      <w:r>
        <w:t xml:space="preserve">.</w:t>
      </w:r>
    </w:p>
    <w:p>
      <w:pPr>
        <w:pStyle w:val="BodyText"/>
      </w:pPr>
      <w:r>
        <w:t xml:space="preserve">Cette convergence d’instruments différents — commanditaires différents, instituts différents, échantillons différents — n’est pas anecdotique. Elle dit, en données, ce que l’on entend de plus en plus souvent dans les conversations privées : la conviction française que la répartition seule peut tenir éternellement est en train de s’effriter. Le grand renversement n’est pas politique. Il est démographique d’abord, et générationnel ensuite. Les actifs nés après 1980 ne croient plus, dans leur majorité, que le système leur servira la pension promise. Ils n’attendent plus de la classe politique qu’elle défende l’existant. Ils attendent qu’elle propose autre chose.</w:t>
      </w:r>
    </w:p>
    <w:p>
      <w:pPr>
        <w:pStyle w:val="BodyText"/>
      </w:pPr>
      <w:r>
        <w:t xml:space="preserve">Cette autre chose porte un nom. C’est l’objet de ce livre.</w:t>
      </w:r>
    </w:p>
    <w:bookmarkEnd w:id="33"/>
    <w:bookmarkStart w:id="53" w:name="Xeb0da6155484f37798c6f35fb091f2c4461bfec"/>
    <w:p>
      <w:pPr>
        <w:pStyle w:val="Heading2"/>
      </w:pPr>
      <w:r>
        <w:t xml:space="preserve">La capitalisation existe déjà chez nous : le RAFP</w:t>
      </w:r>
    </w:p>
    <w:p>
      <w:pPr>
        <w:pStyle w:val="FirstParagraph"/>
      </w:pPr>
      <w:r>
        <w:t xml:space="preserve">Avant d’attaquer le diagnostic, une seconde évidence mérite d’être posée. Le débat français sur la capitalisation se déroule, depuis trente ans, comme si l’on parlait d’une infrastructure hypothétique, à instituer, à expérimenter, à essuyer les plâtres. Or il existe en France, depuis le 1ᵉʳ janvier 2005, un régime obligatoire de retraite par capitalisation qui couvre 4,5 millions de personnes, gère près de 48 milliards d’euros d’encours et rapporte, depuis sa création, 4,3 % nets par an</w:t>
      </w:r>
      <w:r>
        <w:rPr>
          <w:rStyle w:val="FootnoteReference"/>
        </w:rPr>
        <w:footnoteReference w:id="34"/>
      </w:r>
      <w:r>
        <w:t xml:space="preserve">. Ce régime s’appelle le RAFP — Régime additionnel de la fonction publique. Et le législateur a soigneusement évité de l’appeler par son nom.</w:t>
      </w:r>
    </w:p>
    <w:p>
      <w:pPr>
        <w:pStyle w:val="BodyText"/>
      </w:pPr>
      <w:r>
        <w:t xml:space="preserve">Le RAFP a été institué par l’article 76 de la loi du 21 août 2003 portant réforme des retraites, dite « loi Fillon »</w:t>
      </w:r>
      <w:r>
        <w:rPr>
          <w:rStyle w:val="FootnoteReference"/>
        </w:rPr>
        <w:footnoteReference w:id="37"/>
      </w:r>
      <w:r>
        <w:t xml:space="preserve">, et opérationnel à compter du décret d’application du 18 juin 2004</w:t>
      </w:r>
      <w:r>
        <w:rPr>
          <w:rStyle w:val="FootnoteReference"/>
        </w:rPr>
        <w:footnoteReference w:id="39"/>
      </w:r>
      <w:r>
        <w:t xml:space="preserve">. Il couvre les fonctionnaires titulaires et stagiaires des trois fonctions publiques — État, territoriale, hospitalière —, les militaires et les magistrats. Sa gestion est confiée à la Caisse des dépôts et consignations, sous l’autorité de l’Établissement de retraite additionnelle de la fonction publique (ERAFP). La mécanique est exactement celle d’un fonds de pension à cotisations définies : le fonctionnaire et son employeur cotisent chacun 5 % sur les primes plafonnées à 20 % du traitement indiciaire, les cotisations sont converties en points, et la pension à la liquidation correspond au cumul de points multiplié par la valeur de service du point</w:t>
      </w:r>
      <w:r>
        <w:rPr>
          <w:rStyle w:val="FootnoteReference"/>
        </w:rPr>
        <w:footnoteReference w:id="40"/>
      </w:r>
      <w:r>
        <w:t xml:space="preserve">. Au 31 décembre 2024, l’encours du régime atteint 47,8 milliards d’euros, avec un taux de rendement interne annualisé de 4,3 % par an depuis sa création, une allocation d’actifs diversifiée — environ 58 % obligations, 20 % actions, 10 % capital-investissement et infrastructures, 9 % immobilier — et un ratio de couverture des engagements de 117 % en valeur comptable et 136 % en valeur économique</w:t>
      </w:r>
      <w:r>
        <w:rPr>
          <w:rStyle w:val="FootnoteReference"/>
        </w:rPr>
        <w:footnoteReference w:id="42"/>
      </w:r>
      <w:r>
        <w:t xml:space="preserve">. Autrement dit, le fonds a en réserve plus que ce qu’il doit à terme à ses affiliés. C’est la définition même de la solvabilité d’un fonds de pension à cotisations définies, et c’est exactement ce que le régime général par répartition ne sait pas faire, faute de constituer la moindre provision.</w:t>
      </w:r>
    </w:p>
    <w:p>
      <w:pPr>
        <w:pStyle w:val="BodyText"/>
      </w:pPr>
      <w:r>
        <w:t xml:space="preserve">Voilà ce qui est. Voilà ce qui fonctionne. Et voilà comment le législateur l’a baptisé : « régime public de retraite additionnel obligatoire,</w:t>
      </w:r>
      <w:r>
        <w:t xml:space="preserve"> </w:t>
      </w:r>
      <w:r>
        <w:rPr>
          <w:b/>
          <w:bCs/>
        </w:rPr>
        <w:t xml:space="preserve">par répartition provisionnée</w:t>
      </w:r>
      <w:r>
        <w:t xml:space="preserve"> </w:t>
      </w:r>
      <w:r>
        <w:t xml:space="preserve">et par points</w:t>
      </w:r>
      <w:r>
        <w:rPr>
          <w:rStyle w:val="FootnoteReference"/>
        </w:rPr>
        <w:footnoteReference w:id="43"/>
      </w:r>
      <w:r>
        <w:t xml:space="preserve"> </w:t>
      </w:r>
      <w:r>
        <w:t xml:space="preserve">». Pas « par capitalisation ». Pourquoi cette précaution sémantique ? Parce qu’en 2003, le mot « capitalisation », pourtant techniquement exact, était politiquement intransportable. Le législateur a donc inventé une formule de compromis qui dit, en langue diplomatique, ce qu’elle ne veut pas dire en langue courante. Comme l’écrivait Philippe François en 2015 dans une étude de la Fondation IFRAP : « une expression alambiquée pour ne pas l’appeler un régime de capitalisation</w:t>
      </w:r>
      <w:r>
        <w:rPr>
          <w:rStyle w:val="FootnoteReference"/>
        </w:rPr>
        <w:footnoteReference w:id="44"/>
      </w:r>
      <w:r>
        <w:t xml:space="preserve"> </w:t>
      </w:r>
      <w:r>
        <w:t xml:space="preserve">». Une fiche du Conseil d’orientation des retraites de juillet 2024 confirme la qualification fonctionnelle : le RAFP « est géré en capitalisation puisque la réglementation prévoit la couverture de la totalité des engagements</w:t>
      </w:r>
      <w:r>
        <w:rPr>
          <w:rStyle w:val="FootnoteReference"/>
        </w:rPr>
        <w:footnoteReference w:id="46"/>
      </w:r>
      <w:r>
        <w:t xml:space="preserve"> </w:t>
      </w:r>
      <w:r>
        <w:t xml:space="preserve">».</w:t>
      </w:r>
    </w:p>
    <w:p>
      <w:pPr>
        <w:pStyle w:val="BodyText"/>
      </w:pPr>
      <w:r>
        <w:t xml:space="preserve">La France a donc un fonds de pension obligatoire pour ses fonctionnaires. Elle refuse seulement d’écrire ce mot dans la loi. Bertrand Martinot, dans une étude pour la Fondation pour l’innovation politique publiée en mars 2025, propose explicitement que l’extension future de la capitalisation aux salariés du privé prenne la forme d’une « caisse spécifique fonctionnant par capitalisation sur le modèle de l’établissement pour la retraite additionnelle de la fonction publique (ERAFP), qui gère déjà les pensions additionnelles assises sur les primes des fonctionnaires</w:t>
      </w:r>
      <w:r>
        <w:rPr>
          <w:rStyle w:val="FootnoteReference"/>
        </w:rPr>
        <w:footnoteReference w:id="48"/>
      </w:r>
      <w:r>
        <w:t xml:space="preserve"> </w:t>
      </w:r>
      <w:r>
        <w:t xml:space="preserve">». L’infrastructure publique existe. La gouvernance existe. Le savoir-faire de gestion existe. La preuve par vingt ans de chiffres existe. Il manque seulement la décision politique de l’élargir.</w:t>
      </w:r>
    </w:p>
    <w:p>
      <w:pPr>
        <w:pStyle w:val="BodyText"/>
      </w:pPr>
      <w:r>
        <w:t xml:space="preserve">L’asymétrie qui en résulte est, du point de vue de la cohérence, difficile à défendre. Quatre millions et demi de fonctionnaires français bénéficient depuis 2005 d’un régime de retraite obligatoire à cotisations définies dont l’encours, par cotisant, dépasse dix mille euros et qui a rapporté 4,3 % par an pendant vingt ans</w:t>
      </w:r>
      <w:r>
        <w:rPr>
          <w:rStyle w:val="FootnoteReference"/>
        </w:rPr>
        <w:footnoteReference w:id="50"/>
      </w:r>
      <w:r>
        <w:t xml:space="preserve">. Vingt millions de salariés du secteur privé n’ont rien d’équivalent — seulement le plan d’épargne retraite, dispositif volontaire et individuel qui sert d’abord d’optimisation fiscale aux foyers les plus aisés</w:t>
      </w:r>
      <w:r>
        <w:rPr>
          <w:rStyle w:val="FootnoteReference"/>
        </w:rPr>
        <w:footnoteReference w:id="51"/>
      </w:r>
      <w:r>
        <w:t xml:space="preserve">. Ce qui est jugé acceptable pour les agents publics est refusé aux salariés du privé. Ce qui marche pour quatre millions de personnes depuis vingt ans est interdit pour vingt millions. C’est une rupture d’égalité de fait, justifiée par une rupture d’égalité de mot. Vingt ans après sa création, le RAFP reste l’angle mort du débat français : il existe, il fonctionne, il prouve, mais il ne se dit pas. La démonstration qui suit, en trois parties, part de là.</w:t>
      </w:r>
    </w:p>
    <w:bookmarkEnd w:id="53"/>
    <w:bookmarkStart w:id="60" w:name="trois-chiffres"/>
    <w:p>
      <w:pPr>
        <w:pStyle w:val="Heading2"/>
      </w:pPr>
      <w:r>
        <w:t xml:space="preserve">Trois chiffres</w:t>
      </w:r>
    </w:p>
    <w:p>
      <w:pPr>
        <w:pStyle w:val="FirstParagraph"/>
      </w:pPr>
      <w:r>
        <w:t xml:space="preserve">Pour comprendre l’asymétrie française, trois chiffres suffisent.</w:t>
      </w:r>
    </w:p>
    <w:p>
      <w:pPr>
        <w:pStyle w:val="BodyText"/>
      </w:pPr>
      <w:r>
        <w:rPr>
          <w:b/>
          <w:bCs/>
        </w:rPr>
        <w:t xml:space="preserve">1.</w:t>
      </w:r>
      <w:r>
        <w:t xml:space="preserve"> </w:t>
      </w:r>
      <w:r>
        <w:t xml:space="preserve">La moitié du CAC 40 ne nous appartient plus. À fin 2024, selon la Banque de France, 50 % du capital des grandes sociétés-mères françaises de l’indice — trente-cinq groupes scrutés dans le détail — est détenu par des investisseurs non-résidents : 1 083 milliards d’euros sur 2 165</w:t>
      </w:r>
      <w:r>
        <w:rPr>
          <w:rStyle w:val="FootnoteReference"/>
        </w:rPr>
        <w:footnoteReference w:id="54"/>
      </w:r>
      <w:r>
        <w:t xml:space="preserve">. Dix-neuf de ces trente-cinq sociétés sont contrôlées à plus de 50 % depuis l’étranger. Et la part s’accroît lentement. Quarante pour cent de ces non-résidents viennent de la zone euro ; trente-quatre pour cent des États-Unis. Autrement dit : ce qui rachète aujourd’hui le capital français, c’est l’épargne longue de nos voisins.</w:t>
      </w:r>
    </w:p>
    <w:p>
      <w:pPr>
        <w:pStyle w:val="BodyText"/>
      </w:pPr>
      <w:r>
        <w:t xml:space="preserve">Ces investisseurs étrangers ne sont pas, pour la plupart, des spéculateurs hostiles. Ce sont, dans leur écrasante majorité, des fonds de pension, des fonds souverains et des gestionnaires d’actifs au service de l’épargne longue. Le</w:t>
      </w:r>
      <w:r>
        <w:t xml:space="preserve"> </w:t>
      </w:r>
      <w:r>
        <w:rPr>
          <w:i/>
          <w:iCs/>
        </w:rPr>
        <w:t xml:space="preserve">Government Pension Fund Global</w:t>
      </w:r>
      <w:r>
        <w:t xml:space="preserve"> </w:t>
      </w:r>
      <w:r>
        <w:t xml:space="preserve">norvégien — fonds souverain alimenté par les revenus pétroliers, mais explicitement dédié au financement futur des pensions — détient à lui seul, fin 2024, près de trente milliards d’euros d’actions françaises</w:t>
      </w:r>
      <w:r>
        <w:rPr>
          <w:rStyle w:val="FootnoteReference"/>
        </w:rPr>
        <w:footnoteReference w:id="55"/>
      </w:r>
      <w:r>
        <w:t xml:space="preserve">. Statistique vertigineuse : ce seul fonds norvégien possède environ 1,5 % des actions cotées dans le monde.</w:t>
      </w:r>
    </w:p>
    <w:p>
      <w:pPr>
        <w:pStyle w:val="BodyText"/>
      </w:pPr>
      <w:r>
        <w:t xml:space="preserve">ABP, le fonds des fonctionnaires et enseignants néerlandais, est présent au capital de Schneider Electric pour plus de six cents millions d’euros, de L’Oréal pour plus de trois cent cinquante, de Sanofi pour près de deux cents, ainsi que de Saint-Gobain, BNP Paribas, Klepierre, Air Liquide, AXA, Danone, Société Générale.</w:t>
      </w:r>
    </w:p>
    <w:p>
      <w:pPr>
        <w:pStyle w:val="BodyText"/>
      </w:pPr>
      <w:r>
        <w:t xml:space="preserve">CPP Investments, qui gère les retraites des cotisants canadiens, est présent au capital de Schneider Electric, d’Air Liquide, de Veolia. Quant à l’épargne retraite américaine — 401(k) d’entreprise et IRA individuelles —, elle circule via les fonds passifs de BlackRock et Vanguard, qui détiennent ensemble une fraction de presque toutes nos grandes entreprises cotées.</w:t>
      </w:r>
    </w:p>
    <w:p>
      <w:pPr>
        <w:pStyle w:val="BodyText"/>
      </w:pPr>
      <w:r>
        <w:t xml:space="preserve">Conséquence directe : sur les 73 milliards d’euros de dividendes versés en 2024 par le CAC 40, près de 40 milliards sont partis vers l’étranger</w:t>
      </w:r>
      <w:r>
        <w:rPr>
          <w:rStyle w:val="FootnoteReference"/>
        </w:rPr>
        <w:footnoteReference w:id="56"/>
      </w:r>
      <w:r>
        <w:t xml:space="preserve">.</w:t>
      </w:r>
    </w:p>
    <w:p>
      <w:pPr>
        <w:pStyle w:val="BodyText"/>
      </w:pPr>
      <w:r>
        <w:t xml:space="preserve">Chaque année, donc, les bénéfices de nos plus grandes entreprises financent les retraites néerlandaises, les universités californiennes, les routes ontariennes. Pendant ce temps, le Français qui cotise pour sa propre retraite alimente un puits sans fonds.</w:t>
      </w:r>
    </w:p>
    <w:p>
      <w:pPr>
        <w:pStyle w:val="BodyText"/>
      </w:pPr>
      <w:r>
        <w:rPr>
          <w:b/>
          <w:bCs/>
        </w:rPr>
        <w:t xml:space="preserve">2.</w:t>
      </w:r>
      <w:r>
        <w:t xml:space="preserve"> </w:t>
      </w:r>
      <w:r>
        <w:t xml:space="preserve">Deux cent quarante mille. C’est le nombre d’entreprises françaises qui, selon Bpifrance, vont chercher un repreneur dans les cinq prochaines années sans en trouver. Le papy-boom industriel est là : cinq cent mille dirigeants partiront à la retraite d’ici 2030, dont trois cent soixante-dix mille chercheront à transmettre leur entreprise — et seules cent trente mille trouveront un acquéreur au rythme actuel des transactions</w:t>
      </w:r>
      <w:r>
        <w:rPr>
          <w:rStyle w:val="FootnoteReference"/>
        </w:rPr>
        <w:footnoteReference w:id="57"/>
      </w:r>
      <w:r>
        <w:t xml:space="preserve">. Faute de capital français pour absorber cette vague, les meilleurs actifs partiront à prime au plus offrant — c’est-à-dire à l’étranger ; les autres disparaîtront ou se fragmenteront. Trois millions d’emplois sont concernés. Et avec eux, des compétences accumulées sur trente ou quarante ans, des brevets, des centres de décision qui basculeront sous tutelle étrangère ou s’évanouiront.</w:t>
      </w:r>
    </w:p>
    <w:p>
      <w:pPr>
        <w:pStyle w:val="BodyText"/>
      </w:pPr>
      <w:r>
        <w:rPr>
          <w:b/>
          <w:bCs/>
        </w:rPr>
        <w:t xml:space="preserve">3.</w:t>
      </w:r>
      <w:r>
        <w:t xml:space="preserve"> </w:t>
      </w:r>
      <w:r>
        <w:t xml:space="preserve">Soixante-douze pour cent contre quatre-vingt-seize. C’est la différence entre le taux de remplacement net des retraites en France et aux Pays-Bas, selon le rapport OCDE 2025</w:t>
      </w:r>
      <w:r>
        <w:rPr>
          <w:rStyle w:val="FootnoteReference"/>
        </w:rPr>
        <w:footnoteReference w:id="58"/>
      </w:r>
      <w:r>
        <w:t xml:space="preserve">. Pour un salarié moyen au terme d’une carrière complète, la pension française couvre 72 % du dernier salaire net ; la pension néerlandaise, 96 %. La moyenne OCDE est à 63 %.</w:t>
      </w:r>
    </w:p>
    <w:p>
      <w:pPr>
        <w:pStyle w:val="BodyText"/>
      </w:pPr>
      <w:r>
        <w:t xml:space="preserve">Pourtant, pour parvenir à ces résultats si différents, Français et Néerlandais cotisent presque autant. En France, le total des cotisations vieillesse — salariales et patronales, base et complémentaires AGIRC-ARRCO — atteint environ 28 % du salaire brut. Aux Pays-Bas, en additionnant le pilier public AOW et les cotisations obligatoires aux fonds de pension occupationnels, le total approche aussi 27 à 28 %</w:t>
      </w:r>
      <w:r>
        <w:rPr>
          <w:rStyle w:val="FootnoteReference"/>
        </w:rPr>
        <w:footnoteReference w:id="59"/>
      </w:r>
      <w:r>
        <w:t xml:space="preserve">.</w:t>
      </w:r>
    </w:p>
    <w:p>
      <w:pPr>
        <w:pStyle w:val="BodyText"/>
      </w:pPr>
      <w:r>
        <w:t xml:space="preserve">Pour un effort de cotisation comparable, donc, les Néerlandais touchent près d’un tiers de pension de plus que les Français. La différence tient en un mot : capitalisation. Pendant que chaque euro cotisé en France est immédiatement redistribué aux retraités actuels, le même euro néerlandais part s’investir dans un fonds qui le fait fructifier pendant trente ou quarante ans. Le même effort produit, au bout du compte, près d’un tiers de retraite en plus.</w:t>
      </w:r>
    </w:p>
    <w:bookmarkEnd w:id="60"/>
    <w:bookmarkStart w:id="61" w:name="la-grande-illusion"/>
    <w:p>
      <w:pPr>
        <w:pStyle w:val="Heading2"/>
      </w:pPr>
      <w:r>
        <w:t xml:space="preserve">La grande illusion</w:t>
      </w:r>
    </w:p>
    <w:p>
      <w:pPr>
        <w:pStyle w:val="FirstParagraph"/>
      </w:pPr>
      <w:r>
        <w:t xml:space="preserve">Comment un pays qui consacre près de 14 % de son produit intérieur brut aux pensions de retraite peut-il offrir à ses retraités un taux de remplacement inférieur à celui de pays qui dépensent moins de la moitié, pour un effort de cotisation comparable ? Comment la France parvient-elle à cette équation incompréhensible : autant d’efforts collectifs, autant d’efforts individuels, mais des pensions plus faibles, et un capital national qui glisse chaque année un peu plus sous pavillon étranger ?</w:t>
      </w:r>
    </w:p>
    <w:p>
      <w:pPr>
        <w:pStyle w:val="BodyText"/>
      </w:pPr>
      <w:r>
        <w:t xml:space="preserve">La réponse tient en un mot : répartition.</w:t>
      </w:r>
    </w:p>
    <w:p>
      <w:pPr>
        <w:pStyle w:val="BodyText"/>
      </w:pPr>
      <w:r>
        <w:t xml:space="preserve">Tous les pays comparables — Allemagne, Royaume-Uni, Danemark, Suède, Pays-Bas, Suisse — avaient au départ, comme la France, des systèmes de répartition puissants. Tous, à un moment ou un autre des trente dernières années, ont ajouté un second pilier capitalisé. Quand la pyramide des âges se retourne, quand le ratio cotisants-retraités se dégrade, la répartition seule devient mécaniquement intenable. La capitalisation, elle, s’appuie sur les rendements du capital — qui ne dépendent pas du nombre d’actifs.</w:t>
      </w:r>
    </w:p>
    <w:p>
      <w:pPr>
        <w:pStyle w:val="BodyText"/>
      </w:pPr>
      <w:r>
        <w:t xml:space="preserve">C’est cela, le vrai débat. Pas un débat caricatural entre solidarité et individualisme, pas un combat entre « modèle social français » et « modèle anglo-saxon ». C’est une question d’ingénierie économique : à quoi ressemble un système de retraite robuste dans une démographie qui vieillit, et à quoi ressemble une économie souveraine dans un monde où l’épargne longue est le carburant du capital productif ?</w:t>
      </w:r>
    </w:p>
    <w:p>
      <w:pPr>
        <w:pStyle w:val="BodyText"/>
      </w:pPr>
      <w:r>
        <w:t xml:space="preserve">Ce qu’introduit la capitalisation, c’est un changement de nature. Elle ne remplace pas la cotisation : elle la fait travailler dans le temps. Sur quarante ans, à un rendement annuel moyen de 5 % — bien en deçà des performances réelles des principaux fonds de pension internationaux —, un euro investi se transforme en sept euros. Cet effet d’accumulation, quasi absent du système français, est ce qui permet aux Néerlandais de garantir 96 % du dernier salaire à leurs retraités, pour un effort de cotisation comparable au nôtre. Et c’est ce qui, simultanément, constitue chez eux le capital long terme qui finance leurs entreprises, leurs infrastructures, leur souveraineté économique.</w:t>
      </w:r>
    </w:p>
    <w:bookmarkEnd w:id="61"/>
    <w:bookmarkStart w:id="62" w:name="lobjectif-du-livre"/>
    <w:p>
      <w:pPr>
        <w:pStyle w:val="Heading2"/>
      </w:pPr>
      <w:r>
        <w:t xml:space="preserve">L’objectif du livre</w:t>
      </w:r>
    </w:p>
    <w:p>
      <w:pPr>
        <w:pStyle w:val="FirstParagraph"/>
      </w:pPr>
      <w:r>
        <w:t xml:space="preserve">Ce livre démontre une seule thèse : la France n’a pas un problème d’épargne, elle a un problème d’architecture. L’épargne brute des ménages français dépasse six mille milliards d’euros — c’est plus que celle de l’Allemagne. Mais elle dort, en très grande majorité, dans des produits administrés à rendement nul ou faible, sans canalisation vers le capital productif national. Le résultat se mesure : pensions plus faibles que celles de nos voisins pour un effort de cotisation comparable, dépense publique de retraite hors norme, et meilleures entreprises qui basculent une à une sous pavillon étranger.</w:t>
      </w:r>
    </w:p>
    <w:p>
      <w:pPr>
        <w:pStyle w:val="BodyText"/>
      </w:pPr>
      <w:r>
        <w:t xml:space="preserve">Cette architecture peut être construite. Elle a été construite ailleurs. Elle a même été construite en France, mais pour quatre millions et demi de fonctionnaires seulement, à bas bruit, sous un nom de compromis. Et chaque année passée à ne pas l’étendre est une année de capital national qui s’évapore, de pension future qui se réduit, et de souveraineté économique qui s’use.</w:t>
      </w:r>
    </w:p>
    <w:bookmarkEnd w:id="62"/>
    <w:bookmarkStart w:id="63" w:name="plan-de-louvrage"/>
    <w:p>
      <w:pPr>
        <w:pStyle w:val="Heading2"/>
      </w:pPr>
      <w:r>
        <w:t xml:space="preserve">Plan de l’ouvrage</w:t>
      </w:r>
    </w:p>
    <w:p>
      <w:pPr>
        <w:pStyle w:val="FirstParagraph"/>
      </w:pPr>
      <w:r>
        <w:t xml:space="preserve">Ce livre se déroule en</w:t>
      </w:r>
      <w:r>
        <w:t xml:space="preserve"> </w:t>
      </w:r>
      <w:r>
        <w:rPr>
          <w:b/>
          <w:bCs/>
        </w:rPr>
        <w:t xml:space="preserve">trois parties</w:t>
      </w:r>
      <w:r>
        <w:t xml:space="preserve">, qui s’articulent comme une seule démonstration en trois temps.</w:t>
      </w:r>
    </w:p>
    <w:p>
      <w:pPr>
        <w:pStyle w:val="BodyText"/>
      </w:pPr>
      <w:r>
        <w:rPr>
          <w:b/>
          <w:bCs/>
        </w:rPr>
        <w:t xml:space="preserve">La première partie</w:t>
      </w:r>
      <w:r>
        <w:t xml:space="preserve"> </w:t>
      </w:r>
      <w:r>
        <w:t xml:space="preserve">établit que la capitalisation est la réponse aux problèmes du système de retraite français. Elle diagnostique l’impasse de la répartition pure — démographie qui se retourne, ratio cotisants-retraités qui s’effondre, déficit chronique projeté par le Conseil d’orientation des retraites jusqu’en 2070, injustice générationnelle qui s’accumule. Elle constate l’épuisement politique des réformes paramétriques. Elle explique ensuite, simplement, ce qu’est la capitalisation, en s’appuyant sur le mécanisme du RAFP comme illustration française concrète. Elle montre enfin, sur un cas-type chiffré, qu’un pilier capitalisé même modeste — vingt à quarante pour cent des cotisations vieillesse, sur quarante ans — transformerait individuellement la pension des actifs nés après 1980 : plus de deux cent vingt-huit mille à plus de quatre cent cinquante-six mille euros de retraite cumulée en plus, selon l’architecture retenue. Et elle décrit ce que ce mouvement change pour les finances publiques d’un pays.</w:t>
      </w:r>
    </w:p>
    <w:p>
      <w:pPr>
        <w:pStyle w:val="BodyText"/>
      </w:pPr>
      <w:r>
        <w:rPr>
          <w:b/>
          <w:bCs/>
        </w:rPr>
        <w:t xml:space="preserve">La deuxième partie</w:t>
      </w:r>
      <w:r>
        <w:t xml:space="preserve"> </w:t>
      </w:r>
      <w:r>
        <w:t xml:space="preserve">montre que la capitalisation ne sert pas qu’à payer des retraites plus élevées. Elle sert aussi à constituer des fonds de pension nationaux qui financent l’économie nationale. Elle commence par poser ce qu’est concrètement un fonds de pension, à quoi il sert, et selon quelles familles il existe ailleurs. Elle documente le capital qui nous échappe — l’épargne française qui dort, plus de six mille milliards d’euros mal alloués, pendant que les fonds étrangers rachètent nos meilleures entreprises avec leur propre capital long. Elle décrit la vague des cessions silencieuses qui prend forme dans la décennie : deux cent quarante mille entreprises sans repreneur français, transactions une à une qui transfèrent les sièges, les brevets, les centres de décision sous pavillon étranger. Elle conclut sur la simulation chiffrée de ce que feraient mille cinq cents milliards d’euros gérés par des fonds de pension français, et sur le</w:t>
      </w:r>
      <w:r>
        <w:t xml:space="preserve"> </w:t>
      </w:r>
      <w:r>
        <w:rPr>
          <w:i/>
          <w:iCs/>
        </w:rPr>
        <w:t xml:space="preserve">cercle vertueux du capital domestique</w:t>
      </w:r>
      <w:r>
        <w:t xml:space="preserve"> </w:t>
      </w:r>
      <w:r>
        <w:t xml:space="preserve">qui retransforme l’épargne nationale en pouvoir d’achat des retraités du futur.</w:t>
      </w:r>
    </w:p>
    <w:p>
      <w:pPr>
        <w:pStyle w:val="BodyText"/>
      </w:pPr>
      <w:r>
        <w:rPr>
          <w:b/>
          <w:bCs/>
        </w:rPr>
        <w:t xml:space="preserve">La troisième partie</w:t>
      </w:r>
      <w:r>
        <w:t xml:space="preserve"> </w:t>
      </w:r>
      <w:r>
        <w:t xml:space="preserve">examine ce que d’autres pays ont fait pour aller à la capitalisation : la Suède, l’Australie et Singapour qui ont réussi, le Chili qui s’est trompé. Elle en tire quatre leçons opérationnelles — cotisation patronale obligatoire, plancher universel, fonds par défaut bien conçu, pacte transpartisan signé avant le vote. Elle nomme les enjeux que la transition française doit arbitrer — temporalité, double paiement, segmentation, acceptabilité sociale, juridique. Elle propose une méthode politique en deux voies — la concertation longue à la suédoise, la rapidité négociée à l’australienne —, avec un agenda opérationnel sur vingt-cinq ans articulé en quatre phases entre 2027 et 2052. Elle s’achève sur le mécanisme du fonds de transition modèle suédois qui rend la réforme politiquement faisable parce que techniquement amortie.</w:t>
      </w:r>
    </w:p>
    <w:p>
      <w:pPr>
        <w:pStyle w:val="BodyText"/>
      </w:pPr>
      <w:r>
        <w:t xml:space="preserve">Une</w:t>
      </w:r>
      <w:r>
        <w:t xml:space="preserve"> </w:t>
      </w:r>
      <w:r>
        <w:rPr>
          <w:b/>
          <w:bCs/>
        </w:rPr>
        <w:t xml:space="preserve">conclusion</w:t>
      </w:r>
      <w:r>
        <w:t xml:space="preserve"> </w:t>
      </w:r>
      <w:r>
        <w:t xml:space="preserve">referme l’argument en revenant sur les quatre verrous historiques qui ont retenu la France pendant quatre-vingts ans — héritage de 1945, méfiance financière, poids syndical, préférence pour les réformes paramétriques — et sur les quatre faits nouveaux qui, en 2026, les desserrent simultanément. Un</w:t>
      </w:r>
      <w:r>
        <w:t xml:space="preserve"> </w:t>
      </w:r>
      <w:r>
        <w:rPr>
          <w:b/>
          <w:bCs/>
        </w:rPr>
        <w:t xml:space="preserve">appendice</w:t>
      </w:r>
      <w:r>
        <w:t xml:space="preserve"> </w:t>
      </w:r>
      <w:r>
        <w:t xml:space="preserve">—</w:t>
      </w:r>
      <w:r>
        <w:t xml:space="preserve"> </w:t>
      </w:r>
      <w:r>
        <w:rPr>
          <w:i/>
          <w:iCs/>
        </w:rPr>
        <w:t xml:space="preserve">Cinq mensonges qui ont coûté trente ans</w:t>
      </w:r>
      <w:r>
        <w:t xml:space="preserve"> </w:t>
      </w:r>
      <w:r>
        <w:t xml:space="preserve">— répond, en format question-réponse, aux six objections récurrentes qui ont anesthésié le débat français depuis trois décennies. À garder sous le coude pour la conversation suivante.</w:t>
      </w:r>
    </w:p>
    <w:bookmarkEnd w:id="63"/>
    <w:bookmarkEnd w:id="64"/>
    <w:bookmarkStart w:id="175" w:name="X29ac50699fe0981b683b15febe3c43cdefc8e72"/>
    <w:p>
      <w:pPr>
        <w:pStyle w:val="Heading1"/>
      </w:pPr>
      <w:r>
        <w:t xml:space="preserve">Partie 1 — La capitalisation répond aux problèmes du système de retraite</w:t>
      </w:r>
    </w:p>
    <w:p>
      <w:pPr>
        <w:pStyle w:val="BlockText"/>
      </w:pPr>
      <w:r>
        <w:t xml:space="preserve">« Le système de retraite resterait durablement en besoin de financement quel que soit le scénario retenu. »</w:t>
      </w:r>
    </w:p>
    <w:p>
      <w:pPr>
        <w:pStyle w:val="Compact"/>
        <w:numPr>
          <w:ilvl w:val="0"/>
          <w:numId w:val="1001"/>
        </w:numPr>
      </w:pPr>
      <w:r>
        <w:t xml:space="preserve">Conseil d’orientation des retraites,</w:t>
      </w:r>
      <w:r>
        <w:t xml:space="preserve"> </w:t>
      </w:r>
      <w:r>
        <w:rPr>
          <w:i/>
          <w:iCs/>
        </w:rPr>
        <w:t xml:space="preserve">Évolutions et perspectives des retraites en France</w:t>
      </w:r>
      <w:r>
        <w:t xml:space="preserve">, rapport annuel, juin 2025</w:t>
      </w:r>
      <w:r>
        <w:rPr>
          <w:rStyle w:val="FootnoteReference"/>
        </w:rPr>
        <w:footnoteReference w:id="65"/>
      </w:r>
    </w:p>
    <w:p>
      <w:pPr>
        <w:pStyle w:val="FirstParagraph"/>
      </w:pPr>
      <w:r>
        <w:rPr>
          <w:highlight w:val="yellow"/>
        </w:rPr>
        <w:t xml:space="preserve">Le système français de retraite par répartition repose sur un mécanisme simple : celui du transfert intergénérationnel.</w:t>
      </w:r>
      <w:r>
        <w:rPr>
          <w:highlight w:val="yellow"/>
        </w:rPr>
        <w:t xml:space="preserve"> </w:t>
      </w:r>
      <w:r>
        <w:rPr>
          <w:b/>
          <w:bCs/>
          <w:highlight w:val="yellow"/>
          <w:u w:val="single"/>
        </w:rPr>
        <w:t xml:space="preserve">Autrement dit, ceux qui travaillent paient les pensions de ceux qui ne travaillent plus. C’est ce qu’on appelle un système par « répartition ».</w:t>
      </w:r>
      <w:r>
        <w:rPr>
          <w:highlight w:val="yellow"/>
        </w:rPr>
        <w:t xml:space="preserve"> </w:t>
      </w:r>
      <w:r>
        <w:rPr>
          <w:highlight w:val="yellow"/>
        </w:rPr>
        <w:t xml:space="preserve">Le système fonctionne comme un tuyau :</w:t>
      </w:r>
      <w:r>
        <w:t xml:space="preserve"> </w:t>
      </w:r>
      <w:r>
        <w:t xml:space="preserve">tout ce qui entre au mois M sort le même mois, redistribué aux retraités de la France entière. Ce mécanisme peut a priori présenter deux qualités : une solidarité immédiate et une lisibilité administrative.</w:t>
      </w:r>
    </w:p>
    <w:p>
      <w:pPr>
        <w:pStyle w:val="BodyText"/>
      </w:pPr>
      <w:r>
        <w:t xml:space="preserve">Mais il contient aussi une fragilité que les fondateurs eux-mêmes voyaient parfaitement : il dépend, en permanence, du rapport numérique entre les actifs qui versent et les retraités qui touchent. Quand ce rapport se dégrade, le système se fragilise. Aucune réforme paramétrique ne peut renverser cette logique ; elle peut tout au plus en ralentir les effets.</w:t>
      </w:r>
    </w:p>
    <w:p>
      <w:pPr>
        <w:pStyle w:val="BodyText"/>
      </w:pPr>
      <w:r>
        <w:t xml:space="preserve">Or, de fait, ce rapport s’effondre, dans des proportions qui rendent le système actuel intenable. Le Conseil d’orientation des retraites projette un déficit chronique jusqu’en 2070. La Cour des comptes parle de trente milliards d’euros annuels en 2045. Le FMI, dans sa consultation Article IV de mai 2025, identifie les régimes de retraite parmi les postes de dépense sociale à réformer pour garantir la soutenabilité budgétaire à moyen terme</w:t>
      </w:r>
      <w:r>
        <w:rPr>
          <w:rStyle w:val="FootnoteReference"/>
        </w:rPr>
        <w:footnoteReference w:id="66"/>
      </w:r>
      <w:r>
        <w:t xml:space="preserve">.</w:t>
      </w:r>
    </w:p>
    <w:p>
      <w:pPr>
        <w:pStyle w:val="BodyText"/>
      </w:pPr>
      <w:r>
        <w:t xml:space="preserve">Le diagnostic converge vers une réalité que trop peu de rapports nomment : la trajectoire actuelle transfère silencieusement une dette colossale aux générations qui n'ont rien demandé.</w:t>
      </w:r>
    </w:p>
    <w:bookmarkStart w:id="108" w:name="le-système-actuel-est-dans-une-impasse"/>
    <w:p>
      <w:pPr>
        <w:pStyle w:val="Heading2"/>
      </w:pPr>
      <w:r>
        <w:t xml:space="preserve">Le système actuel est dans une impasse</w:t>
      </w:r>
    </w:p>
    <w:bookmarkStart w:id="81" w:name="X1a04d3701d8bea55b793490772ebe5b42e85bf8"/>
    <w:p>
      <w:pPr>
        <w:pStyle w:val="Heading3"/>
      </w:pPr>
      <w:r>
        <w:t xml:space="preserve">Le grand vieillissement : quand la pyramide s’inverse</w:t>
      </w:r>
    </w:p>
    <w:p>
      <w:pPr>
        <w:pStyle w:val="FirstParagraph"/>
      </w:pPr>
      <w:r>
        <w:t xml:space="preserve">L’INSEE publie chaque année, à la fin du mois de janvier, le</w:t>
      </w:r>
      <w:r>
        <w:t xml:space="preserve"> </w:t>
      </w:r>
      <w:r>
        <w:rPr>
          <w:i/>
          <w:iCs/>
        </w:rPr>
        <w:t xml:space="preserve">Bilan démographique</w:t>
      </w:r>
      <w:r>
        <w:t xml:space="preserve"> </w:t>
      </w:r>
      <w:r>
        <w:t xml:space="preserve">de l’année écoulée. C’est l’un des documents les plus importants pour l’avenir du pays, et il sort dans une indifférence quasi totale. L’édition consacrée à 2025, parue en janvier 2026, contient un chiffre qui aurait dû ouvrir tous les journaux du soir.</w:t>
      </w:r>
    </w:p>
    <w:p>
      <w:pPr>
        <w:pStyle w:val="BodyText"/>
      </w:pPr>
      <w:r>
        <w:t xml:space="preserve">Le solde naturel - l’écart entre les naissances et les décès - s’est établi en 2025 à</w:t>
      </w:r>
      <w:r>
        <w:t xml:space="preserve"> </w:t>
      </w:r>
      <w:r>
        <w:rPr>
          <w:b/>
          <w:bCs/>
          <w:highlight w:val="yellow"/>
        </w:rPr>
        <w:t xml:space="preserve">-6000</w:t>
      </w:r>
      <w:r>
        <w:rPr>
          <w:highlight w:val="yellow"/>
        </w:rPr>
        <w:t xml:space="preserve">.</w:t>
      </w:r>
      <w:r>
        <w:rPr>
          <w:highlight w:val="yellow"/>
        </w:rPr>
        <w:t xml:space="preserve"> </w:t>
      </w:r>
      <w:r>
        <w:rPr>
          <w:b/>
          <w:bCs/>
          <w:highlight w:val="yellow"/>
          <w:u w:val="single"/>
        </w:rPr>
        <w:t xml:space="preserve">Pour la première fois depuis la fin de la Seconde Guerre mondiale, la France</w:t>
      </w:r>
      <w:r>
        <w:t xml:space="preserve"> </w:t>
      </w:r>
      <w:r>
        <w:rPr>
          <w:b/>
          <w:bCs/>
          <w:highlight w:val="yellow"/>
          <w:u w:val="single"/>
        </w:rPr>
        <w:t xml:space="preserve">enregistre plus de décès que de naissances</w:t>
      </w:r>
      <w:r>
        <w:rPr>
          <w:rStyle w:val="FootnoteReference"/>
        </w:rPr>
        <w:footnoteReference w:id="67"/>
      </w:r>
      <w:r>
        <w:t xml:space="preserve">. La conséquence est la suivante : la France ne se renouvelle plus que par l’immigration nette</w:t>
      </w:r>
      <w:r>
        <w:rPr>
          <w:rStyle w:val="FootnoteReference"/>
        </w:rPr>
        <w:footnoteReference w:id="68"/>
      </w:r>
      <w:r>
        <w:t xml:space="preserve">. La France, dont on apprenait à l’école qu’elle avait une croissance démographique dynamique par rapport à ses voisins, cette France-là ne fait plus d’enfants.</w:t>
      </w:r>
    </w:p>
    <w:p>
      <w:pPr>
        <w:pStyle w:val="BodyText"/>
      </w:pPr>
      <w:r>
        <w:t xml:space="preserve">GRAPHIQUE NAISSANCES / DECES</w:t>
      </w:r>
    </w:p>
    <w:p>
      <w:pPr>
        <w:pStyle w:val="BodyText"/>
      </w:pPr>
      <w:r>
        <w:t xml:space="preserve">Deux mouvements œuvrent à ce « grand vieillissement ».</w:t>
      </w:r>
    </w:p>
    <w:p>
      <w:pPr>
        <w:pStyle w:val="BodyText"/>
      </w:pPr>
      <w:r>
        <w:rPr>
          <w:b/>
          <w:bCs/>
        </w:rPr>
        <w:t xml:space="preserve">Le premier est l’effondrement de la fécondité</w:t>
      </w:r>
      <w:r>
        <w:t xml:space="preserve">. L’indice conjoncturel - le chiffre qui mesure ce que serait, à comportement constant, le nombre d’enfants par femme - est passé de 2,00 en 2014 à 1,61 en 2024, puis à</w:t>
      </w:r>
      <w:r>
        <w:t xml:space="preserve"> </w:t>
      </w:r>
      <w:r>
        <w:rPr>
          <w:b/>
          <w:bCs/>
        </w:rPr>
        <w:t xml:space="preserve">1,56 en 2025</w:t>
      </w:r>
      <w:r>
        <w:rPr>
          <w:rStyle w:val="FootnoteReference"/>
        </w:rPr>
        <w:footnoteReference w:id="69"/>
      </w:r>
      <w: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devant l’Allemagne à 1,36 et l’Italie à 1,18</w:t>
      </w:r>
      <w:r>
        <w:rPr>
          <w:rStyle w:val="FootnoteReference"/>
        </w:rPr>
        <w:footnoteReference w:id="70"/>
      </w:r>
      <w:r>
        <w:t xml:space="preserve">. Cette « première place » ne dispense de rien : la France a quitté, comme tous ses voisins, le seuil de remplacement des générations - fixé par les démographes à 2,1 - depuis le début des années 1970. Elle décroît plus lentement que l’Italie. Elle décroît quand même.</w:t>
      </w:r>
    </w:p>
    <w:p>
      <w:pPr>
        <w:pStyle w:val="BodyText"/>
      </w:pPr>
      <w:r>
        <w:rPr>
          <w:b/>
          <w:bCs/>
        </w:rPr>
        <w:t xml:space="preserve">Le second mouvement, c’est l’allongement de la vie.</w:t>
      </w:r>
      <w:r>
        <w:t xml:space="preserve"> </w:t>
      </w:r>
      <w:r>
        <w:t xml:space="preserve">Une femme française née en 2025 peut espérer vivre 85,9 ans ; un homme, 80,3 ans. Depuis 1950, c’est plus de seize années gagnées sur une vie</w:t>
      </w:r>
      <w:r>
        <w:rPr>
          <w:rStyle w:val="FootnoteReference"/>
        </w:rPr>
        <w:footnoteReference w:id="71"/>
      </w:r>
      <w:r>
        <w:t xml:space="preserve">. Le progrès est considérable et personne n’envisage de s’en désoler. Mais c’est, pour un système de retraite conçu pour une autre époque, la nécessité d’en changer.</w:t>
      </w:r>
    </w:p>
    <w:p>
      <w:pPr>
        <w:pStyle w:val="BodyText"/>
      </w:pPr>
      <w:r>
        <w:t xml:space="preserve">Le « système Laroque », dont procède le système de retraites français, a été pensé en 1945 pour une France où l’on entrait dans la vie active à seize ans, où l’on en sortait à soixante-cinq, et où il restait alors à un homme une dizaine d’années à vivre, à une femme une quinzaine</w:t>
      </w:r>
      <w:r>
        <w:rPr>
          <w:rStyle w:val="FootnoteReference"/>
        </w:rPr>
        <w:footnoteReference w:id="72"/>
      </w:r>
      <w:r>
        <w:t xml:space="preserve">. À soixante-cinq ans, une Française a aujourd’hui près de vingt-trois années à vivre, un homme vingt</w:t>
      </w:r>
      <w:r>
        <w:rPr>
          <w:rStyle w:val="FootnoteReference"/>
        </w:rPr>
        <w:footnoteReference w:id="73"/>
      </w:r>
      <w:r>
        <w:t xml:space="preserve">. Une augmentation d’un tiers, sans qu’aucune des cinq réformes paramétriques qui se sont succédé n’ait, pour autant, véritablement traité le problème.</w:t>
      </w:r>
    </w:p>
    <w:p>
      <w:pPr>
        <w:pStyle w:val="BodyText"/>
      </w:pPr>
      <w:r>
        <w:t xml:space="preserve">COURBE CISEAUX FECONDITE ALLONGEMENT VIE</w:t>
      </w:r>
    </w:p>
    <w:p>
      <w:pPr>
        <w:pStyle w:val="BodyText"/>
      </w:pPr>
      <w:r>
        <w:t xml:space="preserve">L’addition des deux mouvements produit une pyramide des âges qui ne ressemble plus en rien à une pyramide. Au 1er janvier 2026, 22,2 % des Français ont au moins soixante-cinq ans. C’était 16,4 % il y a vingt ans, environ 13 % il y a quarante ans</w:t>
      </w:r>
      <w:r>
        <w:rPr>
          <w:rStyle w:val="FootnoteReference"/>
        </w:rPr>
        <w:footnoteReference w:id="74"/>
      </w:r>
      <w:r>
        <w:t xml:space="preserve">. La part des moins de vingt ans, elle, n’atteint plus que 22,5 % -</w:t>
      </w:r>
      <w:r>
        <w:t xml:space="preserve"> </w:t>
      </w:r>
      <w:r>
        <w:rPr>
          <w:b/>
          <w:bCs/>
        </w:rPr>
        <w:t xml:space="preserve">pour la première fois dans l’histoire de la République, les plus de soixante-cinq ans sont aussi nombreux que les moins de vingt</w:t>
      </w:r>
      <w:r>
        <w:t xml:space="preserve">.</w:t>
      </w:r>
    </w:p>
    <w:p>
      <w:pPr>
        <w:pStyle w:val="BodyText"/>
      </w:pPr>
      <w:r>
        <w:t xml:space="preserve">La Commission européenne, dans son</w:t>
      </w:r>
      <w:r>
        <w:t xml:space="preserve"> </w:t>
      </w:r>
      <w:r>
        <w:rPr>
          <w:i/>
          <w:iCs/>
        </w:rPr>
        <w:t xml:space="preserve">2024 Ageing Report</w:t>
      </w:r>
      <w:r>
        <w:t xml:space="preserve">, projette que le ratio de dépendance des personnes âgées en France, soit la population de 65 ans et plus rapportée à la population en âge de travailler, passera de 38,2 % en 2022 à 57,8 % en 2070, soit un bond de près de vingt points en cinquante ans</w:t>
      </w:r>
      <w:r>
        <w:rPr>
          <w:rStyle w:val="FootnoteReference"/>
        </w:rPr>
        <w:footnoteReference w:id="75"/>
      </w:r>
      <w:r>
        <w:t xml:space="preserve">. Dans les comptes du système de retraite, ce basculement se traduit par une seule statistique, la plus parlante de toutes : le ratio entre cotisants et retraités.</w:t>
      </w:r>
    </w:p>
    <w:p>
      <w:pPr>
        <w:pStyle w:val="BodyText"/>
      </w:pPr>
      <w:r>
        <w:t xml:space="preserve">En 1965, on comptait 4,29 cotisants pour un retraité</w:t>
      </w:r>
      <w:r>
        <w:rPr>
          <w:rStyle w:val="FootnoteReference"/>
        </w:rPr>
        <w:footnoteReference w:id="76"/>
      </w:r>
      <w:r>
        <w:t xml:space="preserve">. Quatre personnes en activité pour payer une pension. À ce ratio-là, le système est très largement viable. Il pouvait promettre 75 % du dernier salaire et financer en plus des départs à soixante ans.</w:t>
      </w:r>
    </w:p>
    <w:p>
      <w:pPr>
        <w:pStyle w:val="BodyText"/>
      </w:pPr>
      <w:r>
        <w:t xml:space="preserve">En 2024, ce même ratio est tombé à 1,79</w:t>
      </w:r>
      <w:r>
        <w:rPr>
          <w:rStyle w:val="FootnoteReference"/>
        </w:rPr>
        <w:footnoteReference w:id="77"/>
      </w:r>
      <w:r>
        <w:t xml:space="preserve">. Moins de 2 personnes pour financer chaque retraité. Le Conseil d’orientation des retraites, dans ses projections de juin 2025, retient un scénario central qui le ramène à 1,40 en 2070</w:t>
      </w:r>
      <w:r>
        <w:rPr>
          <w:rStyle w:val="FootnoteReference"/>
        </w:rPr>
        <w:footnoteReference w:id="78"/>
      </w:r>
      <w:r>
        <w:t xml:space="preserve">. C’est, dit autrement, l’impossibilité mathématique de tenir à droit constant la promesse de 1945.</w:t>
      </w:r>
    </w:p>
    <w:p>
      <w:pPr>
        <w:pStyle w:val="BodyText"/>
      </w:pPr>
      <w:r>
        <w:t xml:space="preserve">Tout système qui s’appuie sur ce ratio doit, par construction, soit baisser ses pensions, soit augmenter ses cotisations, soit reculer son âge de départ - ou faire les trois en même temps. C’est exactement ce que les cinq dernières réformes ont fait.</w:t>
      </w:r>
    </w:p>
    <w:p>
      <w:pPr>
        <w:pStyle w:val="BodyText"/>
      </w:pPr>
      <w:r>
        <w:t xml:space="preserve">COURBE RATIO COTISANTS / RETRAITES JUSQUEN 2070 SOURCE COR</w:t>
      </w:r>
    </w:p>
    <w:p>
      <w:pPr>
        <w:pStyle w:val="BodyText"/>
      </w:pPr>
      <w:r>
        <w:t xml:space="preserve">Les chiffres de flux sont plus parlants encore. Entre 2015 et 2023, le nombre de retraités est passé de 16 à 17,2 millions. Pour la seule année 2023, deux cent mille personnes supplémentaires ont fait la bascule</w:t>
      </w:r>
      <w:r>
        <w:rPr>
          <w:rStyle w:val="FootnoteReference"/>
        </w:rPr>
        <w:footnoteReference w:id="79"/>
      </w:r>
      <w:r>
        <w:t xml:space="preserve">.</w:t>
      </w:r>
    </w:p>
    <w:p>
      <w:pPr>
        <w:pStyle w:val="BodyText"/>
      </w:pPr>
      <w:r>
        <w:t xml:space="preserve">Une dernière remarque, ayant vocation à éclairer les termes du débat. Le rapport annuel du Conseil d’orientation des retraites - ce document qui sert depuis vingt ans de boussole au débat français - projette ses chiffres jusqu’en 2070 sur quatre hypothèses : un taux de fécondité de 1,80, un solde migratoire net de soixante-dix mille personnes par an, un taux de chômage à 7 %, une productivité horaire à 0,7 % par an</w:t>
      </w:r>
      <w:r>
        <w:rPr>
          <w:rStyle w:val="FootnoteReference"/>
        </w:rPr>
        <w:footnoteReference w:id="80"/>
      </w:r>
      <w:r>
        <w:t xml:space="preserve">. Ces quatre hypothèses encadrent toutes les conclusions du rapport.</w:t>
      </w:r>
    </w:p>
    <w:p>
      <w:pPr>
        <w:pStyle w:val="BodyText"/>
      </w:pPr>
      <w:r>
        <w:t xml:space="preserve">Au moins deux d’entre elles, sur les quatre, sont déjà obsolètes en 2025. La fécondité observée est très inférieure : 1,56 contre 1,80. Et la croissance économique observée en 2025 (+0,9 %) reste nettement sous la trajectoire centrale retenue par le COR (+1,2 %/an entre 2024 et 2030).</w:t>
      </w:r>
      <w:r>
        <w:t xml:space="preserve"> </w:t>
      </w:r>
    </w:p>
    <w:p>
      <w:pPr>
        <w:pStyle w:val="BodyText"/>
      </w:pPr>
      <w:r>
        <w:t xml:space="preserve">Le débat part sur de mauvaises bases.</w:t>
      </w:r>
    </w:p>
    <w:bookmarkEnd w:id="81"/>
    <w:bookmarkStart w:id="90" w:name="le-déficit-caché"/>
    <w:p>
      <w:pPr>
        <w:pStyle w:val="Heading3"/>
      </w:pPr>
      <w:r>
        <w:t xml:space="preserve">Le déficit caché</w:t>
      </w:r>
    </w:p>
    <w:p>
      <w:pPr>
        <w:pStyle w:val="FirstParagraph"/>
      </w:pPr>
      <w:r>
        <w:t xml:space="preserve">A combien s’élève le déficit annuel du système de retraites français ? Réponse souvent entendue : quelques milliards d’euros par an. C’est faux. Et c’est probablement le mensonge le plus coûteux qu’aient produit, en trente ans, les conventions budgétaires et comptables françaises.</w:t>
      </w:r>
    </w:p>
    <w:p>
      <w:pPr>
        <w:pStyle w:val="BodyText"/>
      </w:pPr>
      <w:r>
        <w:t xml:space="preserve">D'où vient l'erreur ? La Cour des comptes annonce 6,6 milliards d'euros de déficit pour 2025. Le COR 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r>
        <w:rPr>
          <w:rStyle w:val="FootnoteReference"/>
        </w:rPr>
        <w:footnoteReference w:id="82"/>
      </w:r>
      <w:r>
        <w:t xml:space="preserve">.</w:t>
      </w:r>
    </w:p>
    <w:p>
      <w:pPr>
        <w:pStyle w:val="BodyText"/>
      </w:pPr>
      <w:r>
        <w:t xml:space="preserve">Autrement dit : ces chiffres présentent comme presque équilibré un système qui ne tient que parce que l'État s'endette chaque année pour le maintenir à flot.</w:t>
      </w:r>
    </w:p>
    <w:tbl>
      <w:tblPr>
        <w:tblStyle w:val="Table"/>
        <w:tblW w:type="pct" w:w="5017"/>
        <w:tblLayout w:type="fixed"/>
        <w:tblLook w:firstRow="1" w:lastRow="0" w:firstColumn="0" w:lastColumn="0" w:noHBand="0" w:noVBand="0" w:val="0020"/>
      </w:tblPr>
      <w:tblGrid>
        <w:gridCol w:w="7946"/>
      </w:tblGrid>
      <w:tr>
        <w:trPr>
          <w:tblHeader w:val="on"/>
        </w:trPr>
        <w:tc>
          <w:tcPr/>
          <w:p>
            <w:pPr>
              <w:pStyle w:val="FirstParagraph"/>
            </w:pPr>
            <w:r>
              <w:rPr>
                <w:b/>
                <w:bCs/>
              </w:rPr>
              <w:t xml:space="preserve">ENCADRÉ – 82,28% de cotisation</w:t>
            </w:r>
          </w:p>
          <w:p>
            <w:pPr>
              <w:pStyle w:val="BodyText"/>
            </w:pPr>
            <w:r>
              <w:t xml:space="preserve">Pour ses fonctionnaires civils, l'État verse à son régime de retraite une « cotisation employeur » de 74,28 % du traitement indiciaire en 2024, relevée à 82,28 % en 2026 par décret</w:t>
            </w:r>
            <w:r>
              <w:rPr>
                <w:rStyle w:val="FootnoteReference"/>
              </w:rPr>
              <w:footnoteReference w:id="83"/>
            </w:r>
            <w:r>
              <w:t xml:space="preserve">.</w:t>
            </w:r>
          </w:p>
          <w:p>
            <w:pPr>
              <w:pStyle w:val="BodyText"/>
            </w:pPr>
            <w:r>
              <w:t xml:space="preserve">Un employeur privé verse, lui, environ 16 %. Sans ce taux exorbitant, le régime des retraites publiques apparaîtrait massivement déficitaire. C'est précisément pour cela qu'il existe : environ 80 % de cette cotisation constitue en réalité, selon Beaufret, une subvention d'équilibre déguisée.</w:t>
            </w:r>
          </w:p>
          <w:p>
            <w:pPr>
              <w:pStyle w:val="BodyText"/>
            </w:pPr>
            <w:r>
              <w:t xml:space="preserve">L'État finance son propre trou retraite, mais l'inscrit dans ses comptes comme une rémunération normale. Ce maquillage représentait 34 milliards d'euros en 2022 ; recalculé en clair, le déficit consolidé des caisses retraites publiques atteignait alors −29 milliards d'euros</w:t>
            </w:r>
            <w:r>
              <w:rPr>
                <w:rStyle w:val="FootnoteReference"/>
              </w:rPr>
              <w:footnoteReference w:id="84"/>
            </w:r>
            <w:r>
              <w:t xml:space="preserve">.</w:t>
            </w:r>
          </w:p>
        </w:tc>
      </w:tr>
    </w:tbl>
    <w:p>
      <w:pPr>
        <w:pStyle w:val="BodyText"/>
      </w:pPr>
      <w:r>
        <w:t xml:space="preserve">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r>
        <w:rPr>
          <w:rStyle w:val="FootnoteReference"/>
        </w:rPr>
        <w:footnoteReference w:id="85"/>
      </w:r>
      <w:r>
        <w:t xml:space="preserve">. C'est trois fois le budget de l'Intérieur et de la Justice cumulés. Et c'est davantage que le budget de la défense</w:t>
      </w:r>
      <w:r>
        <w:rPr>
          <w:rStyle w:val="FootnoteReference"/>
        </w:rPr>
        <w:footnoteReference w:id="86"/>
      </w:r>
      <w:r>
        <w:t xml:space="preserve">.</w:t>
      </w:r>
    </w:p>
    <w:p>
      <w:pPr>
        <w:pStyle w:val="BodyText"/>
      </w:pPr>
      <w:r>
        <w:t xml:space="preserve">Sur ces quatre-vingt-un milliards, environ cinquante-six relèvent des régimes des fonctionnaires de l'État et des collectivités locales ; dix-sept du régime général ; neuf des régimes spéciaux. Et tout ceci, malgré un taux de cotisation déjà élevé.</w:t>
      </w:r>
    </w:p>
    <w:p>
      <w:pPr>
        <w:pStyle w:val="BodyText"/>
      </w:pPr>
      <w:r>
        <w:t xml:space="preserve">Quatre-vingt-un milliards d’euros par an. Si cette somme était nommée pour ce qu’elle est - une subvention de l’État à un système déficitaire qu’il a lui-même créé -,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pPr>
        <w:pStyle w:val="BodyText"/>
      </w:pPr>
      <w:r>
        <w:t xml:space="preserve">Il apparaît comme nécessaire de nommer cette subvention pour ce qu’elle est, à savoir un endettement.</w:t>
      </w:r>
    </w:p>
    <w:p>
      <w:pPr>
        <w:pStyle w:val="BodyText"/>
      </w:pPr>
      <w:r>
        <w:t xml:space="preserve">Or c’est précisément ce qu’on ne veut pas faire. Parce qu’à partir du moment où l’on accepte de regarder cette réalité, on est obligé de conclure en conséquence : un système qui creuse chaque année un trou de quatre-vingts milliards d’euros, qui dépend mécaniquement d’une démographie en train de s’effondrer, et qui n’a aucun mécanisme interne pour s’auto-corriger, ne tient pas.</w:t>
      </w:r>
    </w:p>
    <w:p>
      <w:pPr>
        <w:pStyle w:val="BodyText"/>
      </w:pPr>
      <w:r>
        <w:t xml:space="preserve">La Cour des comptes, dans son rapport thématique de février 2025, a répondu à Beaufret sans le nommer : changer le taux d’employeur de l’État, écrit-elle, ne supprimerait pas ce coût, cela ne ferait que le déplacer</w:t>
      </w:r>
      <w:r>
        <w:rPr>
          <w:rStyle w:val="FootnoteReference"/>
        </w:rPr>
        <w:footnoteReference w:id="87"/>
      </w:r>
      <w:r>
        <w:t xml:space="preserve">. C’est exact. Mais c’est précisément ce qui est demandé - que le coût soit déplacé là où il est, dans le déficit public consolidé, et non dissimulé dans une convention comptable. Pierre Moscovici, ex-premier président de la Cour, dit lui-même que la dégradation est nette, rapide, croissante, et que « le statu quo n’est pas possible »</w:t>
      </w:r>
      <w:r>
        <w:rPr>
          <w:rStyle w:val="FootnoteReference"/>
        </w:rPr>
        <w:footnoteReference w:id="88"/>
      </w:r>
      <w:r>
        <w:t xml:space="preserve">.</w:t>
      </w:r>
    </w:p>
    <w:p>
      <w:pPr>
        <w:pStyle w:val="BodyText"/>
      </w:pPr>
      <w:r>
        <w:t xml:space="preserve">Le rapport du COR de juin 2025 ajoute une phrase qu’il faut prendre au pied de la lettre : « le système de retraite resterait durablement en besoin de financement quel que soit le scénario retenu »</w:t>
      </w:r>
      <w:r>
        <w:rPr>
          <w:rStyle w:val="FootnoteReference"/>
        </w:rPr>
        <w:footnoteReference w:id="89"/>
      </w:r>
      <w:r>
        <w:t xml:space="preserve">. Dans tous les scénarios qu’il juge plausibles, le système ne revient à l’équilibre dans aucune trajectoire.</w:t>
      </w:r>
    </w:p>
    <w:p>
      <w:pPr>
        <w:pStyle w:val="BodyText"/>
      </w:pPr>
      <w:r>
        <w:t xml:space="preserve">La facture est reportée sur les générations qui n’en sont pas responsables.</w:t>
      </w:r>
    </w:p>
    <w:bookmarkEnd w:id="90"/>
    <w:bookmarkStart w:id="107" w:name="comment-on-en-est-arrivé-là"/>
    <w:p>
      <w:pPr>
        <w:pStyle w:val="Heading3"/>
      </w:pPr>
      <w:r>
        <w:t xml:space="preserve">Comment on en est arrivé là</w:t>
      </w:r>
    </w:p>
    <w:p>
      <w:pPr>
        <w:pStyle w:val="FirstParagraph"/>
      </w:pPr>
      <w:r>
        <w:t xml:space="preserve">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91"/>
      </w:r>
      <w:r>
        <w:t xml:space="preserve">. Des régimes spéciaux pour les marins, hérités d’une ordonnance de Colbert promulguée en avril 1670 et confirmée tout au long de l’Ancien Régime</w:t>
      </w:r>
      <w:r>
        <w:rPr>
          <w:rStyle w:val="FootnoteReference"/>
        </w:rPr>
        <w:footnoteReference w:id="92"/>
      </w:r>
      <w:r>
        <w:t xml:space="preserve">. Des mutuelles ouvrières, des caisses 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93"/>
      </w:r>
      <w:r>
        <w:t xml:space="preserve">.</w:t>
      </w:r>
    </w:p>
    <w:p>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 un pays ruiné, une monnaie en chute libre, l’État incapable de constituer le moindre capital - que le régime de Vichy promulgue, le 14 mars 1941, l’</w:t>
      </w:r>
      <w:r>
        <w:rPr>
          <w:b/>
          <w:bCs/>
        </w:rPr>
        <w:t xml:space="preserve">Allocation aux vieux travailleurs salariés</w:t>
      </w:r>
      <w:r>
        <w:rPr>
          <w:rStyle w:val="FootnoteReference"/>
        </w:rPr>
        <w:footnoteReference w:id="94"/>
      </w:r>
      <w:r>
        <w:t xml:space="preserve">.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pPr>
        <w:pStyle w:val="BodyText"/>
      </w:pPr>
      <w:r>
        <w:t xml:space="preserve">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95"/>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du commerce</w:t>
      </w:r>
      <w:r>
        <w:rPr>
          <w:rStyle w:val="FootnoteReference"/>
        </w:rPr>
        <w:footnoteReference w:id="96"/>
      </w:r>
      <w:r>
        <w:t xml:space="preserve">. Laroque l’expliquera plus tard à sa manière : « les bénéficiaires sont des gens pauvres à qui il faut assurer des moyens de subsistance, et quand les allocations seront versées, il ne restera rien à mettre de côté pour un régime de capitalisation »</w:t>
      </w:r>
      <w:r>
        <w:rPr>
          <w:rStyle w:val="FootnoteReference"/>
        </w:rPr>
        <w:footnoteReference w:id="97"/>
      </w:r>
      <w:r>
        <w:t xml:space="preserve">. L’argument est honnête. Il l’est resté longtemps.</w:t>
      </w:r>
    </w:p>
    <w:p>
      <w:pPr>
        <w:pStyle w:val="BodyText"/>
      </w:pPr>
      <w:r>
        <w:t xml:space="preserve">Pendant trente ans, ce choix tient. La France des Trente Glorieuses connaît une croissance moyenne de 5,5 % par an entre 1949 et 1973</w:t>
      </w:r>
      <w:r>
        <w:rPr>
          <w:rStyle w:val="FootnoteReference"/>
        </w:rPr>
        <w:footnoteReference w:id="98"/>
      </w:r>
      <w:r>
        <w:t xml:space="preserve">, un plein emploi quasi absolu, un baby-boom qui amène jusqu’à 4,29 cotisants pour un retraité en 1965, et une espérance de vie à 65 ans encore comprise dans les sept à dix années qui suivent</w:t>
      </w:r>
      <w:r>
        <w:rPr>
          <w:rStyle w:val="FootnoteReference"/>
        </w:rPr>
        <w:footnoteReference w:id="99"/>
      </w:r>
      <w:r>
        <w:t xml:space="preserve">.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100"/>
      </w:r>
      <w:r>
        <w:t xml:space="preserve">, le 8 décembre 1961 celle des non-cadres (l’ARRCO)</w:t>
      </w:r>
      <w:r>
        <w:rPr>
          <w:rStyle w:val="FootnoteReference"/>
        </w:rPr>
        <w:footnoteReference w:id="101"/>
      </w:r>
      <w:r>
        <w:t xml:space="preserve">, puis abaisser l’âge légal à soixante ans par l’ordonnance du 26 mars 1982 sous François Mitterrand et le ministre du Travail Jean Auroux</w:t>
      </w:r>
      <w:r>
        <w:rPr>
          <w:rStyle w:val="FootnoteReference"/>
        </w:rPr>
        <w:footnoteReference w:id="102"/>
      </w:r>
      <w:r>
        <w:t xml:space="preserve"> </w:t>
      </w:r>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103"/>
      </w:r>
      <w:r>
        <w:t xml:space="preserve">. C’est presque le rendement d’un bon placement financier - sans risque, et sans qu’on ait eu besoin d’épargner.</w:t>
      </w:r>
    </w:p>
    <w:p>
      <w:pPr>
        <w:pStyle w:val="BodyText"/>
      </w:pPr>
      <w:r>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 à partir du milieu des années 1970 -, l’idée, elle, est restée.</w:t>
      </w:r>
    </w:p>
    <w:p>
      <w:pPr>
        <w:pStyle w:val="BodyText"/>
      </w:pPr>
      <w:r>
        <w:t xml:space="preserve">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104"/>
      </w:r>
      <w:r>
        <w:t xml:space="preserve">. Les cohortes qui entrent sur le marché du travail dans les années 1990 ne pourront plus, par leur nombre, financer la retraite de leurs parents au même rendement implicite que ceux-ci avaient eu pour financer celle de leurs aïeux.</w:t>
      </w:r>
    </w:p>
    <w:p>
      <w:pPr>
        <w:pStyle w:val="BodyText"/>
      </w:pPr>
      <w:r>
        <w:t xml:space="preserve">Tout cela est connu et documenté de longue date. Le commissaire au Plan Raoul Briet le note en 1995, dans un rapport remis au Premier ministre Alain Juppé</w:t>
      </w:r>
      <w:r>
        <w:rPr>
          <w:rStyle w:val="FootnoteReference"/>
        </w:rPr>
        <w:footnoteReference w:id="105"/>
      </w:r>
      <w:r>
        <w:t xml:space="preserve">. Jean-Michel Charpin, son successeur, dans un rapport remis à Lionel Jospin en mai 1999, le démontre chiffres à l’appui sur 264 pages, en concluant que le système est, à l’identique, intenable à long terme</w:t>
      </w:r>
      <w:r>
        <w:rPr>
          <w:rStyle w:val="FootnoteReference"/>
        </w:rPr>
        <w:footnoteReference w:id="106"/>
      </w:r>
      <w:r>
        <w:t xml:space="preserve">.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pPr>
        <w:pStyle w:val="BodyText"/>
      </w:pPr>
      <w:r>
        <w:t xml:space="preserve">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bookmarkEnd w:id="107"/>
    <w:bookmarkEnd w:id="108"/>
    <w:bookmarkStart w:id="116" w:name="Xa313c04bb82f2ddd2bcff30fff76f17b77d4062"/>
    <w:p>
      <w:pPr>
        <w:pStyle w:val="Heading2"/>
      </w:pPr>
      <w:r>
        <w:t xml:space="preserve">Ces réformes paramétriques qui n’en sont pas</w:t>
      </w:r>
    </w:p>
    <w:p>
      <w:pPr>
        <w:pStyle w:val="FirstParagraph"/>
      </w:pPr>
      <w:r>
        <w:t xml:space="preserve">Aucun gouvernement, depuis Édouard Balladur, n’a ignoré le problème. Mais tous l’ont traité de la même manière : en ajustant les paramètres du système - l’âge, la durée, le mode de calcul - sans jamais en modifier la nature. Cette séquence de cinq réformes, étalée sur trois décennies, est à elle seule une histoire de la France contemporaine et de sa difficulté à affronter ses problèmes.</w:t>
      </w:r>
    </w:p>
    <w:p>
      <w:pPr>
        <w:pStyle w:val="BodyText"/>
      </w:pPr>
      <w:r>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 une décision technique qui, vue rétrospectivement, est probablement la plus lourde de conséquences pour le pouvoir d’achat des retraités d’aujourd’hui</w:t>
      </w:r>
      <w:r>
        <w:rPr>
          <w:rStyle w:val="FootnoteReference"/>
        </w:rPr>
        <w:footnoteReference w:id="109"/>
      </w:r>
      <w:r>
        <w:t xml:space="preserve">.</w:t>
      </w:r>
    </w:p>
    <w:p>
      <w:pPr>
        <w:pStyle w:val="BodyText"/>
      </w:pPr>
      <w:r>
        <w:t xml:space="preserve">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110"/>
      </w:r>
      <w:r>
        <w:t xml:space="preserve">.</w:t>
      </w:r>
    </w:p>
    <w:p>
      <w:pPr>
        <w:pStyle w:val="BodyText"/>
      </w:pPr>
      <w:r>
        <w:t xml:space="preserve">Le troisième acte, c’est novembre 2010. Éric Woerth, sous Nicolas Sarkozy, relève l’âge légal de soixante à soixante-deux ans, étalé sur la période 2011-2017. L’âge de la retraite à taux plein passe de soixante-cinq à soixante-sept. Six semaines de grèves reconductibles dans les raffineries, à la SNCF et à la RATP - la plus longue mobilisation depuis 1995 - ne suffisent pas à faire reculer le gouvernement</w:t>
      </w:r>
      <w:r>
        <w:rPr>
          <w:rStyle w:val="FootnoteReference"/>
        </w:rPr>
        <w:footnoteReference w:id="111"/>
      </w:r>
      <w:r>
        <w:t xml:space="preserve">. La loi passe.</w:t>
      </w:r>
    </w:p>
    <w:p>
      <w:pPr>
        <w:pStyle w:val="BodyText"/>
      </w:pPr>
      <w:r>
        <w:t xml:space="preserve">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112"/>
      </w:r>
      <w:r>
        <w:t xml:space="preserve">. C’est, paradoxalement, la réforme qui pèsera le plus lourd à long terme - la plupart des cohortes nées dans les années 1980 et 1990 partiront sous son empire.</w:t>
      </w:r>
    </w:p>
    <w:p>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 sixième journée de grève nationale - rassemble selon l’intersyndicale 3,5 millions de personnes, selon le ministère de l’Intérieur 1,28 million</w:t>
      </w:r>
      <w:r>
        <w:rPr>
          <w:rStyle w:val="FootnoteReference"/>
        </w:rPr>
        <w:footnoteReference w:id="113"/>
      </w:r>
      <w:r>
        <w:t xml:space="preserve">. C’est, dans tous les comptages, le pic absolu du mouvement. Cinquante-neuf pour cent des Français y sont opposés ; soixante pour cent soutiennent la mobilisation</w:t>
      </w:r>
      <w:r>
        <w:rPr>
          <w:rStyle w:val="FootnoteReference"/>
        </w:rPr>
        <w:footnoteReference w:id="114"/>
      </w:r>
      <w:r>
        <w:t xml:space="preserve">. Le 16 mars, sans majorité à l’Assemblée, le gouvernement engage sa responsabilité par l’article 49 alinéa 3 de la Constitution.</w:t>
      </w:r>
    </w:p>
    <w:p>
      <w:pPr>
        <w:pStyle w:val="BodyText"/>
      </w:pPr>
      <w:r>
        <w:t xml:space="preserve">Cinq actes, sur trente ans, autour des mêmes trois paramètres - l’âge, la durée, le mode de calcul. Cinq pansements sur la même jambe.</w:t>
      </w:r>
    </w:p>
    <w:p>
      <w:pPr>
        <w:pStyle w:val="BodyText"/>
      </w:pPr>
      <w:r>
        <w:t xml:space="preserve">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115"/>
      </w:r>
      <w:r>
        <w:t xml:space="preserve">.</w:t>
      </w:r>
    </w:p>
    <w:p>
      <w:pPr>
        <w:pStyle w:val="BodyText"/>
      </w:pPr>
      <w:r>
        <w:t xml:space="preserve">Ce que dit cette séquence c’est que sans sortir de la logique d’un système 100% répartition, ces réformes sont</w:t>
      </w:r>
      <w:r>
        <w:t xml:space="preserve"> </w:t>
      </w:r>
      <w:r>
        <w:rPr>
          <w:b/>
          <w:bCs/>
        </w:rPr>
        <w:t xml:space="preserve">la seule chose qu’on puisse faire</w:t>
      </w:r>
      <w:r>
        <w:t xml:space="preserve">. Il existe trois leviers, et trois seulement : l’âge de départ, la durée de cotisation, le niveau des pensions - auxquels s’ajoute, en arrière-plan, le niveau des cotisations.</w:t>
      </w:r>
    </w:p>
    <w:p>
      <w:pPr>
        <w:pStyle w:val="BodyText"/>
      </w:pPr>
      <w:r>
        <w:t xml:space="preserve">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bookmarkEnd w:id="116"/>
    <w:bookmarkStart w:id="133" w:name="cest-nicolas-qui-paie"/>
    <w:p>
      <w:pPr>
        <w:pStyle w:val="Heading2"/>
      </w:pPr>
      <w:r>
        <w:t xml:space="preserve">C’est Nicolas qui paie</w:t>
      </w:r>
    </w:p>
    <w:p>
      <w:pPr>
        <w:pStyle w:val="FirstParagraph"/>
      </w:pPr>
      <w:r>
        <w:t xml:space="preserve">Le résultat de toutes ces années est une fracture entre générations sans précédent dans l’histoire du système. Olivier Blanchard, ancien chef économiste du FMI, estime à 120 milliards d’euros - quatre points de PIB - l’effort de stabilisation budgétaire que la France devra produire dans les dix prochaines années faute de réforme structurelle, et place la trajectoire des retraites au cœur de cet effort</w:t>
      </w:r>
      <w:r>
        <w:rPr>
          <w:rStyle w:val="FootnoteReference"/>
        </w:rPr>
        <w:footnoteReference w:id="117"/>
      </w:r>
      <w:r>
        <w:t xml:space="preserve">.</w:t>
      </w:r>
    </w:p>
    <w:p>
      <w:pPr>
        <w:pStyle w:val="BodyText"/>
      </w:pPr>
      <w:r>
        <w:t xml:space="preserve">Pour mesurer cette fracture, un indicateur technique mais parlant : le</w:t>
      </w:r>
      <w:r>
        <w:t xml:space="preserve"> </w:t>
      </w:r>
      <w:r>
        <w:rPr>
          <w:b/>
          <w:bCs/>
        </w:rPr>
        <w:t xml:space="preserve">taux de rendement interne</w:t>
      </w:r>
      <w:r>
        <w:t xml:space="preserve"> </w:t>
      </w:r>
      <w:r>
        <w:t xml:space="preserve">du système de retraite. Pour une génération donnée, il s’agit du rendement annualisé obtenu sur l’ensemble des cotisations versées au cours de la vie active, comparé aux pensions reçues. L’équivalent économique d’un taux d’intérêt - le rendement que le système promet à ses cotisants, en contrepartie de quarante-trois ans de cotisation forcée.</w:t>
      </w:r>
    </w:p>
    <w:p>
      <w:pPr>
        <w:pStyle w:val="BodyText"/>
      </w:pPr>
      <w:r>
        <w:t xml:space="preserve">Pour la cohorte née en 1950, ce rendement, calculé par l’INSEE selon la méthodologie</w:t>
      </w:r>
      <w:r>
        <w:t xml:space="preserve"> </w:t>
      </w:r>
      <w:r>
        <w:rPr>
          <w:i/>
          <w:iCs/>
        </w:rPr>
        <w:t xml:space="preserve">Destinie 2</w:t>
      </w:r>
      <w:r>
        <w:t xml:space="preserve">, s’établit autour de 5,8 % par an</w:t>
      </w:r>
      <w:r>
        <w:rPr>
          <w:rStyle w:val="FootnoteReference"/>
        </w:rPr>
        <w:footnoteReference w:id="118"/>
      </w:r>
      <w:r>
        <w:t xml:space="preserve">. Pour la cohorte née en 1980, il tombe à 1,9 %. Pour celle née en 2000, à 0,8 %. En deux générations, le rendement annualisé du système a été divisé par sept, et continue de baisser. A un tel niveau de rendement, inférieur à celui d’un livret réglementé, le système perd toute acceptabilité.</w:t>
      </w:r>
    </w:p>
    <w:p>
      <w:pPr>
        <w:pStyle w:val="BodyText"/>
      </w:pPr>
      <w:r>
        <w:t xml:space="preserve">Dit plus simplement : un baby-boomer né en 1950 récupère, sur la durée de sa retraite, environ 159 centimes pour chaque euro qu’il a cotisé. Un actif né en 1980 n’en récupère que 117. Un enfant né aujourd’hui - sur les hypothèses du COR après la réforme Borne, déjà très optimistes comme nous l’avons vu - en récupérera environ 120, mais sur une durée de retraite plus courte de plusieurs années</w:t>
      </w:r>
      <w:r>
        <w:rPr>
          <w:rStyle w:val="FootnoteReference"/>
        </w:rPr>
        <w:footnoteReference w:id="119"/>
      </w:r>
      <w:r>
        <w:t xml:space="preserve">. La promesse initiale de la répartition, « tu cotises maintenant, tu toucheras plus tard », s’est transformée en « tu cotises maintenant, tu toucheras peut-être».</w:t>
      </w:r>
    </w:p>
    <w:p>
      <w:pPr>
        <w:pStyle w:val="BodyText"/>
      </w:pPr>
      <w:r>
        <w:t xml:space="preserve">Deux mouvements simultanés expliquent cet effondrement.</w:t>
      </w:r>
    </w:p>
    <w:p>
      <w:pPr>
        <w:pStyle w:val="BodyText"/>
      </w:pPr>
      <w:r>
        <w:t xml:space="preserve">Le premier mouvement, c’est la hausse continue du taux de cotisation. Les générations qui ont aujourd’hui plus de soixante-dix ans ont cotisé, sur la moyenne de leur carrière, entre 15 % et 18 % de leur salaire - c’est-à-dire, en intégrant la part patronale, environ un sixième de leur revenu d’activité. Les actifs d’aujourd’hui cotisent 27,8 %</w:t>
      </w:r>
      <w:r>
        <w:rPr>
          <w:rStyle w:val="FootnoteReference"/>
        </w:rPr>
        <w:footnoteReference w:id="120"/>
      </w:r>
      <w:r>
        <w:t xml:space="preserve">. Plus du quart de leur revenu, contre un sixième pour leurs grands-parents - sans que la pension qui les attend soit, à l’arrivée, proportionnellement plus généreuse.</w:t>
      </w:r>
    </w:p>
    <w:p>
      <w:pPr>
        <w:pStyle w:val="BodyText"/>
      </w:pPr>
      <w:r>
        <w:t xml:space="preserve">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121"/>
      </w:r>
      <w:r>
        <w:t xml:space="preserve">. Pour un cadre, c’est plus que cela -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122"/>
      </w:r>
      <w:r>
        <w:t xml:space="preserve">. C’est, là aussi, une dégradation mécanique. Personne n’a décidé qu’il fallait appauvrir les retraités de 2070 ; tout le monde, en revanche, a refusé pendant trente ans de prendre les mesures qui auraient évité cette dégradation.</w:t>
      </w:r>
    </w:p>
    <w:p>
      <w:pPr>
        <w:pStyle w:val="BodyText"/>
      </w:pPr>
      <w:r>
        <w:t xml:space="preserve">Le système français est, sur ce point, un cas singulier de l’OCDE. Le</w:t>
      </w:r>
      <w:r>
        <w:t xml:space="preserve"> </w:t>
      </w:r>
      <w:r>
        <w:rPr>
          <w:i/>
          <w:iCs/>
        </w:rPr>
        <w:t xml:space="preserve">Mercer CFA Institute Global Pension Index 2025</w:t>
      </w:r>
      <w:r>
        <w:t xml:space="preserve"> </w:t>
      </w:r>
      <w:r>
        <w:t xml:space="preserve">- qui classe chaque année les systèmes de retraite des principaux pays développés sur trois dimensions (adéquation, viabilité, intégrité) - place la France à la trente-troisième position mondiale, loin derrière les Pays-Bas, l’Islande, le Danemark, Israël et Singapour, et derrière tous ses voisins européens d’importance comparable</w:t>
      </w:r>
      <w:r>
        <w:rPr>
          <w:rStyle w:val="FootnoteReference"/>
        </w:rPr>
        <w:footnoteReference w:id="123"/>
      </w:r>
      <w:r>
        <w:t xml:space="preserve">.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pPr>
        <w:pStyle w:val="BodyText"/>
      </w:pPr>
      <w:r>
        <w:t xml:space="preserve">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124"/>
      </w:r>
      <w:r>
        <w:t xml:space="preserve"> </w:t>
      </w:r>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125"/>
      </w:r>
      <w:r>
        <w:t xml:space="preserve">. La différence ne tient pas à la générosité des contribuables ni à la productivité moyenne du pays - elle tient à l’instrument. Le système suédois fait travailler le capital pendant que la jeune cotise ; le système français transfère ce qu’elle cotise vers ses aînés, et compte sur ses enfants pour faire de même.</w:t>
      </w:r>
    </w:p>
    <w:p>
      <w:pPr>
        <w:pStyle w:val="BodyText"/>
      </w:pPr>
      <w:r>
        <w:t xml:space="preserve">Cela explique aussi le résultat probablement le plus brutal des sondages de ces deux dernières années. Selon le baromètre Odoxa-Groupama publié en novembre 2025,</w:t>
      </w:r>
      <w:r>
        <w:t xml:space="preserve"> </w:t>
      </w:r>
      <w:r>
        <w:rPr>
          <w:b/>
          <w:bCs/>
        </w:rPr>
        <w:t xml:space="preserve">57 % des Français se déclarent désormais favorables à un système mixte mêlant répartition et capitalisation</w:t>
      </w:r>
      <w:r>
        <w:t xml:space="preserve">, contre 22 % qui préfèrent la capitalisation pure et seulement 20 % qui préfèrent la répartition pure</w:t>
      </w:r>
      <w:r>
        <w:rPr>
          <w:rStyle w:val="FootnoteReference"/>
        </w:rPr>
        <w:footnoteReference w:id="126"/>
      </w:r>
      <w:r>
        <w:t xml:space="preserve">. La proportion des partisans de la capitalisation dépasse, pour la première fois depuis qu’on mesure cette opinion, celle des partisans de la répartition pure.</w:t>
      </w:r>
    </w:p>
    <w:p>
      <w:pPr>
        <w:pStyle w:val="BodyText"/>
      </w:pPr>
      <w:r>
        <w:t xml:space="preserve">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127"/>
      </w:r>
      <w:r>
        <w:t xml:space="preserve">. Ils ne se prononcent pas par idéologie ; ils ont fait le calcul, et le calcul leur dit qu’ils paieront pour les autres davantage qu’on ne paiera pour eux.</w:t>
      </w:r>
    </w:p>
    <w:p>
      <w:pPr>
        <w:pStyle w:val="BodyText"/>
      </w:pPr>
      <w:r>
        <w:t xml:space="preserve">Le tabou français, longtemps absolu, se fissure par les deux extrémités du spectre - du côté de l’opinion publique, et du côté des institutions qui, par construction, devraient être les dernières à céder.</w:t>
      </w:r>
    </w:p>
    <w:p>
      <w:pPr>
        <w:pStyle w:val="BodyText"/>
      </w:pPr>
      <w:r>
        <w:t xml:space="preserve">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128"/>
      </w:r>
      <w:r>
        <w:t xml:space="preserve">. Théoriquement, la France peut encore monter. Dans la pratique, le taux d’emploi des 60-64 ans, malgré la réforme, n’atteint que 42,4 % en 2024 - la majorité des actifs âgés ne sont déjà plus en emploi avant l’âge légal</w:t>
      </w:r>
      <w:r>
        <w:rPr>
          <w:rStyle w:val="FootnoteReference"/>
        </w:rPr>
        <w:footnoteReference w:id="129"/>
      </w:r>
      <w:r>
        <w:t xml:space="preserve">. 26% des cadres seniors sont en chômage de longue durée, selon France Travail et l’APEC</w:t>
      </w:r>
      <w:r>
        <w:rPr>
          <w:rStyle w:val="FootnoteReference"/>
        </w:rPr>
        <w:footnoteReference w:id="130"/>
      </w:r>
      <w:r>
        <w:t xml:space="preserve">. Repousser l’âge légal sans politique massive d’emploi des seniors n’augmente pas la durée de cotisation effective : il augmente la durée de chômage de fin de carrière, suivie d’une retraite décotée. Frédéric Souillot, secrétaire général de Force ouvrière, le résumait sobrement en février 2023 : « cinquante pour cent des personnes qui liquident leur retraite à 62 ans n’ont plus d’emploi »</w:t>
      </w:r>
      <w:r>
        <w:rPr>
          <w:rStyle w:val="FootnoteReference"/>
        </w:rPr>
        <w:footnoteReference w:id="131"/>
      </w:r>
      <w:r>
        <w:t xml:space="preserve">.</w:t>
      </w:r>
    </w:p>
    <w:p>
      <w:pPr>
        <w:pStyle w:val="BodyText"/>
      </w:pPr>
      <w:r>
        <w:t xml:space="preserve">Allonger la durée de cotisation, ce n’est pas davantage une issue : la France est déjà au sommet de la fourchette européenne avec quarante-trois années requises</w:t>
      </w:r>
      <w:r>
        <w:rPr>
          <w:rStyle w:val="FootnoteReference"/>
        </w:rPr>
        <w:footnoteReference w:id="132"/>
      </w:r>
      <w:r>
        <w:t xml:space="preserve">. Augmenter encore les cotisations, c’est asphyxier le coût du travail à un moment où il est déjà parmi les plus élevés du continent. Baisser les pensions, c’est ce que le système fait déjà tout seul, mécaniquement, par le simple fait de continuer à fonctionner.</w:t>
      </w:r>
    </w:p>
    <w:p>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 la réforme paramétrique - qui ne peut, par construction, résoudre le problème qui lui est posé. Et chaque année qui passe ajoute à la facture.</w:t>
      </w:r>
    </w:p>
    <w:bookmarkEnd w:id="133"/>
    <w:bookmarkStart w:id="161" w:name="comprendre-la-capitalisation"/>
    <w:p>
      <w:pPr>
        <w:pStyle w:val="Heading2"/>
      </w:pPr>
      <w:r>
        <w:t xml:space="preserve">Comprendre la capitalisation</w:t>
      </w:r>
    </w:p>
    <w:p>
      <w:pPr>
        <w:pStyle w:val="FirstParagraph"/>
      </w:pPr>
      <w:r>
        <w:rPr>
          <w:i/>
          <w:iCs/>
        </w:rPr>
        <w:t xml:space="preserve">Le mot tabou</w:t>
      </w:r>
    </w:p>
    <w:p>
      <w:pPr>
        <w:pStyle w:val="BodyText"/>
      </w:pPr>
      <w:r>
        <w:t xml:space="preserve">« Capitalisation ». Ce simple mot suffit à déployer tout un ensemble de caricatures : les</w:t>
      </w:r>
      <w:r>
        <w:t xml:space="preserve"> </w:t>
      </w:r>
      <w:r>
        <w:rPr>
          <w:i/>
          <w:iCs/>
        </w:rPr>
        <w:t xml:space="preserve">traders</w:t>
      </w:r>
      <w:r>
        <w:t xml:space="preserve"> </w:t>
      </w:r>
      <w:r>
        <w:t xml:space="preserve">façon Loup de Wall Street, les</w:t>
      </w:r>
      <w:r>
        <w:t xml:space="preserve"> </w:t>
      </w:r>
      <w:r>
        <w:rPr>
          <w:i/>
          <w:iCs/>
        </w:rPr>
        <w:t xml:space="preserve">subprimes</w:t>
      </w:r>
      <w:r>
        <w:t xml:space="preserve"> </w:t>
      </w:r>
      <w:r>
        <w:t xml:space="preserve">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pPr>
        <w:pStyle w:val="BodyText"/>
      </w:pPr>
      <w:r>
        <w:t xml:space="preserve">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pPr>
        <w:pStyle w:val="BodyText"/>
      </w:pPr>
      <w:r>
        <w:t xml:space="preserve">Définissons donc. La retraite par capitalisation, dans son acception technique, est un mécanisme à quatre temps. 1/ On cotise pendant la vie active. Les cotisations sont investies dans un portefeuille diversifié - actions, obligations, immobilier, infrastructures -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34"/>
      </w:r>
      <w:r>
        <w:t xml:space="preserve">. Voilà. Il n’y a pas de mystère. C’est de l’arithmétique appliquée à du temps long.</w:t>
      </w:r>
    </w:p>
    <w:p>
      <w:pPr>
        <w:pStyle w:val="BodyText"/>
      </w:pPr>
      <w:r>
        <w:t xml:space="preserve">GRAPHE INTERETS COMPOSES</w:t>
      </w:r>
    </w:p>
    <w:p>
      <w:pPr>
        <w:pStyle w:val="BodyText"/>
      </w:pPr>
      <w:r>
        <w:t xml:space="preserve">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35"/>
      </w:r>
      <w:r>
        <w:t xml:space="preserve">. Rien ne s’accumule. Rien ne fructifie. Le système agit comme un tuyau et non comme un coffre.</w:t>
      </w:r>
    </w:p>
    <w:p>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tous les pays comparables combinent un pilier de répartition (la solidarité immédiate) et un pilier de capitalisation (l’accumulation longue). La France, elle, n’a que le premier.</w:t>
      </w:r>
    </w:p>
    <w:p>
      <w:pPr>
        <w:pStyle w:val="BodyText"/>
      </w:pPr>
      <w:r>
        <w:t xml:space="preserve">Nous allons, dans ce chapitre, sortir le sujet de l’idéologie pour le ramener à ce qu’il est : un outil. Un outil que nous n’avons pas, que nos voisins ont, et qui - c’est tout le travail des pages qui viennent - ferait, pour la pension d’un actif français de trente ans aujourd’hui, une différence chiffrable en centaines de milliers d’euros.</w:t>
      </w:r>
    </w:p>
    <w:bookmarkStart w:id="148" w:name="anatomie-dun-euro-cotisé"/>
    <w:p>
      <w:pPr>
        <w:pStyle w:val="Heading3"/>
      </w:pPr>
      <w:r>
        <w:t xml:space="preserve">Anatomie d’un euro cotisé</w:t>
      </w:r>
    </w:p>
    <w:p>
      <w:pPr>
        <w:pStyle w:val="FirstParagraph"/>
      </w:pPr>
      <w:r>
        <w:t xml:space="preserve">Pour comprendre ce que sépare vraiment la répartition de la capitalisation, le mieux est de suivre un euro cotisé. 1000 euros, même, par souci de lisibilité.</w:t>
      </w:r>
    </w:p>
    <w:p>
      <w:pPr>
        <w:pStyle w:val="BodyText"/>
      </w:pPr>
      <w:r>
        <w:t xml:space="preserve">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 pas une créance financière, pas un actif. Le rendement implicite de cette promesse, pour les générations actuellement en cours de cotisation, est estimé entre 1 % et 2 % par an</w:t>
      </w:r>
      <w:r>
        <w:rPr>
          <w:rStyle w:val="FootnoteReference"/>
        </w:rPr>
        <w:footnoteReference w:id="136"/>
      </w:r>
      <w:r>
        <w:t xml:space="preserve">. C’est, en termes financiers, l’équivalent d’un livret d’épargne en sous-rendement permanent - auquel on ajoute le risque démographique, c’est-à-dire le risque que les actifs futurs ne puissent payer.</w:t>
      </w:r>
    </w:p>
    <w:p>
      <w:pPr>
        <w:pStyle w:val="BodyText"/>
      </w:pPr>
      <w:r>
        <w:t xml:space="preserve">En capitalisation - (comme en Suède, aux Pays-Bas, en Australie -,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37"/>
      </w:r>
      <w:r>
        <w:t xml:space="preserve">.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pPr>
        <w:pStyle w:val="BodyText"/>
      </w:pPr>
      <w:r>
        <w:t xml:space="preserve">Et cet argent travaille. Au bout d’un an, à 4 % de rendement réel - hypothèse prudente, on y revient -, les 142 € sont devenus 148 €. La deuxième année, ce sont les 148 € qui produisent 4 %, soit 154 €. La troisième, 160 €. Le mécanisme, en apparence anodin, prend son sens sur la durée d’une carrière : au bout de quarante ans, ces 142 € initiaux valent, en euros constants, environ 680 €</w:t>
      </w:r>
      <w:r>
        <w:rPr>
          <w:rStyle w:val="FootnoteReference"/>
        </w:rPr>
        <w:footnoteReference w:id="138"/>
      </w:r>
      <w:r>
        <w:t xml:space="preserve">. Ce sont les intérêts composés, l’objet de mon tout premier cours de finance à HEC.</w:t>
      </w:r>
    </w:p>
    <w:p>
      <w:pPr>
        <w:pStyle w:val="BodyText"/>
      </w:pPr>
      <w:r>
        <w:t xml:space="preserve">GRAPHES : QUE DEVIENNENT DES COTISATONS AVEC LES INTERETS COMPOSES</w:t>
      </w:r>
    </w:p>
    <w:p>
      <w:pPr>
        <w:pStyle w:val="BodyText"/>
      </w:pPr>
      <w:r>
        <w:t xml:space="preserve">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39"/>
      </w:r>
      <w:r>
        <w:t xml:space="preserve">. Mieux vaut donc l’oublier - le mécanisme n’a pas besoin d’Einstein pour être impressionnant. Il lui suffit d’être correctement compris.</w:t>
      </w:r>
    </w:p>
    <w:p>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 la durée d’une carrière -, il est multiplié par 4,8 ; sur cinquante ans, par 7,1</w:t>
      </w:r>
      <w:r>
        <w:rPr>
          <w:rStyle w:val="FootnoteReference"/>
        </w:rPr>
        <w:footnoteReference w:id="140"/>
      </w:r>
      <w:r>
        <w:t xml:space="preserve">. Même taux, même placement. Seul le temps a changé.</w:t>
      </w:r>
    </w:p>
    <w:p>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- 60 000 € -, finit avec 117 000 €. Les dix premières années valent plus que les trente suivantes</w:t>
      </w:r>
      <w:r>
        <w:rPr>
          <w:rStyle w:val="FootnoteReference"/>
        </w:rPr>
        <w:footnoteReference w:id="141"/>
      </w:r>
      <w:r>
        <w:t xml:space="preserve">. Le temps ne se rattrape pas.</w:t>
      </w:r>
    </w:p>
    <w:p>
      <w:pPr>
        <w:pStyle w:val="BodyText"/>
      </w:pPr>
      <w:r>
        <w:t xml:space="preserve">Pour les retraites, ce mécanisme bête comme chou a une conséquence implacable. Une cotisation versée à 25 ans travaille pendant quarante ans avant de payer une pension. Une cotisation versée à 55 ans travaille pendant dix ans. À taux égal, la première vaut près de cinq fois la seconde. C’est pourquoi tous les systèmes capitalisés sérieux insistent sur un démarrage tôt et sur la durée d’exposition au capital.</w:t>
      </w:r>
    </w:p>
    <w:p>
      <w:pPr>
        <w:pStyle w:val="BodyText"/>
      </w:pPr>
      <w:r>
        <w:t xml:space="preserve">Ce mécanisme renvoie aussi à une question plus large, celle posée par Thomas Piketty dans</w:t>
      </w:r>
      <w:r>
        <w:t xml:space="preserve"> </w:t>
      </w:r>
      <w:r>
        <w:rPr>
          <w:i/>
          <w:iCs/>
        </w:rPr>
        <w:t xml:space="preserve">Le Capital au XXIe siècle</w:t>
      </w:r>
      <w:r>
        <w:t xml:space="preserve">. Piketty observe, sur données très longues, que le rendement du capital (qu’il note</w:t>
      </w:r>
      <w:r>
        <w:t xml:space="preserve"> </w:t>
      </w:r>
      <w:r>
        <w:rPr>
          <w:i/>
          <w:iCs/>
        </w:rPr>
        <w:t xml:space="preserve">r</w:t>
      </w:r>
      <w:r>
        <w:t xml:space="preserve">) tend à dépasser le taux de croissance économique (qu’il note</w:t>
      </w:r>
      <w:r>
        <w:t xml:space="preserve"> </w:t>
      </w:r>
      <w:r>
        <w:rPr>
          <w:i/>
          <w:iCs/>
        </w:rPr>
        <w:t xml:space="preserve">g</w:t>
      </w:r>
      <w:r>
        <w:t xml:space="preserve">). C’est l’inégalité célèbre,</w:t>
      </w:r>
      <w:r>
        <w:t xml:space="preserve"> </w:t>
      </w:r>
      <w:r>
        <w:rPr>
          <w:i/>
          <w:iCs/>
        </w:rPr>
        <w:t xml:space="preserve">r &gt; g</w:t>
      </w:r>
      <w:r>
        <w:t xml:space="preserve">. La conclusion politique qu’il en tire est une demande de redistribution massive du capital, par l’impôt notamment</w:t>
      </w:r>
      <w:r>
        <w:rPr>
          <w:rStyle w:val="FootnoteReference"/>
        </w:rPr>
        <w:footnoteReference w:id="142"/>
      </w:r>
      <w:r>
        <w:t xml:space="preserve">.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pPr>
        <w:pStyle w:val="BodyText"/>
      </w:pPr>
      <w:r>
        <w:t xml:space="preserve">Les ordres de grandeur peuvent se vérifier dans les données très longues. Le</w:t>
      </w:r>
      <w:r>
        <w:t xml:space="preserve"> </w:t>
      </w:r>
      <w:r>
        <w:rPr>
          <w:i/>
          <w:iCs/>
        </w:rPr>
        <w:t xml:space="preserve">Global Investment Returns Yearbook</w:t>
      </w:r>
      <w:r>
        <w:t xml:space="preserve"> </w:t>
      </w:r>
      <w:r>
        <w:t xml:space="preserve">publié chaque année par UBS et trois professeurs de la</w:t>
      </w:r>
      <w:r>
        <w:t xml:space="preserve"> </w:t>
      </w:r>
      <w:r>
        <w:rPr>
          <w:i/>
          <w:iCs/>
        </w:rPr>
        <w:t xml:space="preserve">London Business School</w:t>
      </w:r>
      <w:r>
        <w:t xml:space="preserve"> </w:t>
      </w:r>
      <w:r>
        <w:t xml:space="preserve">- Dimson, Marsh et Staunton -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43"/>
      </w:r>
      <w:r>
        <w:t xml:space="preserve">. Ces chiffres incluent deux guerres mondiales, la crise de 1929, la stagflation des années 1970, les crashs récents de 2000 et 2008. Ils ne décrivent pas un best case : ils décrivent ce qu’on a effectivement observé, sur un siècle et un quart, dans le monde réel.</w:t>
      </w:r>
    </w:p>
    <w:p>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 Martinot pour Fondapol, l’OCDE dans</w:t>
      </w:r>
      <w:r>
        <w:t xml:space="preserve"> </w:t>
      </w:r>
      <w:r>
        <w:rPr>
          <w:i/>
          <w:iCs/>
        </w:rPr>
        <w:t xml:space="preserve">Pensions at a Glance</w:t>
      </w:r>
      <w:r>
        <w:t xml:space="preserve">, les rapports annuels des grands fonds - retiennent comme hypothèse centrale. C’est elle que nous utilisons ici.</w:t>
      </w:r>
    </w:p>
    <w:p>
      <w:pPr>
        <w:pStyle w:val="BodyText"/>
      </w:pPr>
      <w:r>
        <w:t xml:space="preserve">À la retraite, le capital accumulé se transforme en rente. Le fonds calcule, en fonction de l’espérance de vie résiduelle, le montant mensuel qu’il peut verser pour épuiser le capital - augmenté de son propre rendement résiduel - sur la durée probable de retraite. Le retraité touche cette rente jusqu’à son décès. Si le capital n’est pas entièrement consommé - décès anticipé, héritage -, certains régimes prévoient une transmission, d’autres non</w:t>
      </w:r>
      <w:r>
        <w:rPr>
          <w:rStyle w:val="FootnoteReference"/>
        </w:rPr>
        <w:footnoteReference w:id="144"/>
      </w:r>
      <w:r>
        <w:t xml:space="preserve">.</w:t>
      </w:r>
    </w:p>
    <w:p>
      <w:pPr>
        <w:pStyle w:val="BodyText"/>
      </w:pPr>
      <w:r>
        <w:t xml:space="preserve">Il y a, dans cette comparaison, deux différences qui méritent qu’on les nomme.</w:t>
      </w:r>
    </w:p>
    <w:p>
      <w:pPr>
        <w:pStyle w:val="BodyText"/>
      </w:pPr>
      <w:r>
        <w:t xml:space="preserve">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pPr>
        <w:pStyle w:val="BodyText"/>
      </w:pPr>
      <w:r>
        <w:t xml:space="preserve">La seconde est juridique. En répartition, la cotisation crée un droit - un droit politique, garanti par la République. En capitalisation, la cotisation crée une créance - une créance financière, garantie par un actif. Les deux ne sont pas équivalents. Un droit politique peut être révisé par une loi. Une créance financière, elle, reste la propriété de son titulaire, même si l’État change.</w:t>
      </w:r>
    </w:p>
    <w:p>
      <w:pPr>
        <w:pStyle w:val="BodyText"/>
      </w:pPr>
      <w:r>
        <w:t xml:space="preserve">Aucun système viable ne fonctionne intégralement avec l’un ou l’autre. La Suède combine répartition et capitalisation au premier pilier, plus une couche complémentaire professionnelle obligatoire</w:t>
      </w:r>
      <w:r>
        <w:rPr>
          <w:rStyle w:val="FootnoteReference"/>
        </w:rPr>
        <w:footnoteReference w:id="145"/>
      </w:r>
      <w:r>
        <w:t xml:space="preserve">. Les Pays-Bas font différemment : une base de répartition modeste, complétée par un étage capitalisé sectoriel obligatoire qui couvre 85 % des salariés et porte l’essentiel du revenu de retraite</w:t>
      </w:r>
      <w:r>
        <w:rPr>
          <w:rStyle w:val="FootnoteReference"/>
        </w:rPr>
        <w:footnoteReference w:id="146"/>
      </w:r>
      <w:r>
        <w:t xml:space="preserve">. L’Australie, qui partait de zéro en 1992, est aujourd’hui à 12 % de cotisation patronale obligatoire en pure capitalisation, en complément d’une</w:t>
      </w:r>
      <w:r>
        <w:t xml:space="preserve"> </w:t>
      </w:r>
      <w:r>
        <w:rPr>
          <w:i/>
          <w:iCs/>
        </w:rPr>
        <w:t xml:space="preserve">Age Pension</w:t>
      </w:r>
      <w:r>
        <w:t xml:space="preserve"> </w:t>
      </w:r>
      <w:r>
        <w:t xml:space="preserve">publique</w:t>
      </w:r>
      <w:r>
        <w:rPr>
          <w:rStyle w:val="FootnoteReference"/>
        </w:rPr>
        <w:footnoteReference w:id="147"/>
      </w:r>
      <w:r>
        <w:t xml:space="preserve">. Aucun de ces pays n’a démantelé sa répartition. Tous ont simplement ajouté un coffre à côté du tuyau.</w:t>
      </w:r>
    </w:p>
    <w:p>
      <w:pPr>
        <w:pStyle w:val="BodyText"/>
      </w:pPr>
      <w:r>
        <w:t xml:space="preserve">La France, depuis 1945, n’a qu’un tuyau. Et nous arrivons au moment où la démographie cesse de l’alimenter.</w:t>
      </w:r>
    </w:p>
    <w:bookmarkEnd w:id="148"/>
    <w:bookmarkStart w:id="158" w:name="ce-que-la-capitalisation-nest-pas"/>
    <w:p>
      <w:pPr>
        <w:pStyle w:val="Heading3"/>
      </w:pPr>
      <w:r>
        <w:t xml:space="preserve">Ce que la capitalisation n’est pas</w:t>
      </w:r>
    </w:p>
    <w:p>
      <w:pPr>
        <w:pStyle w:val="FirstParagraph"/>
      </w:pPr>
      <w:r>
        <w:t xml:space="preserve">Une bonne moitié du débat français sur la capitalisation est consacrée à dénoncer des choses qui ne sont pas de la capitalisation. Avant de défendre l’idée, il faut donc lui rendre service en la distinguant de ce avec quoi on la confond. Quatre malentendus, principalement, encombrent la conversation.</w:t>
      </w:r>
    </w:p>
    <w:p>
      <w:pPr>
        <w:pStyle w:val="BodyText"/>
      </w:pPr>
      <w:r>
        <w:rPr>
          <w:b/>
          <w:bCs/>
        </w:rPr>
        <w:t xml:space="preserve">Premier malentendu : capitalisation et assurance-vie individuelle.</w:t>
      </w:r>
      <w:r>
        <w:t xml:space="preserve"> </w:t>
      </w:r>
      <w:r>
        <w:t xml:space="preserve">Lorsqu’un Français entend « capitalisation pour la retraite », il pense souvent à son contrat d’assurance-vie, le produit d’épargne le plus diffusé du pays - environ 1 989 milliards d’euros d’encours fin 2024, dont 1 178 milliards en fonds euros individuels</w:t>
      </w:r>
      <w:r>
        <w:rPr>
          <w:rStyle w:val="FootnoteReference"/>
        </w:rPr>
        <w:footnoteReference w:id="149"/>
      </w:r>
      <w:r>
        <w:t xml:space="preserve">.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50"/>
      </w:r>
      <w:r>
        <w:t xml:space="preserve">. Le rendement moyen brut des fonds euros en 2024 atteignait 2,63 %</w:t>
      </w:r>
      <w:r>
        <w:rPr>
          <w:rStyle w:val="FootnoteReference"/>
        </w:rPr>
        <w:footnoteReference w:id="151"/>
      </w:r>
      <w:r>
        <w:t xml:space="preserve">. Une fois retranchés les prélèvements sociaux et l’inflation, le rendement réel net est proche de zéro, parfois légèrement négatif</w:t>
      </w:r>
      <w:r>
        <w:rPr>
          <w:rStyle w:val="FootnoteReference"/>
        </w:rPr>
        <w:footnoteReference w:id="152"/>
      </w:r>
      <w:r>
        <w:t xml:space="preserve">. C’est l’inverse d’un fonds de pension : ni horizon long, ni allocation diversifiée en actions, ni propriété collective d’actifs productifs. C’est un livret amélioré, fiscalement avantageux, exposé à l’érosion monétaire.</w:t>
      </w:r>
    </w:p>
    <w:p>
      <w:pPr>
        <w:pStyle w:val="BodyText"/>
      </w:pPr>
      <w:r>
        <w:rPr>
          <w:b/>
          <w:bCs/>
        </w:rPr>
        <w:t xml:space="preserve">Deuxième malentendu : capitalisation et PER.</w:t>
      </w:r>
      <w:r>
        <w:t xml:space="preserve"> </w:t>
      </w:r>
      <w:r>
        <w:t xml:space="preserve">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53"/>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w:t>
      </w:r>
      <w:r>
        <w:t xml:space="preserve"> </w:t>
      </w:r>
      <w:r>
        <w:rPr>
          <w:i/>
          <w:iCs/>
        </w:rPr>
        <w:t xml:space="preserve">Self-Invested Personal Pension</w:t>
      </w:r>
      <w:r>
        <w:t xml:space="preserve"> </w:t>
      </w:r>
      <w:r>
        <w:t xml:space="preserve">britannique. Pas au NEST britannique, ni à l’ABP néerlandais, ni à la</w:t>
      </w:r>
      <w:r>
        <w:t xml:space="preserve"> </w:t>
      </w:r>
      <w:r>
        <w:rPr>
          <w:i/>
          <w:iCs/>
        </w:rPr>
        <w:t xml:space="preserve">Superannuation</w:t>
      </w:r>
      <w:r>
        <w:t xml:space="preserve"> </w:t>
      </w:r>
      <w:r>
        <w:t xml:space="preserve">australienne, qui sont des dispositifs structurels couvrant la quasi-totalité de la population active et accumulant des centaines de milliards d’actifs gérés professionnellement</w:t>
      </w:r>
      <w:r>
        <w:rPr>
          <w:rStyle w:val="FootnoteReference"/>
        </w:rPr>
        <w:footnoteReference w:id="154"/>
      </w:r>
      <w:r>
        <w:t xml:space="preserve">. L’écart d’encours moyen par titulaire est éclairant : environ 10 600 euros par souscripteur français pour le PER, contre plusieurs dizaines de milliers d’euros pour la plupart des comptes individuels néerlandais ou australiens à mi-carrière.</w:t>
      </w:r>
    </w:p>
    <w:p>
      <w:pPr>
        <w:pStyle w:val="BodyText"/>
      </w:pPr>
      <w:r>
        <w:rPr>
          <w:b/>
          <w:bCs/>
        </w:rPr>
        <w:t xml:space="preserve">Troisième malentendu : capitalisation et livret réglementé.</w:t>
      </w:r>
      <w:r>
        <w:t xml:space="preserve"> </w:t>
      </w:r>
      <w:r>
        <w:t xml:space="preserve">Le Livret A, le LDDS, le LEP sont d’excellents outils -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pPr>
        <w:pStyle w:val="BodyText"/>
      </w:pPr>
      <w:r>
        <w:rPr>
          <w:b/>
          <w:bCs/>
        </w:rPr>
        <w:t xml:space="preserve">Quatrième malentendu, le plus tenace : capitalisation et bourse individuelle.</w:t>
      </w:r>
      <w:r>
        <w:t xml:space="preserve"> </w:t>
      </w:r>
      <w:r>
        <w:t xml:space="preserve">«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55"/>
      </w:r>
      <w:r>
        <w:t xml:space="preserve">, encadré par un régulateur indépendant et par des règles légales strictes - taux de couverture minimal, plan de redressement obligatoire en cas de dérive, supervision continue</w:t>
      </w:r>
      <w:r>
        <w:rPr>
          <w:rStyle w:val="FootnoteReference"/>
        </w:rPr>
        <w:footnoteReference w:id="156"/>
      </w:r>
      <w:r>
        <w:t xml:space="preserve">. La</w:t>
      </w:r>
      <w:r>
        <w:t xml:space="preserve"> </w:t>
      </w:r>
      <w:r>
        <w:rPr>
          <w:i/>
          <w:iCs/>
        </w:rPr>
        <w:t xml:space="preserve">Norges Bank Investment Management</w:t>
      </w:r>
      <w:r>
        <w:t xml:space="preserve">,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57"/>
      </w:r>
      <w:r>
        <w:t xml:space="preserve">. C’est le contraire exact d’une logique spéculative individuelle.</w:t>
      </w:r>
    </w:p>
    <w:p>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néerlandais, soixante ans après les fonds suédois, trente ans après la</w:t>
      </w:r>
      <w:r>
        <w:t xml:space="preserve"> </w:t>
      </w:r>
      <w:r>
        <w:rPr>
          <w:i/>
          <w:iCs/>
        </w:rPr>
        <w:t xml:space="preserve">Superannuation</w:t>
      </w:r>
      <w:r>
        <w:t xml:space="preserve"> </w:t>
      </w:r>
      <w:r>
        <w:t xml:space="preserve">australienne, n’existe toujours pas en France. Pas par manque d’idée. Par refus.</w:t>
      </w:r>
    </w:p>
    <w:bookmarkEnd w:id="158"/>
    <w:bookmarkStart w:id="160" w:name="le-rafp-ce-mécanisme-à-lœuvre-chez-nous"/>
    <w:p>
      <w:pPr>
        <w:pStyle w:val="Heading3"/>
      </w:pPr>
      <w:r>
        <w:t xml:space="preserve">Le RAFP : ce mécanisme à l’œuvre chez nous</w:t>
      </w:r>
    </w:p>
    <w:p>
      <w:pPr>
        <w:pStyle w:val="FirstParagraph"/>
      </w:pPr>
      <w:r>
        <w:t xml:space="preserve">Cette mécanique abstraite n’est pas une vue de l’esprit. Elle est, en France, observable depuis vingt ans à un endroit précis du système : le RAFP. L’introduction l’a posé. Il vaut la peine d’y revenir un instant, parce que la pédagogie du chapitre prend, sur ce cas, une consistance concrète. Cotisations de 5 % patronales et 5 % salariales sur les primes des fonctionnaires, capitalisées dans un fonds public à allocation diversifiée — 58 % d’obligations, 20 % d’actions, 10 % de capital-investissement et d’infrastructures, 9 % d’immobilier —, rendement net annualisé de 4,3 % depuis 2005, ratio de couverture des engagements supérieur à 117 %</w:t>
      </w:r>
      <w:r>
        <w:rPr>
          <w:rStyle w:val="FootnoteReference"/>
        </w:rPr>
        <w:footnoteReference w:id="159"/>
      </w:r>
      <w:r>
        <w:t xml:space="preserve">. Quatre millions et demi de fonctionnaires en bénéficient déjà. Le fonctionnement décrit dans cette section n’est ni théorique, ni étranger, ni futur. Il est français, il est public, il est obligatoire pour une partie de la population active, et il rapporte trois fois ce que rapporte la répartition pure aux générations actuelles. Reste à savoir pourquoi ce qui fonctionne pour quatre millions et demi de personnes est interdit aux vingt autres millions de salariés. Le chapitre suivant — celui qui suit, dans ce livre, la démonstration arithmétique du cas-type — répond à cette question en chiffres précis.</w:t>
      </w:r>
    </w:p>
    <w:bookmarkEnd w:id="160"/>
    <w:bookmarkEnd w:id="161"/>
    <w:bookmarkStart w:id="170" w:name="cotiser-moins-pour-gagner-plus"/>
    <w:p>
      <w:pPr>
        <w:pStyle w:val="Heading2"/>
      </w:pPr>
      <w:r>
        <w:t xml:space="preserve">Cotiser moins pour gagner plus</w:t>
      </w:r>
    </w:p>
    <w:p>
      <w:pPr>
        <w:pStyle w:val="FirstParagraph"/>
      </w:pPr>
      <w:r>
        <w:t xml:space="preserve">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pPr>
        <w:pStyle w:val="BodyText"/>
      </w:pPr>
      <w:r>
        <w:t xml:space="preserve">Plantons le décor. Notre cas-type est un actif de trente ans en 2026, salaire brut annuel de 35 000 € - proche du salaire moyen brut français selon la DARES</w:t>
      </w:r>
      <w:r>
        <w:rPr>
          <w:rStyle w:val="FootnoteReference"/>
        </w:rPr>
        <w:footnoteReference w:id="162"/>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La cotisation vieillesse totale (employeur et salarié, régime général et complémentaire) s’élève à 28 % du brut</w:t>
      </w:r>
      <w:r>
        <w:rPr>
          <w:rStyle w:val="FootnoteReference"/>
        </w:rPr>
        <w:footnoteReference w:id="163"/>
      </w:r>
      <w:r>
        <w:t xml:space="preserve">.</w:t>
      </w:r>
    </w:p>
    <w:p>
      <w:pPr>
        <w:pStyle w:val="BodyText"/>
      </w:pPr>
      <w:r>
        <w:t xml:space="preserve">Trois scénarios sont comparés.</w:t>
      </w:r>
    </w:p>
    <w:p>
      <w:pPr>
        <w:pStyle w:val="BodyText"/>
      </w:pPr>
      <w:r>
        <w:t xml:space="preserve">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64"/>
      </w:r>
      <w:r>
        <w:t xml:space="preserve"> </w:t>
      </w:r>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65"/>
      </w:r>
      <w:r>
        <w:t xml:space="preserve">), le total cumulé atteint 494 466 €. Voilà ce qu’on touchera, à comportement et législation inchangés.</w:t>
      </w:r>
    </w:p>
    <w:p>
      <w:pPr>
        <w:pStyle w:val="BodyText"/>
      </w:pPr>
      <w:r>
        <w:t xml:space="preserve">Le scénario B reprend la logique suédoise du premier pilier. Quatre-vingts pour cent des cotisations restent en répartition. Vingt pour cent partent en capitalisation -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66"/>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- 19 779 € par an, soit 1 648 € par mois. Pension totale : 36 142 € par an, soit 3 012 € par mois. Sur vingt ans de retraite : 722 830 €. Différence avec le scénario A :</w:t>
      </w:r>
      <w:r>
        <w:t xml:space="preserve"> </w:t>
      </w:r>
      <w:r>
        <w:rPr>
          <w:b/>
          <w:bCs/>
        </w:rPr>
        <w:t xml:space="preserve">+228 364 €</w:t>
      </w:r>
      <w:r>
        <w:t xml:space="preserve"> </w:t>
      </w:r>
      <w:r>
        <w:t xml:space="preserve">sur la durée de la retraite.</w:t>
      </w:r>
    </w:p>
    <w:p>
      <w:pPr>
        <w:pStyle w:val="BodyText"/>
      </w:pPr>
      <w:r>
        <w:t xml:space="preserve">Le scénario C reprend la logique néerlandaise du deuxième pilier paritaire obligatoire. Soixante pour cent des cotisations en répartition, quarante pour cent en capitalisation. La cotisation capitalisée double - 3 920 € par an la première année -, et le capital aussi : 432 480 € à 73 ans. La rente correspondante atteint 2 727 € par mois. Pension totale : 47 560 € par an, soit 3 963 € par mois. Cumul sur vingt ans de retraite : 951 195 €. Différence avec le scénario A :</w:t>
      </w:r>
      <w:r>
        <w:t xml:space="preserve"> </w:t>
      </w:r>
      <w:r>
        <w:rPr>
          <w:b/>
          <w:bCs/>
        </w:rPr>
        <w:t xml:space="preserve">+456 729 €</w:t>
      </w:r>
      <w:r>
        <w:rPr>
          <w:rStyle w:val="FootnoteReference"/>
        </w:rPr>
        <w:footnoteReference w:id="167"/>
      </w:r>
      <w:r>
        <w:t xml:space="preserve">.</w:t>
      </w:r>
    </w:p>
    <w:p>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w:t>
      </w:r>
      <w:r>
        <w:t xml:space="preserve"> </w:t>
      </w:r>
      <w:r>
        <w:rPr>
          <w:b/>
          <w:bCs/>
        </w:rPr>
        <w:t xml:space="preserve">228 000 €</w:t>
      </w:r>
      <w:r>
        <w:t xml:space="preserve">. Dans le scénario néerlandais, où la part capitalisée monte à 40 %, le gain dépasse</w:t>
      </w:r>
      <w:r>
        <w:t xml:space="preserve"> </w:t>
      </w:r>
      <w:r>
        <w:rPr>
          <w:b/>
          <w:bCs/>
        </w:rPr>
        <w:t xml:space="preserve">456 000 €</w:t>
      </w:r>
      <w:r>
        <w:t xml:space="preserve">. À ce stade-là, on ne parle plus de pourcentages, on parle d’achats immobiliers complets ou de plusieurs années supplémentaires de vie.</w:t>
      </w:r>
    </w:p>
    <w:p>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 un facteur de 2,4 sur la durée</w:t>
      </w:r>
      <w:r>
        <w:rPr>
          <w:rStyle w:val="FootnoteReference"/>
        </w:rPr>
        <w:footnoteReference w:id="168"/>
      </w:r>
      <w:r>
        <w:t xml:space="preserve">. Cet effet de levier ne vient pas d’une magie financière. Il vient du temps : pendant quarante-trois ans, l’épargne investie a produit du rendement, et ce rendement a produit lui-même du rendement.</w:t>
      </w:r>
    </w:p>
    <w:p>
      <w:pPr>
        <w:pStyle w:val="BodyText"/>
      </w:pPr>
      <w:r>
        <w:t xml:space="preserve">Le calcul est, bien sûr, sensible au rendement supposé. Que se passe-t-il si le rendement réel net se révèle plus bas que les 3,7 % retenus ici comme hypothèse centrale ? Si on tombe à 3 % réel brut - un scénario véritablement pessimiste, en dessous du rendement long terme observé empiriquement sur 125 ans -, le capital du scénario B descend à 169 731 € et le gain cumulé sur 20 ans à 157 977 €. Toujours mieux que la répartition pure, mais moins. À l’inverse, à 5 % réel brut - en dessous de la moyenne historique de longue période -,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- 4,1 % réel net pour le GPFG, 8,3 % nominal net pour le CPPIB, 7,94 % nominal net pour AustralianSuper, environ 14 % nominal depuis 2010 pour AP7</w:t>
      </w:r>
      <w:r>
        <w:rPr>
          <w:rStyle w:val="FootnoteReference"/>
        </w:rPr>
        <w:footnoteReference w:id="169"/>
      </w:r>
      <w:r>
        <w:t xml:space="preserve">.</w:t>
      </w:r>
    </w:p>
    <w:p>
      <w:pPr>
        <w:pStyle w:val="BodyText"/>
      </w:pPr>
      <w:r>
        <w:t xml:space="preserve">Voilà, en chiffres, ce que coûte à un actif né en 1996 le choix français du tout-répartition. Entre deux cents et quatre cent cinquante mille euros sur sa retraite, selon l’architecture qu’on aurait pu construire. C’est, à dire vrai, un ordre de grandeur supérieur à ce que la plupart des Français imaginent. Ce n’est pas un détail d’optimisation. C’est un siècle de patrimoine.</w:t>
      </w:r>
    </w:p>
    <w:p>
      <w:pPr>
        <w:pStyle w:val="BodyText"/>
      </w:pPr>
      <w:r>
        <w:t xml:space="preserve">C’est pour le réduire - pas pour le remplacer - qu’il faut maintenant regarder ce que coûte, pour la France et pour ses entreprises, l’absence d’un pilier capitalisé. C’est l’objet du chapitre suivant.</w:t>
      </w:r>
    </w:p>
    <w:bookmarkEnd w:id="170"/>
    <w:bookmarkStart w:id="174" w:name="ce-que-ça-change-pour-le-système"/>
    <w:p>
      <w:pPr>
        <w:pStyle w:val="Heading2"/>
      </w:pPr>
      <w:r>
        <w:t xml:space="preserve">Ce que ça change pour le système</w:t>
      </w:r>
    </w:p>
    <w:bookmarkStart w:id="173" w:name="les-cotisations-sociales-peuvent-baisser"/>
    <w:p>
      <w:pPr>
        <w:pStyle w:val="Heading3"/>
      </w:pPr>
      <w:r>
        <w:t xml:space="preserve">Les cotisations sociales peuvent baisser</w:t>
      </w:r>
    </w:p>
    <w:p>
      <w:pPr>
        <w:pStyle w:val="FirstParagraph"/>
      </w:pPr>
      <w:r>
        <w:t xml:space="preserve">Aujourd’hui, un salarié français et son employeur versent ensemble 28 % du salaire brut au financement des retraites — cotisation vieillesse de base, retraite complémentaire AGIRC-ARRCO</w:t>
      </w:r>
      <w:r>
        <w:rPr>
          <w:rStyle w:val="FootnoteReference"/>
        </w:rPr>
        <w:footnoteReference w:id="171"/>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w:t>
      </w:r>
      <w:r>
        <w:t xml:space="preserve"> </w:t>
      </w:r>
      <w:r>
        <w:rPr>
          <w:i/>
          <w:iCs/>
        </w:rPr>
        <w:t xml:space="preserve">Age Pension</w:t>
      </w:r>
      <w:r>
        <w:t xml:space="preserve"> </w:t>
      </w:r>
      <w:r>
        <w:t xml:space="preserve">publique modeste financée par l’impôt général. La France est de loin la plus chère à cotisations pour le seul système de retraite.</w:t>
      </w:r>
    </w:p>
    <w:p>
      <w:pPr>
        <w:pStyle w:val="BodyText"/>
      </w:pPr>
      <w:r>
        <w:t xml:space="preserve">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t>
      </w:r>
    </w:p>
    <w:p>
      <w:pPr>
        <w:pStyle w:val="BodyText"/>
      </w:pPr>
      <w:r>
        <w:t xml:space="preserve">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72"/>
      </w:r>
      <w:r>
        <w:t xml:space="preserve">. Trois points, par exemple, redonneraient environ 90 milliards d’euros par an de pouvoir d’achat aux salariés ou de capacité d’embauche aux employeurs. C’est l’équivalent du budget de la Défense.</w:t>
      </w:r>
    </w:p>
    <w:p>
      <w:pPr>
        <w:pStyle w:val="BodyText"/>
      </w:pPr>
      <w:r>
        <w:t xml:space="preserve">[GRAPHIQUE — Taux de cotisation retraite total France : 28 % aujourd’hui, palier transitoire 30 % entre 2032 et 2050, retour à 24-25 % à régime stationnaire en 2060]</w:t>
      </w:r>
    </w:p>
    <w:p>
      <w:pPr>
        <w:pStyle w:val="BodyText"/>
      </w:pPr>
      <w:r>
        <w:t xml:space="preserve">Tout ce qui précède dans ce chapitre concerne les retraites. Plusieurs centaines de milliers d’euros de pension cumulée pour les actifs d’aujourd’hui, une dépense publique de retraite qui se contracte au lieu de gonfler, un choc démographique encaissé plutôt que subi, et la preuve française, par vingt ans de chiffres, que la capitalisation obligatoire pour quatre millions de personnes rapporte plusieurs fois ce que rapporte la répartition pour tous les autres. Quatre bénéfices déjà décisifs. Mais la capitalisation, dans les pays qui l’ont adoptée à grande échelle, fait autre chose en plus. Elle structure leur économie entière. Elle décide qui détient les entreprises cotées, qui reprend les ETI familiales, qui finance les startups, qui rachète les infrastructures. Pendant que la France n’a, hors RAFP, pas de pilier capitalisé d’envergure, les fonds des Néerlandais, des Norvégiens, des Canadiens et des Californiens font ce travail à sa place — sur ses propres entreprises, avec ses propres dividendes. La deuxième partie de ce livre va regarder cette face du sujet en face.</w:t>
      </w:r>
    </w:p>
    <w:bookmarkEnd w:id="173"/>
    <w:bookmarkEnd w:id="174"/>
    <w:bookmarkEnd w:id="175"/>
    <w:bookmarkStart w:id="259" w:name="Xb62b3ebb8ee61b7b4f6b806148cec902394a54e"/>
    <w:p>
      <w:pPr>
        <w:pStyle w:val="Heading1"/>
      </w:pPr>
      <w:r>
        <w:t xml:space="preserve">Partie 2 — La capitalisation permet d’avoir des fonds de pension</w:t>
      </w:r>
    </w:p>
    <w:p>
      <w:pPr>
        <w:pStyle w:val="FirstParagraph"/>
      </w:pPr>
      <w:r>
        <w:t xml:space="preserve">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bookmarkStart w:id="188" w:name="X29917781f31cf7c125664640aa511f4650f0640"/>
    <w:p>
      <w:pPr>
        <w:pStyle w:val="Heading2"/>
      </w:pPr>
      <w:r>
        <w:t xml:space="preserve">Qu’est-ce qu’un fonds de pension ? À quoi ça sert ? Les trois familles</w:t>
      </w:r>
    </w:p>
    <w:p>
      <w:pPr>
        <w:pStyle w:val="FirstParagraph"/>
      </w:pPr>
      <w:r>
        <w:t xml:space="preserve">Avant de regarder pourquoi la France perd son capital, il faut prendre le temps de poser ce qu’est, concrètement, un fonds de pension. Le mot circule beaucoup dans le débat public ; sa réalité technique reste, étrangement, mal connue. Un fonds de pension est un organisme d’investissement collectif dont la mission est de gérer, sur plusieurs décennies, les cotisations retraite versées par une population définie — salariés d’un secteur, fonctionnaires d’un État, travailleurs d’une entreprise, ou cotisants d’un régime national entier. Ces cotisations ne sont pas redistribuées immédiatement comme dans la répartition. Elles sont investies — actions cotées, obligations d’État et d’entreprises, immobilier, infrastructures, capital-investissement — et produisent un rendement qui s’accumule au capital. À l’âge de la retraite, le capital accumulé pour chaque affilié est converti en rente viagère ou versé sous forme de capital, selon les règles du régime.</w:t>
      </w:r>
    </w:p>
    <w:p>
      <w:pPr>
        <w:pStyle w:val="BodyText"/>
      </w:pPr>
      <w:r>
        <w:t xml:space="preserve">Un fonds de pension remplit donc, simultanément, quatre fonctions. La première est sociale : assurer un revenu complémentaire ou principal de retraite à ses affiliés, lissé sur trente à quarante ans de vie active. La deuxième est financière : valoriser ce revenu par le rendement composé du capital investi, ce qui démultiplie l’effort de cotisation par un facteur de deux à cinq selon les durées. La troisième est macroéconomique : transformer l’épargne nationale en force productive, en finançant les entreprises, les infrastructures et les projets de long terme dans lesquels il investit. La quatrième est politique : reprendre la maîtrise nationale du capital, en évitant que les meilleures entreprises domestiques basculent par défaut sous le contrôle de fonds étrangers — c’est l’enjeu de souveraineté qui structure toute la suite de cette partie.</w:t>
      </w:r>
    </w:p>
    <w:p>
      <w:pPr>
        <w:pStyle w:val="BodyText"/>
      </w:pPr>
      <w:r>
        <w:t xml:space="preserve">La France, on l’a vu en introduction, dispose déjà d’un fonds de pension public obligatoire — le RAFP — qui couvre 4,5 millions de fonctionnaires depuis 2005, gère 47,8 milliards d’euros à fin 2024 et rapporte 4,3 % nets par an depuis l’origine. Il s’agit, mécaniquement, exactement de ce qui est décrit ci-dessus : cotisations capitalisées, allocation diversifiée — 58 % obligations, 20 % actions, 10 % capital-investissement et infrastructures, 9 % immobilier —, gouvernance publique paritaire, horizon long. Le RAFP n’est pas un fonds de pension exotique. C’est l’exemple français du modèle. La seule particularité, dans le débat hexagonal, est qu’il a été soigneusement maintenu en dehors du radar politique pendant vingt ans. Quand on parle de fonds de pension dans la suite de ce livre, on parle donc d’une infrastructure dont la France maîtrise déjà la technique pour une partie de sa population active. La question est de savoir pourquoi elle se l’interdit pour les autres.</w:t>
      </w:r>
    </w:p>
    <w:p>
      <w:pPr>
        <w:pStyle w:val="BodyText"/>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w:t>
      </w:r>
      <w:r>
        <w:t xml:space="preserve"> </w:t>
      </w:r>
      <w:r>
        <w:rPr>
          <w:i/>
          <w:iCs/>
        </w:rPr>
        <w:t xml:space="preserve">Wall Street</w:t>
      </w:r>
      <w:r>
        <w:t xml:space="preserve">.</w:t>
      </w:r>
    </w:p>
    <w:p>
      <w:pPr>
        <w:pStyle w:val="BodyText"/>
      </w:pPr>
      <w:r>
        <w:rPr>
          <w:b/>
          <w:bCs/>
        </w:rPr>
        <w:t xml:space="preserve">Première famille : les fonds publics, parfois souverains.</w:t>
      </w:r>
      <w:r>
        <w:t xml:space="preserve"> </w:t>
      </w:r>
      <w:r>
        <w:t xml:space="preserve">Ils sont gérés par une institution publique, souvent dérivée de la banque centrale ou d’une agence dédiée, et investissent au nom d’une collectivité - un pays, une province, un régime entier - dans une logique de très long terme. Le plus connu, et le plus impressionnant par sa taille, est le</w:t>
      </w:r>
      <w:r>
        <w:t xml:space="preserve"> </w:t>
      </w:r>
      <w:r>
        <w:rPr>
          <w:i/>
          <w:iCs/>
        </w:rPr>
        <w:t xml:space="preserve">Government Pension Fund Global</w:t>
      </w:r>
      <w:r>
        <w:t xml:space="preserve"> </w:t>
      </w:r>
      <w:r>
        <w:t xml:space="preserve">norvégien. À fin 2024, il gérait 19 742 milliards de couronnes norvégiennes, soit environ 1 900 milliards d’euros, dans 8 700 entreprises cotées et 70 pays.</w:t>
      </w:r>
    </w:p>
    <w:p>
      <w:pPr>
        <w:pStyle w:val="BodyText"/>
      </w:pPr>
      <w:r>
        <w:t xml:space="preserve">Son rendement nominal moyen depuis 1998 atteint 6,3 % par an, soit 4,1 % par an en termes réels nets de frais et d’inflation</w:t>
      </w:r>
      <w:r>
        <w:rPr>
          <w:rStyle w:val="FootnoteReference"/>
        </w:rPr>
        <w:footnoteReference w:id="176"/>
      </w:r>
      <w:r>
        <w:t xml:space="preserve">. C’est un fonds de pension à part puisqu’il est alimenté par la rente pétrolière norvégienne -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77"/>
      </w:r>
      <w:r>
        <w:t xml:space="preserve">.</w:t>
      </w:r>
    </w:p>
    <w:p>
      <w:pPr>
        <w:pStyle w:val="BodyText"/>
      </w:pPr>
      <w:r>
        <w:t xml:space="preserve">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78"/>
      </w:r>
      <w:r>
        <w:t xml:space="preserve">. Le</w:t>
      </w:r>
      <w:r>
        <w:t xml:space="preserve"> </w:t>
      </w:r>
      <w:r>
        <w:rPr>
          <w:i/>
          <w:iCs/>
        </w:rPr>
        <w:t xml:space="preserve">Canada Pension Plan Investment Board</w:t>
      </w:r>
      <w:r>
        <w:t xml:space="preserve"> </w:t>
      </w:r>
      <w:r>
        <w:t xml:space="preserve">gère, lui, 714 milliards de dollars canadiens fin mars 2025, pour un rendement annualisé sur dix ans de 8,3 % net de frais</w:t>
      </w:r>
      <w:r>
        <w:rPr>
          <w:rStyle w:val="FootnoteReference"/>
        </w:rPr>
        <w:footnoteReference w:id="179"/>
      </w:r>
      <w:r>
        <w:t xml:space="preserve">. Ces fonds publics partagent quatre traits : une gouvernance publique mais indépendante du pouvoir politique, une stratégie d’investissement globale et diversifiée, un horizon multi-décennal, des frais de gestion très bas.</w:t>
      </w:r>
    </w:p>
    <w:p>
      <w:pPr>
        <w:pStyle w:val="BodyText"/>
      </w:pPr>
      <w:r>
        <w:rPr>
          <w:b/>
          <w:bCs/>
        </w:rPr>
        <w:t xml:space="preserve">Deuxième famille : les fonds sectoriels paritaires.</w:t>
      </w:r>
      <w:r>
        <w:t xml:space="preserve"> </w:t>
      </w:r>
      <w:r>
        <w:t xml:space="preserve">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80"/>
      </w:r>
      <w:r>
        <w:t xml:space="preserve">.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81"/>
      </w:r>
      <w:r>
        <w:t xml:space="preserve">.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82"/>
      </w:r>
      <w:r>
        <w:t xml:space="preserve">.</w:t>
      </w:r>
    </w:p>
    <w:p>
      <w:pPr>
        <w:pStyle w:val="BodyText"/>
      </w:pPr>
      <w:r>
        <w:rPr>
          <w:b/>
          <w:bCs/>
        </w:rPr>
        <w:t xml:space="preserve">Troisième famille : l’auto-enrolment.</w:t>
      </w:r>
      <w:r>
        <w:t xml:space="preserve"> </w:t>
      </w:r>
      <w:r>
        <w:t xml:space="preserve">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83"/>
      </w:r>
      <w:r>
        <w:t xml:space="preserve">. NEST, le fonds par défaut, gère 49,7 milliards de livres pour 13,8 millions de membres au 31 mars 2025, avec un fonds 2045 par défaut performant à 9,9 % annualisés sur cinq ans</w:t>
      </w:r>
      <w:r>
        <w:rPr>
          <w:rStyle w:val="FootnoteReference"/>
        </w:rPr>
        <w:footnoteReference w:id="184"/>
      </w:r>
      <w:r>
        <w:t xml:space="preserve">. L’Australie a un modèle plus contraignant - pas de droit d’</w:t>
      </w:r>
      <w:r>
        <w:rPr>
          <w:i/>
          <w:iCs/>
        </w:rPr>
        <w:t xml:space="preserve">opt-out</w:t>
      </w:r>
      <w:r>
        <w:t xml:space="preserve">, contribution patronale obligatoire portée à 12 % du salaire en juillet 2025 - mais dans la même famille logique : c’est l’employeur qui cotise pour le salarié, dans un fonds géré par un opérateur agréé</w:t>
      </w:r>
      <w:r>
        <w:rPr>
          <w:rStyle w:val="FootnoteReference"/>
        </w:rPr>
        <w:footnoteReference w:id="185"/>
      </w:r>
      <w:r>
        <w:t xml:space="preserve">.</w:t>
      </w:r>
      <w:r>
        <w:t xml:space="preserve"> </w:t>
      </w:r>
      <w:r>
        <w:rPr>
          <w:i/>
          <w:iCs/>
        </w:rPr>
        <w:t xml:space="preserve">AustralianSuper</w:t>
      </w:r>
      <w:r>
        <w:t xml:space="preserve">, premier fonds du pays, affiche 7,94 % annualisés sur dix ans nets de frais. La Nouvelle-Zélande a copié le modèle britannique en plus léger ; le KiwiSaver couvre environ deux tiers des actifs néo-zélandais</w:t>
      </w:r>
      <w:r>
        <w:rPr>
          <w:rStyle w:val="FootnoteReference"/>
        </w:rPr>
        <w:footnoteReference w:id="186"/>
      </w:r>
      <w:r>
        <w:t xml:space="preserve">.</w:t>
      </w:r>
    </w:p>
    <w:p>
      <w:pPr>
        <w:pStyle w:val="BodyText"/>
      </w:pPr>
      <w:r>
        <w:t xml:space="preserve">Ces trois familles ne sont pas concurrentes : elles peuvent se combiner. La Suède a un pilier répartition NDC, un</w:t>
      </w:r>
      <w:r>
        <w:t xml:space="preserve"> </w:t>
      </w:r>
      <w:r>
        <w:rPr>
          <w:i/>
          <w:iCs/>
        </w:rPr>
        <w:t xml:space="preserve">Premiepension</w:t>
      </w:r>
      <w:r>
        <w:t xml:space="preserve"> </w:t>
      </w:r>
      <w:r>
        <w:t xml:space="preserve">capitalisé à comptes individuels, des AP-fonds publics qui amortissent les chocs démographiques, et un étage professionnel paritaire négocié par branche. Les Pays-Bas combinent l’AOW (répartition de base) avec un deuxième pilier paritaire massif. L’Australie mixe</w:t>
      </w:r>
      <w:r>
        <w:t xml:space="preserve"> </w:t>
      </w:r>
      <w:r>
        <w:rPr>
          <w:i/>
          <w:iCs/>
        </w:rPr>
        <w:t xml:space="preserve">Superannuation</w:t>
      </w:r>
      <w:r>
        <w:t xml:space="preserve"> </w:t>
      </w:r>
      <w:r>
        <w:t xml:space="preserve">obligatoire et</w:t>
      </w:r>
      <w:r>
        <w:t xml:space="preserve"> </w:t>
      </w:r>
      <w:r>
        <w:rPr>
          <w:i/>
          <w:iCs/>
        </w:rPr>
        <w:t xml:space="preserve">Age Pension</w:t>
      </w:r>
      <w:r>
        <w:t xml:space="preserve"> </w:t>
      </w:r>
      <w:r>
        <w:t xml:space="preserve">publique. Chaque pays a créé un système selon son histoire, ses syndicats, sa fiscalité. Aucun n’a tout misé sur un seul mécanisme. Aucun n’est, non plus, revenu en arrière.</w:t>
      </w:r>
    </w:p>
    <w:p>
      <w:pPr>
        <w:pStyle w:val="BodyText"/>
      </w:pPr>
      <w:r>
        <w:t xml:space="preserve">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87"/>
      </w:r>
      <w:r>
        <w:t xml:space="preserve">. La capitalisation, une fois en place, devient consensuelle. Elle traverse les majorités, comme la Sécurité sociale a traversé les nôtres. Ce qui en dit long sur l’écart entre ce que la France imagine du sujet et ce qui se fait partout ailleurs.</w:t>
      </w:r>
    </w:p>
    <w:bookmarkEnd w:id="188"/>
    <w:bookmarkStart w:id="207" w:name="le-capital-qui-nous-échappe"/>
    <w:p>
      <w:pPr>
        <w:pStyle w:val="Heading2"/>
      </w:pPr>
      <w:r>
        <w:t xml:space="preserve">Le capital qui nous échappe</w:t>
      </w:r>
    </w:p>
    <w:p>
      <w:pPr>
        <w:pStyle w:val="FirstParagraph"/>
      </w:pPr>
      <w:r>
        <w:t xml:space="preserve">Première observation, brutale dans les chiffres. À fin 2024, la moitié du capital des grandes sociétés-mères françaises du CAC 40 est détenue par des investisseurs non-résidents. Le</w:t>
      </w:r>
      <w:r>
        <w:t xml:space="preserve"> </w:t>
      </w:r>
      <w:r>
        <w:rPr>
          <w:i/>
          <w:iCs/>
        </w:rPr>
        <w:t xml:space="preserve">Government Pension Fund Global</w:t>
      </w:r>
      <w:r>
        <w:t xml:space="preserve"> </w:t>
      </w:r>
      <w:r>
        <w:t xml:space="preserve">norvégien, qu’on a évoqué plus haut, détient à lui seul environ 30 milliards d’euros d’actions françaises. ABP, le fonds des fonctionnaires néerlandais, est présent au capital de Schneider Electric, L’Oréal, Sanofi, Saint-Gobain, BNP Paribas, Air Liquide, AXA, Danone, Société Générale, Klepierre.</w:t>
      </w:r>
      <w:r>
        <w:t xml:space="preserve"> </w:t>
      </w:r>
      <w:r>
        <w:rPr>
          <w:i/>
          <w:iCs/>
        </w:rPr>
        <w:t xml:space="preserve">CPP Investments</w:t>
      </w:r>
      <w:r>
        <w:t xml:space="preserve">, le gestionnaire de la retraite des Canadiens, détient des participations dans Schneider, Air Liquide, Veolia.</w:t>
      </w:r>
      <w:r>
        <w:t xml:space="preserve"> </w:t>
      </w:r>
      <w:r>
        <w:rPr>
          <w:i/>
          <w:iCs/>
        </w:rPr>
        <w:t xml:space="preserve">AustralianSuper</w:t>
      </w:r>
      <w:r>
        <w:t xml:space="preserve">,</w:t>
      </w:r>
      <w:r>
        <w:t xml:space="preserve"> </w:t>
      </w:r>
      <w:r>
        <w:rPr>
          <w:i/>
          <w:iCs/>
        </w:rPr>
        <w:t xml:space="preserve">USS</w:t>
      </w:r>
      <w:r>
        <w:t xml:space="preserve">, le fonds des universités britanniques, les</w:t>
      </w:r>
      <w:r>
        <w:t xml:space="preserve"> </w:t>
      </w:r>
      <w:r>
        <w:rPr>
          <w:i/>
          <w:iCs/>
        </w:rPr>
        <w:t xml:space="preserve">teachers’ pensions</w:t>
      </w:r>
      <w:r>
        <w:t xml:space="preserve"> </w:t>
      </w:r>
      <w:r>
        <w:t xml:space="preserve">du Texas et de l’Ontario,</w:t>
      </w:r>
      <w:r>
        <w:t xml:space="preserve"> </w:t>
      </w:r>
      <w:r>
        <w:rPr>
          <w:i/>
          <w:iCs/>
        </w:rPr>
        <w:t xml:space="preserve">BlackRock</w:t>
      </w:r>
      <w:r>
        <w:t xml:space="preserve"> </w:t>
      </w:r>
      <w:r>
        <w:t xml:space="preserve">et</w:t>
      </w:r>
      <w:r>
        <w:t xml:space="preserve"> </w:t>
      </w:r>
      <w:r>
        <w:rPr>
          <w:i/>
          <w:iCs/>
        </w:rPr>
        <w:t xml:space="preserve">Vanguard</w:t>
      </w:r>
      <w:r>
        <w:t xml:space="preserve"> </w:t>
      </w:r>
      <w:r>
        <w:t xml:space="preserve">qui répliquent l’indice mondial pour les épargnants retraite américains : tous sont au capital de nos plus grandes entreprises. Les bénéficiaires ultimes de leur rendement sont, par construction, des retraités étrangers.</w:t>
      </w:r>
    </w:p>
    <w:p>
      <w:pPr>
        <w:pStyle w:val="BodyText"/>
      </w:pPr>
      <w:r>
        <w:t xml:space="preserve">Le mécanisme est mécaniquement transparent. Les fonds de pension étrangers ont besoin d’investir leurs cotisations dans des actifs cotés performants ; nos grandes entreprises sont des actifs cotés performants ; donc ils investissent chez nous. La France ne dispose pas de fonds de pension d’envergure équivalente — Ardian, premier gestionnaire français de capital-investissement, gère environ 170 milliards de dollars, soit moins d’un dixième du seul fonds norvégien. Il n’y a, par construction, personne du côté français pour faire contrepoids au flux entrant. Le résultat : sur les 73 milliards d’euros de dividendes versés en 2024 par les sociétés du CAC 40, près de 40 milliards sont partis à l’étranger. Chaque année, les bénéfices de nos plus grandes entreprises financent en partie les retraites néerlandaises, les universités californiennes, les pensions de l’Ontario, l’État providence norvégien.</w:t>
      </w:r>
    </w:p>
    <w:p>
      <w:pPr>
        <w:pStyle w:val="BodyText"/>
      </w:pPr>
      <w:r>
        <w:t xml:space="preserve">Le paradoxe central de cette partie tient en une phrase. Ce n’est pas que la France n’a pas d’épargne. Au contraire — elle en a six mille milliards d’euros, plus que l’Allemagne. C’est que cette épargne ne va pas là où il faudrait pour qu’elle finance le capital national. Elle est immobilisée, mal canalisée, sous-rémunérée. La section qui suit documente où elle dort, et pourquoi.</w:t>
      </w:r>
    </w:p>
    <w:bookmarkStart w:id="206" w:name="six-mille-milliards-qui-dorment"/>
    <w:p>
      <w:pPr>
        <w:pStyle w:val="Heading3"/>
      </w:pPr>
      <w:r>
        <w:t xml:space="preserve">Six mille milliards qui dorment</w:t>
      </w:r>
    </w:p>
    <w:p>
      <w:pPr>
        <w:pStyle w:val="FirstParagraph"/>
      </w:pPr>
      <w:r>
        <w:t xml:space="preserve">Les ménages français épargnent beaucoup. Sur 100 euros gagnés chaque mois, près de 20 sont mis de côté</w:t>
      </w:r>
      <w:r>
        <w:rPr>
          <w:rStyle w:val="FootnoteReference"/>
        </w:rPr>
        <w:footnoteReference w:id="189"/>
      </w:r>
      <w:r>
        <w:t xml:space="preserve">.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pPr>
        <w:pStyle w:val="BodyText"/>
      </w:pPr>
      <w:r>
        <w:t xml:space="preserve">Lafarge, Alstom, Technip, Latécoère, Photonis, Exxelia, Doliprane, Ingenico ont fait l’actualité et la liste s’allongera.</w:t>
      </w:r>
    </w:p>
    <w:p>
      <w:pPr>
        <w:pStyle w:val="BodyText"/>
      </w:pPr>
      <w:r>
        <w:t xml:space="preserve">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pPr>
        <w:pStyle w:val="BodyText"/>
      </w:pPr>
      <w:r>
        <w:t xml:space="preserve">La France a l’argent. Elle ne s’en sert pas. Et parce qu’elle ne s’en sert pas, ses entreprises se vendent à ceux qui, eux, s’en servent. C’est ce</w:t>
      </w:r>
      <w:r>
        <w:t xml:space="preserve"> </w:t>
      </w:r>
      <w:r>
        <w:rPr>
          <w:i/>
          <w:iCs/>
        </w:rPr>
        <w:t xml:space="preserve">hold-up silencieux</w:t>
      </w:r>
      <w:r>
        <w:t xml:space="preserve"> </w:t>
      </w:r>
      <w:r>
        <w:t xml:space="preserve">que ce chapitre documente. Le capital existe mais n’est pas utilisé.</w:t>
      </w:r>
    </w:p>
    <w:p>
      <w:pPr>
        <w:pStyle w:val="BodyText"/>
      </w:pPr>
      <w:r>
        <w:t xml:space="preserve">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pPr>
        <w:pStyle w:val="BodyText"/>
      </w:pPr>
      <w:r>
        <w:t xml:space="preserve">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pPr>
        <w:pStyle w:val="BodyText"/>
      </w:pPr>
      <w:r>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w:t>
      </w:r>
      <w:r>
        <w:t xml:space="preserve"> </w:t>
      </w:r>
      <w:r>
        <w:rPr>
          <w:b/>
          <w:bCs/>
        </w:rPr>
        <w:t xml:space="preserve">1 500 milliards d’euros</w:t>
      </w:r>
      <w:r>
        <w:t xml:space="preserve"> </w:t>
      </w:r>
      <w:r>
        <w:t xml:space="preserve">sous gestion, soit la moitié de son PIB - la position approximative du Canada à mi-parcours de sa propre bascule. À cinquante ans, l’horizon d’un régime stable, elle s’approcherait des</w:t>
      </w:r>
      <w:r>
        <w:t xml:space="preserve"> </w:t>
      </w:r>
      <w:r>
        <w:rPr>
          <w:b/>
          <w:bCs/>
        </w:rPr>
        <w:t xml:space="preserve">3 000 milliards d’euros</w:t>
      </w:r>
      <w:r>
        <w:t xml:space="preserve">, soit autour de 100 % du PIB - la moyenne pondérée des grands marchés de pension dans le monde, telle que mesurée chaque année par le</w:t>
      </w:r>
      <w:r>
        <w:t xml:space="preserve"> </w:t>
      </w:r>
      <w:r>
        <w:rPr>
          <w:i/>
          <w:iCs/>
        </w:rPr>
        <w:t xml:space="preserve">Global Pension Assets Study</w:t>
      </w:r>
      <w:r>
        <w:t xml:space="preserve"> </w:t>
      </w:r>
      <w:r>
        <w:t xml:space="preserve">de Thinking Ahead Institute</w:t>
      </w:r>
      <w:r>
        <w:rPr>
          <w:rStyle w:val="FootnoteReference"/>
        </w:rPr>
        <w:footnoteReference w:id="190"/>
      </w:r>
      <w:r>
        <w:t xml:space="preserve">. Pour fixer les idées : la France gère aujourd’hui, tous véhicules de capitalisation additionnés, à peine 200 milliards d’euros. À vingt-cinq ans, ce serait sept fois plus. À cinquante, quinze fois plus.</w:t>
      </w:r>
    </w:p>
    <w:p>
      <w:pPr>
        <w:pStyle w:val="BodyText"/>
      </w:pPr>
      <w:r>
        <w:t xml:space="preserve">Cet écosystème - qu’il pèse 1 500 ou 3 000 milliards selon l’horizon -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 bâtir le pilier capitalisé que le pays n’a jamais construit - à deux problèmes qu’on a appris à séparer mais qui n’en font qu’un. C’est cette unicité qui fonde ce chapitre.</w:t>
      </w:r>
    </w:p>
    <w:p>
      <w:pPr>
        <w:pStyle w:val="BodyText"/>
      </w:pPr>
      <w:r>
        <w:t xml:space="preserve">Le patrimoine financier brut des ménages français atteignait 6 356 milliards d’euros fin 2024, en hausse de 1,7 % sur l’année</w:t>
      </w:r>
      <w:r>
        <w:rPr>
          <w:rStyle w:val="FootnoteReference"/>
        </w:rPr>
        <w:footnoteReference w:id="191"/>
      </w:r>
      <w:r>
        <w:t xml:space="preserve">. C’est plus de deux fois le produit intérieur brut. C’est aussi, ramené à la population, à peu près 93 000 euros par habitant - enfants compris. Aucun pays comparable ne dispose, en stock, d’un patrimoine financier de ménages plus élevé en proportion. Et pourtant, ce stock est, économiquement, presque inerte.</w:t>
      </w:r>
    </w:p>
    <w:p>
      <w:pPr>
        <w:pStyle w:val="BodyText"/>
      </w:pPr>
      <w:r>
        <w:t xml:space="preserve">Pour comprendre pourquoi, il faut regarder où dort cet argent. Un tiers - environ 2 100 milliards d’euros - se trouve sur des dépôts à vue, c’est-à-dire des comptes courants qui ne rapportent rien. Un autre tiers, près de 2000 milliards, est logé dans des contrats d’assurance-vie, dont 1 178 milliards en fonds euros individuels, c’est-à-dire des poches majoritairement investies en obligations d’État françaises et européennes</w:t>
      </w:r>
      <w:r>
        <w:rPr>
          <w:rStyle w:val="FootnoteReference"/>
        </w:rPr>
        <w:footnoteReference w:id="192"/>
      </w:r>
      <w:r>
        <w:t xml:space="preserve">. Près d’un dixième, 695 milliards, est immobilisé sur des livrets réglementés - Livret A, LDDS, LEP -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93"/>
      </w:r>
      <w:r>
        <w:t xml:space="preserve">.</w:t>
      </w:r>
    </w:p>
    <w:p>
      <w:pPr>
        <w:pStyle w:val="BodyText"/>
      </w:pPr>
      <w:r>
        <w:t xml:space="preserve">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pPr>
        <w:pStyle w:val="BodyText"/>
      </w:pPr>
      <w:r>
        <w:t xml:space="preserve">Ce choix et ses conséquences se chiffrent. Le rendement moyen brut des fonds euros en 2024 s’est établi à 2,63 %</w:t>
      </w:r>
      <w:r>
        <w:rPr>
          <w:rStyle w:val="FootnoteReference"/>
        </w:rPr>
        <w:footnoteReference w:id="194"/>
      </w:r>
      <w:r>
        <w:t xml:space="preserve">. Une fois retranchés les 17,2 % de prélèvements sociaux et l’inflation 2024 à 2,0 %, le rendement réel net moyen ressort à 0,15 % -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95"/>
      </w:r>
      <w:r>
        <w:t xml:space="preserve">.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pPr>
        <w:pStyle w:val="BodyText"/>
      </w:pPr>
      <w:r>
        <w:t xml:space="preserve">+---------------------—+ | &gt;</w:t>
      </w:r>
      <w:r>
        <w:t xml:space="preserve"> </w:t>
      </w:r>
      <w:r>
        <w:rPr>
          <w:b/>
          <w:bCs/>
          <w:u w:val="single"/>
        </w:rPr>
        <w:t xml:space="preserve">Calcul. Le manque à gagner d’une épargne mal allouée sur | | &gt; vingt ans.</w:t>
      </w:r>
      <w:r>
        <w:t xml:space="preserve"> </w:t>
      </w:r>
      <w:r>
        <w:t xml:space="preserve">| | &gt; | | &gt; Hypothèse : 1 000 € investis le 1er janvier 2005 dans trois | | &gt; allocations différentes, jusqu’au 31 décembre 2024 (20 ans). | | &gt; | | &gt; En fonds euros à 2 % annuel moyen, le capital final atteint 1 | | &gt; 561 €. En portefeuille équilibré 60 % actions monde et 40 % | | &gt; obligations, à 5,6 % annualisé, il atteint 3 247 €. En actions | | &gt; mondiales seules, à 6,8 % annualisé, il atteint 4 156 €. | | &gt; | | &gt; Manque à gagner par mille euros placés :</w:t>
      </w:r>
      <w:r>
        <w:t xml:space="preserve"> </w:t>
      </w:r>
      <w:r>
        <w:rPr>
          <w:b/>
          <w:bCs/>
        </w:rPr>
        <w:t xml:space="preserve">1 686 €</w:t>
      </w:r>
      <w:r>
        <w:t xml:space="preserve"> </w:t>
      </w:r>
      <w:r>
        <w:t xml:space="preserve">pour le | | &gt; portefeuille équilibré,</w:t>
      </w:r>
      <w:r>
        <w:t xml:space="preserve"> </w:t>
      </w:r>
      <w:r>
        <w:rPr>
          <w:b/>
          <w:bCs/>
        </w:rPr>
        <w:t xml:space="preserve">2 595 €</w:t>
      </w:r>
      <w:r>
        <w:t xml:space="preserve"> </w:t>
      </w:r>
      <w:r>
        <w:t xml:space="preserve">pour les actions | | &gt; mondiales</w:t>
      </w:r>
      <w:r>
        <w:rPr>
          <w:rStyle w:val="FootnoteReference"/>
        </w:rPr>
        <w:footnoteReference w:id="196"/>
      </w:r>
      <w:r>
        <w:t xml:space="preserve">. | +====================================================================+</w:t>
      </w:r>
    </w:p>
    <w:p>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 la liquidité, la précaution -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pPr>
        <w:pStyle w:val="BodyText"/>
      </w:pPr>
      <w:r>
        <w:t xml:space="preserve">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97"/>
      </w:r>
      <w:r>
        <w:t xml:space="preserve">. Autrement dit : l’épargne populaire française finance, par circuits administrés, une partie de la dette publique française.</w:t>
      </w:r>
    </w:p>
    <w:p>
      <w:pPr>
        <w:pStyle w:val="BodyText"/>
      </w:pPr>
      <w:r>
        <w:t xml:space="preserve">Cette architecture n’est pas un accident contemporain : elle a deux cents ans. Le Livret A est créé en 1818, sous la Restauration, par Benjamin Delessert et François de La Rochefoucauld-Liancourt</w:t>
      </w:r>
      <w:r>
        <w:rPr>
          <w:rStyle w:val="FootnoteReference"/>
        </w:rPr>
        <w:footnoteReference w:id="198"/>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 son rendement réel net est proche de zéro -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pPr>
        <w:pStyle w:val="BodyText"/>
      </w:pPr>
      <w:r>
        <w:t xml:space="preserve">Ce verrouillage culturel s’est doublé, depuis quarante ans, d’une série de traumatismes boursiers que la mémoire collective n’a pas digérés. Le krach 2000-2002 avec Vivendi-Messier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 une action française détenue de 1985 à 2025, dividendes réinvestis, rapporte environ 8 % nominal annualisé, et la probabilité de perte réelle d’un portefeuille diversifié tombe sous 5 % à vingt ans</w:t>
      </w:r>
      <w:r>
        <w:rPr>
          <w:rStyle w:val="FootnoteReference"/>
        </w:rPr>
        <w:footnoteReference w:id="199"/>
      </w:r>
      <w:r>
        <w:t xml:space="preserve">.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pPr>
        <w:pStyle w:val="BodyText"/>
      </w:pPr>
      <w:r>
        <w:t xml:space="preserve">Cette épargne mal allouée a une conséquence directe : la Bourse de Paris se rétracte. La capitalisation boursière française rapportée au PIB oscille entre 103 % et 124 % en 2024 - moins que les États-Unis (plus de 200 %), moins que la Suède (autour de 150 %), loin derrière les Pays-Bas dont le ratio dépasse 220 % en pointe</w:t>
      </w:r>
      <w:r>
        <w:rPr>
          <w:rStyle w:val="FootnoteReference"/>
        </w:rPr>
        <w:footnoteReference w:id="200"/>
      </w:r>
      <w:r>
        <w:t xml:space="preserve">.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201"/>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 Canal+ vers la London Stock Exchange, Havas vers Euronext Amsterdam, Louis Hachette vers Euronext Growth Paris</w:t>
      </w:r>
      <w:r>
        <w:rPr>
          <w:rStyle w:val="FootnoteReference"/>
        </w:rPr>
        <w:footnoteReference w:id="202"/>
      </w:r>
      <w:r>
        <w:t xml:space="preserve">.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203"/>
      </w:r>
      <w:r>
        <w:t xml:space="preserve"> </w:t>
      </w:r>
      <w:r>
        <w:t xml:space="preserve">- quatre fois moins que la London Stock Exchange, six fois moins que les 2 400 cotations du NYSE. Le CAC 40 concentre 75 % de la capitalisation boursière française. Quelques très grandes capitalisations multinationales écrasent un tissu mid-cap atrophié.</w:t>
      </w:r>
    </w:p>
    <w:p>
      <w:pPr>
        <w:pStyle w:val="BodyText"/>
      </w:pPr>
      <w:r>
        <w:t xml:space="preserve">Pourquoi cette rétraction ? Une Bourse profonde a besoin d’investisseurs institutionnels nationaux importants - fonds de pension, mutuelles, fonds souverains - qui achètent à long terme. New York s’appuie sur les</w:t>
      </w:r>
      <w:r>
        <w:t xml:space="preserve"> </w:t>
      </w:r>
      <w:r>
        <w:rPr>
          <w:i/>
          <w:iCs/>
        </w:rPr>
        <w:t xml:space="preserve">401(k)</w:t>
      </w:r>
      <w:r>
        <w:t xml:space="preserve"> </w:t>
      </w:r>
      <w:r>
        <w:t xml:space="preserve">et les</w:t>
      </w:r>
      <w:r>
        <w:t xml:space="preserve"> </w:t>
      </w:r>
      <w:r>
        <w:rPr>
          <w:i/>
          <w:iCs/>
        </w:rPr>
        <w:t xml:space="preserve">endowments</w:t>
      </w:r>
      <w:r>
        <w:t xml:space="preserve"> </w:t>
      </w:r>
      <w:r>
        <w:t xml:space="preserve">universitaires. Londres sur ses</w:t>
      </w:r>
      <w:r>
        <w:t xml:space="preserve"> </w:t>
      </w:r>
      <w:r>
        <w:rPr>
          <w:i/>
          <w:iCs/>
        </w:rPr>
        <w:t xml:space="preserve">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 précisément ceux que les fonds de pension auraient été.</w:t>
      </w:r>
    </w:p>
    <w:p>
      <w:pPr>
        <w:pStyle w:val="BodyText"/>
      </w:pPr>
      <w:r>
        <w:t xml:space="preserve">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204"/>
      </w:r>
      <w:r>
        <w:t xml:space="preserve">.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pPr>
        <w:pStyle w:val="BodyText"/>
      </w:pPr>
      <w:r>
        <w:t xml:space="preserve">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205"/>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 en passant par Amsterdam, Toronto, New York, Oslo - mais sous pavillon étranger. Et le contrôle change de main, en silence, milliard après milliard.</w:t>
      </w:r>
    </w:p>
    <w:bookmarkEnd w:id="206"/>
    <w:bookmarkEnd w:id="207"/>
    <w:bookmarkStart w:id="238" w:name="la-vague-des-cessions-silencieuses"/>
    <w:p>
      <w:pPr>
        <w:pStyle w:val="Heading2"/>
      </w:pPr>
      <w:r>
        <w:t xml:space="preserve">La vague des cessions silencieuses</w:t>
      </w:r>
    </w:p>
    <w:p>
      <w:pPr>
        <w:pStyle w:val="FirstParagraph"/>
      </w:pPr>
      <w:r>
        <w:t xml:space="preserve">Le capital qui nous échappe n’est pas une notion abstraite. Il prend, dans la décennie qui s’ouvre, une forme parfaitement concrète : la vague de cessions des entreprises familiales françaises sans repreneur national. Cette vague a deux faces qui sont, en réalité, le même phénomène. Côté tissu industriel : 240 000 entreprises françaises chercheront un repreneur d’ici 2030 sans en trouver. Côté grandes entreprises cotées : un</w:t>
      </w:r>
      <w:r>
        <w:t xml:space="preserve"> </w:t>
      </w:r>
      <w:r>
        <w:rPr>
          <w:i/>
          <w:iCs/>
        </w:rPr>
        <w:t xml:space="preserve">hold-up silencieux</w:t>
      </w:r>
      <w:r>
        <w:t xml:space="preserve"> </w:t>
      </w:r>
      <w:r>
        <w:t xml:space="preserve">qui se déroule depuis vingt ans, transaction par transaction, et qui transfère les sièges, les brevets, les centres de décision et les dividendes vers des opérateurs étrangers.</w:t>
      </w:r>
    </w:p>
    <w:bookmarkStart w:id="220" w:name="entreprises-sans-repreneur-français"/>
    <w:p>
      <w:pPr>
        <w:pStyle w:val="Heading3"/>
      </w:pPr>
      <w:r>
        <w:t xml:space="preserve">240 000 entreprises sans repreneur français</w:t>
      </w:r>
    </w:p>
    <w:p>
      <w:pPr>
        <w:pStyle w:val="FirstParagraph"/>
      </w:pPr>
      <w:r>
        <w:t xml:space="preserve">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pPr>
        <w:pStyle w:val="BodyText"/>
      </w:pPr>
      <w:r>
        <w:t xml:space="preserve">Selon BPI France Le Lab, 370 000 entreprises françaises ayant au moins un salarié vont entrer en phase de transmission d’ici 2030</w:t>
      </w:r>
      <w:r>
        <w:rPr>
          <w:rStyle w:val="FootnoteReference"/>
        </w:rPr>
        <w:footnoteReference w:id="208"/>
      </w:r>
      <w:r>
        <w:t xml:space="preserve"> </w:t>
      </w:r>
      <w:r>
        <w:t xml:space="preserve">: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 moins de la moitié du potentiel</w:t>
      </w:r>
      <w:r>
        <w:rPr>
          <w:rStyle w:val="FootnoteReference"/>
        </w:rPr>
        <w:footnoteReference w:id="209"/>
      </w:r>
      <w:r>
        <w:t xml:space="preserve">. Les 240 000 autres ne trouveront pas de repreneur : elles se vendront à perte, à un acteur étranger, ou elles fermeront.</w:t>
      </w:r>
    </w:p>
    <w:p>
      <w:pPr>
        <w:pStyle w:val="BodyText"/>
      </w:pPr>
      <w:r>
        <w:t xml:space="preserve">Pourquoi un tel écart ? Trois obstacles dominent. Le financement : 44 % des repreneurs salariés en</w:t>
      </w:r>
      <w:r>
        <w:t xml:space="preserve"> </w:t>
      </w:r>
      <w:r>
        <w:rPr>
          <w:i/>
          <w:iCs/>
        </w:rPr>
        <w:t xml:space="preserve">leveraged management buy-out</w:t>
      </w:r>
      <w:r>
        <w:t xml:space="preserve"> </w:t>
      </w:r>
      <w:r>
        <w:t xml:space="preserve">rencontrent des difficultés, contre 23 % des reprises familiales</w:t>
      </w:r>
      <w:r>
        <w:rPr>
          <w:rStyle w:val="FootnoteReference"/>
        </w:rPr>
        <w:footnoteReference w:id="210"/>
      </w:r>
      <w:r>
        <w:t xml:space="preserve">.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211"/>
      </w:r>
      <w:r>
        <w:t xml:space="preserve">. La préparation : 70 % des dirigeants à plus d’un an d’une transmission n’ont pas encore commencé à y réfléchir sérieusement</w:t>
      </w:r>
      <w:r>
        <w:rPr>
          <w:rStyle w:val="FootnoteReference"/>
        </w:rPr>
        <w:footnoteReference w:id="212"/>
      </w:r>
      <w:r>
        <w:t xml:space="preserve">. Quand la transmission arrive, elle se fait dans l’urgence, et l’urgence se paie.</w:t>
      </w:r>
    </w:p>
    <w:p>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 Doliprane en 2024, Photonis en 2020 -, alors qu’il s’agit d’un phénomène de masse, étalé dans la durée, presque invisible parce que diffus. C’est cela qui rend ce hold-up « silencieux » : il n’est pas spectaculaire, il est dispersé. Mais il est massif.</w:t>
      </w:r>
    </w:p>
    <w:p>
      <w:pPr>
        <w:pStyle w:val="BodyText"/>
      </w:pPr>
      <w:r>
        <w:t xml:space="preserve">Cette vague de transmissions arrive dans un environnement de financement profondément déséquilibré. Les ETI à vendre, les PME aux savoir-faire critiques, les start-up à la maturité d’IPO - elles arrivent toutes sur le marché au même moment où l’épargne française reste détournée vers les fonds euros et la dette publique. Pendant ce temps, les fonds étrangers regardent la France comme un guichet ouvert. Ce n’est pas un hasard.</w:t>
      </w:r>
    </w:p>
    <w:p>
      <w:pPr>
        <w:pStyle w:val="BodyText"/>
      </w:pPr>
      <w:r>
        <w:t xml:space="preserve">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213"/>
      </w:r>
      <w:r>
        <w:t xml:space="preserve">. C’est l’un des cinq premiers européens. C’est aussi l’unique acteur français de cette taille - derrière, PAI Partners, Eurazeo, Tikehau, Apax France, tous mille fois plus petits que les grands fonds de pension étrangers.</w:t>
      </w:r>
    </w:p>
    <w:p>
      <w:pPr>
        <w:pStyle w:val="BodyText"/>
      </w:pPr>
      <w:r>
        <w:t xml:space="preserve">Un fonds de pension étranger de taille moyenne, l’ABP néerlandais : 542 milliards d’euros à fin 2024</w:t>
      </w:r>
      <w:r>
        <w:rPr>
          <w:rStyle w:val="FootnoteReference"/>
        </w:rPr>
        <w:footnoteReference w:id="214"/>
      </w:r>
      <w:r>
        <w:t xml:space="preserve">.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215"/>
      </w:r>
      <w:r>
        <w:t xml:space="preserve">. CalPERS pesait 506,6 milliards de dollars au 30 juin 2024</w:t>
      </w:r>
      <w:r>
        <w:rPr>
          <w:rStyle w:val="FootnoteReference"/>
        </w:rPr>
        <w:footnoteReference w:id="216"/>
      </w:r>
      <w:r>
        <w:t xml:space="preserve">. Au sommet, le fonds souverain norvégien gère autour de 1 900 milliards d’euros, dans 8 763 sociétés cotées dans 71 pays</w:t>
      </w:r>
      <w:r>
        <w:rPr>
          <w:rStyle w:val="FootnoteReference"/>
        </w:rPr>
        <w:footnoteReference w:id="217"/>
      </w:r>
      <w:r>
        <w:t xml:space="preserve">. Si l’on additionne ces six fonds, on dépasse 4 500 milliards d’euros. Ardian, c’est 4 % de cette somme.</w:t>
      </w:r>
    </w:p>
    <w:p>
      <w:pPr>
        <w:pStyle w:val="BodyText"/>
      </w:pPr>
      <w:r>
        <w:t xml:space="preserve">C’est l’asymétrie. Et elle n’est pas seulement quantitative. Elle est structurelle. L’horizon, d’abord : un fonds de capital-investissement a des</w:t>
      </w:r>
      <w:r>
        <w:t xml:space="preserve"> </w:t>
      </w:r>
      <w:r>
        <w:rPr>
          <w:i/>
          <w:iCs/>
        </w:rPr>
        <w:t xml:space="preserve">limited partners</w:t>
      </w:r>
      <w:r>
        <w:t xml:space="preserve"> </w:t>
      </w:r>
      <w:r>
        <w:t xml:space="preserve">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 six à huit pour cent -, contrainte de temps presque inexistante, coût implicite autour de six à sept pour cent</w:t>
      </w:r>
      <w:r>
        <w:rPr>
          <w:rStyle w:val="FootnoteReference"/>
        </w:rPr>
        <w:footnoteReference w:id="218"/>
      </w:r>
      <w:r>
        <w:t xml:space="preserve">.</w:t>
      </w:r>
    </w:p>
    <w:p>
      <w:pPr>
        <w:pStyle w:val="BodyText"/>
      </w:pPr>
      <w:r>
        <w:t xml:space="preserve">Cette différence d’horizon se traduit en prix. Pour une ETI française produisant cinq millions d’euros d’EBITDA, Ardian peut payer trois à quatre fois l’EBITDA - quinze à vingt millions - en espérant la revendre à six ou sept fois dans cinq ans. Un fonds de pension étranger peut payer cinq à six fois l’EBITDA - vingt-cinq à trente millions -, conserver vingt ans, et atteindre malgré tout son objectif grâce à la durée. Concrètement,</w:t>
      </w:r>
      <w:r>
        <w:t xml:space="preserve"> </w:t>
      </w:r>
      <w:r>
        <w:rPr>
          <w:b/>
          <w:bCs/>
        </w:rPr>
        <w:t xml:space="preserve">vingt à cinquante pour cent plus cher</w:t>
      </w:r>
      <w:r>
        <w:t xml:space="preserve"> </w:t>
      </w:r>
      <w:r>
        <w:t xml:space="preserve">pour la même entreprise. Quand un dirigeant cédant regarde le chèque qu’on lui tend, le plus gros vient presque toujours du fonds de pension étranger. Le choix est mécanique.</w:t>
      </w:r>
    </w:p>
    <w:p>
      <w:pPr>
        <w:pStyle w:val="BodyText"/>
      </w:pPr>
      <w:r>
        <w:t xml:space="preserve">La structure de coûts amplifie l’écart. Un fonds de PE facture entre 1,5 et 2,5 % de frais annuels, plus 20 % de</w:t>
      </w:r>
      <w:r>
        <w:t xml:space="preserve"> </w:t>
      </w:r>
      <w:r>
        <w:rPr>
          <w:i/>
          <w:iCs/>
        </w:rPr>
        <w:t xml:space="preserve">carried interest</w:t>
      </w:r>
      <w:r>
        <w:t xml:space="preserve">. Un fonds de pension public supporte des frais bien moindres - 0,5 à 1 %, parfois moins. AP7 suédois opère à 0,05 % sur sa poche actions. NBIM norvégien à 0,04 %</w:t>
      </w:r>
      <w:r>
        <w:rPr>
          <w:rStyle w:val="FootnoteReference"/>
        </w:rPr>
        <w:footnoteReference w:id="219"/>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 une participation marginale qu’il peut détenir sans nécessité de revente.</w:t>
      </w:r>
    </w:p>
    <w:tbl>
      <w:tblPr>
        <w:tblStyle w:val="Table"/>
        <w:tblW w:type="pct" w:w="4878"/>
        <w:tblLayout w:type="fixed"/>
        <w:tblLook w:firstRow="1" w:lastRow="0" w:firstColumn="0" w:lastColumn="0" w:noHBand="0" w:noVBand="0" w:val="0020"/>
      </w:tblPr>
      <w:tblGrid>
        <w:gridCol w:w="2704"/>
        <w:gridCol w:w="2318"/>
        <w:gridCol w:w="2704"/>
      </w:tblGrid>
      <w:tr>
        <w:trPr>
          <w:tblHeader w:val="on"/>
        </w:trPr>
        <w:tc>
          <w:tcPr/>
          <w:p>
            <w:pPr>
              <w:pStyle w:val="Compact"/>
              <w:jc w:val="left"/>
            </w:pPr>
            <w:r>
              <w:t xml:space="preserve">Critère</w:t>
            </w:r>
          </w:p>
        </w:tc>
        <w:tc>
          <w:tcPr/>
          <w:p>
            <w:pPr>
              <w:pStyle w:val="Compact"/>
              <w:jc w:val="left"/>
            </w:pPr>
            <w:r>
              <w:t xml:space="preserve">Fonds de PE français</w:t>
            </w:r>
          </w:p>
        </w:tc>
        <w:tc>
          <w:tcPr/>
          <w:p>
            <w:pPr>
              <w:pStyle w:val="Compact"/>
              <w:jc w:val="left"/>
            </w:pPr>
            <w:r>
              <w:t xml:space="preserve">Fonds de pension étranger</w:t>
            </w:r>
          </w:p>
        </w:tc>
      </w:tr>
      <w:tr>
        <w:tc>
          <w:tcPr/>
          <w:p>
            <w:pPr>
              <w:pStyle w:val="Compact"/>
              <w:jc w:val="left"/>
            </w:pPr>
            <w:r>
              <w:t xml:space="preserve">Taille typique</w:t>
            </w:r>
          </w:p>
        </w:tc>
        <w:tc>
          <w:tcPr/>
          <w:p>
            <w:pPr>
              <w:pStyle w:val="Compact"/>
              <w:jc w:val="left"/>
            </w:pPr>
            <w:r>
              <w:t xml:space="preserve">10 à 200 Md€</w:t>
            </w:r>
          </w:p>
        </w:tc>
        <w:tc>
          <w:tcPr/>
          <w:p>
            <w:pPr>
              <w:pStyle w:val="Compact"/>
              <w:jc w:val="left"/>
            </w:pPr>
            <w:r>
              <w:t xml:space="preserve">300 à 1 900 Md€</w:t>
            </w:r>
          </w:p>
        </w:tc>
      </w:tr>
      <w:tr>
        <w:tc>
          <w:tcPr/>
          <w:p>
            <w:pPr>
              <w:pStyle w:val="Compact"/>
              <w:jc w:val="left"/>
            </w:pPr>
            <w:r>
              <w:t xml:space="preserve">Horizon de détention</w:t>
            </w:r>
          </w:p>
        </w:tc>
        <w:tc>
          <w:tcPr/>
          <w:p>
            <w:pPr>
              <w:pStyle w:val="Compact"/>
              <w:jc w:val="left"/>
            </w:pPr>
            <w:r>
              <w:t xml:space="preserve">5 à 7 ans</w:t>
            </w:r>
          </w:p>
        </w:tc>
        <w:tc>
          <w:tcPr/>
          <w:p>
            <w:pPr>
              <w:pStyle w:val="Compact"/>
              <w:jc w:val="left"/>
            </w:pPr>
            <w:r>
              <w:t xml:space="preserve">20 à 50 ans</w:t>
            </w:r>
          </w:p>
        </w:tc>
      </w:tr>
      <w:tr>
        <w:tc>
          <w:tcPr/>
          <w:p>
            <w:pPr>
              <w:pStyle w:val="Compact"/>
              <w:jc w:val="left"/>
            </w:pPr>
            <w:r>
              <w:t xml:space="preserve">Coût implicite du capital</w:t>
            </w:r>
          </w:p>
        </w:tc>
        <w:tc>
          <w:tcPr/>
          <w:p>
            <w:pPr>
              <w:pStyle w:val="Compact"/>
              <w:jc w:val="left"/>
            </w:pPr>
            <w:r>
              <w:t xml:space="preserve">10 à 15 %</w:t>
            </w:r>
          </w:p>
        </w:tc>
        <w:tc>
          <w:tcPr/>
          <w:p>
            <w:pPr>
              <w:pStyle w:val="Compact"/>
              <w:jc w:val="left"/>
            </w:pPr>
            <w:r>
              <w:t xml:space="preserve">5 à 8 %</w:t>
            </w:r>
          </w:p>
        </w:tc>
      </w:tr>
      <w:tr>
        <w:tc>
          <w:tcPr/>
          <w:p>
            <w:pPr>
              <w:pStyle w:val="Compact"/>
              <w:jc w:val="left"/>
            </w:pPr>
            <w:r>
              <w:t xml:space="preserve">Frais de gestion</w:t>
            </w:r>
          </w:p>
        </w:tc>
        <w:tc>
          <w:tcPr/>
          <w:p>
            <w:pPr>
              <w:pStyle w:val="Compact"/>
              <w:jc w:val="left"/>
            </w:pPr>
            <w:r>
              <w:t xml:space="preserve">1,5 à 2,5 %</w:t>
            </w:r>
          </w:p>
        </w:tc>
        <w:tc>
          <w:tcPr/>
          <w:p>
            <w:pPr>
              <w:pStyle w:val="Compact"/>
              <w:jc w:val="left"/>
            </w:pPr>
            <w:r>
              <w:t xml:space="preserve">0,1 à 1 %</w:t>
            </w:r>
          </w:p>
        </w:tc>
      </w:tr>
      <w:tr>
        <w:tc>
          <w:tcPr/>
          <w:p>
            <w:pPr>
              <w:pStyle w:val="Compact"/>
              <w:jc w:val="left"/>
            </w:pPr>
            <w:r>
              <w:t xml:space="preserve">Capacité à payer le prix</w:t>
            </w:r>
          </w:p>
        </w:tc>
        <w:tc>
          <w:tcPr/>
          <w:p>
            <w:pPr>
              <w:pStyle w:val="Compact"/>
              <w:jc w:val="left"/>
            </w:pPr>
            <w:r>
              <w:t xml:space="preserve">3 à 4 × EBITDA</w:t>
            </w:r>
          </w:p>
        </w:tc>
        <w:tc>
          <w:tcPr/>
          <w:p>
            <w:pPr>
              <w:pStyle w:val="Compact"/>
              <w:jc w:val="left"/>
            </w:pPr>
            <w:r>
              <w:t xml:space="preserve">5 à 6 × EBITDA</w:t>
            </w:r>
          </w:p>
        </w:tc>
      </w:tr>
      <w:tr>
        <w:tc>
          <w:tcPr/>
          <w:p>
            <w:pPr>
              <w:pStyle w:val="Compact"/>
              <w:jc w:val="left"/>
            </w:pPr>
            <w:r>
              <w:t xml:space="preserve">Pression à la revente</w:t>
            </w:r>
          </w:p>
        </w:tc>
        <w:tc>
          <w:tcPr/>
          <w:p>
            <w:pPr>
              <w:pStyle w:val="Compact"/>
              <w:jc w:val="left"/>
            </w:pPr>
            <w:r>
              <w:t xml:space="preserve">Forte (obligation LP)</w:t>
            </w:r>
          </w:p>
        </w:tc>
        <w:tc>
          <w:tcPr/>
          <w:p>
            <w:pPr>
              <w:pStyle w:val="Compact"/>
              <w:jc w:val="left"/>
            </w:pPr>
            <w:r>
              <w:t xml:space="preserve">Faible (rente long terme)</w:t>
            </w:r>
          </w:p>
        </w:tc>
      </w:tr>
    </w:tbl>
    <w:p>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 un véhicule que la France n’a pas.</w:t>
      </w:r>
    </w:p>
    <w:bookmarkEnd w:id="220"/>
    <w:bookmarkStart w:id="237" w:name="le-hold-up-silencieux"/>
    <w:p>
      <w:pPr>
        <w:pStyle w:val="Heading3"/>
      </w:pPr>
      <w:r>
        <w:t xml:space="preserve">Le hold-up silencieux</w:t>
      </w:r>
    </w:p>
    <w:p>
      <w:pPr>
        <w:pStyle w:val="FirstParagraph"/>
      </w:pPr>
      <w:r>
        <w:t xml:space="preserve">Dix ans de cessions</w:t>
      </w:r>
    </w:p>
    <w:p>
      <w:pPr>
        <w:pStyle w:val="BodyText"/>
      </w:pPr>
      <w:r>
        <w:t xml:space="preserve">L’asymétrie ne reste pas théorique. Elle se traduit, opération par opération, en cessions très concrètes.</w:t>
      </w:r>
    </w:p>
    <w:p>
      <w:pPr>
        <w:pStyle w:val="BodyText"/>
      </w:pPr>
      <w:r>
        <w:rPr>
          <w:b/>
          <w:bCs/>
        </w:rPr>
        <w:t xml:space="preserve">Doliprane / Opella → Clayton, Dubilier &amp; Rice (octobre 2024, clôture 30 avril 2025).</w:t>
      </w:r>
      <w:r>
        <w:t xml:space="preserve"> </w:t>
      </w:r>
      <w:r>
        <w:t xml:space="preserve">Le cas le plus médiatisé, et celui qui ouvre cet ouvrage. Sanofi cède son pôle santé grand public à CD&amp;R pour une</w:t>
      </w:r>
      <w:r>
        <w:t xml:space="preserve"> </w:t>
      </w:r>
      <w:r>
        <w:rPr>
          <w:i/>
          <w:iCs/>
        </w:rPr>
        <w:t xml:space="preserve">enterprise value</w:t>
      </w:r>
      <w:r>
        <w:t xml:space="preserve"> </w:t>
      </w:r>
      <w:r>
        <w:t xml:space="preserve">de 16 milliards d’euros. Répartition finale : Sanofi 48,2 %, Bpifrance 1,8 %, CD&amp;R 50 % avec le contrôle effectif</w:t>
      </w:r>
      <w:r>
        <w:rPr>
          <w:rStyle w:val="FootnoteReference"/>
        </w:rPr>
        <w:footnoteReference w:id="221"/>
      </w:r>
      <w:r>
        <w:t xml:space="preserve">.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pPr>
        <w:pStyle w:val="BodyText"/>
      </w:pPr>
      <w:r>
        <w:rPr>
          <w:b/>
          <w:bCs/>
        </w:rPr>
        <w:t xml:space="preserve">Alstom Énergie → General Electric (2014-2015).</w:t>
      </w:r>
      <w:r>
        <w:t xml:space="preserve"> </w:t>
      </w:r>
      <w:r>
        <w:t xml:space="preserve">Le cas le plus emblématique. Le 22 avril 2014, GE annonce une offre sur la branche Énergie d’Alstom - turbines à gaz, turbines à vapeur, hydraulique, et surtout les turbines Arabelle qui équipent les centrales nucléaires d’EDF. Prix initial : 12,35 milliards d’euros. À la clôture, le 2 novembre 2015, le prix final encaissé après ajustements ressort à</w:t>
      </w:r>
      <w:r>
        <w:t xml:space="preserve"> </w:t>
      </w:r>
      <w:r>
        <w:rPr>
          <w:b/>
          <w:bCs/>
        </w:rPr>
        <w:t xml:space="preserve">9,7 milliards</w:t>
      </w:r>
      <w:r>
        <w:rPr>
          <w:rStyle w:val="FootnoteReference"/>
        </w:rPr>
        <w:footnoteReference w:id="222"/>
      </w:r>
      <w:r>
        <w:t xml:space="preserve">. Presque trois milliards de moins que ce qui avait été annoncé politiquement. À cela s’ajoute le contexte. Frédéric Pierucci, cadre dirigeant d’Alstom, est arrêté à JFK le 14 avril 2013, un an avant l’offre publique, sous procédure du</w:t>
      </w:r>
      <w:r>
        <w:t xml:space="preserve"> </w:t>
      </w:r>
      <w:r>
        <w:rPr>
          <w:i/>
          <w:iCs/>
        </w:rPr>
        <w:t xml:space="preserve">Department of Justice</w:t>
      </w:r>
      <w:r>
        <w:t xml:space="preserve">. Il restera incarcéré quatorze mois. Dans</w:t>
      </w:r>
      <w:r>
        <w:t xml:space="preserve"> </w:t>
      </w:r>
      <w:r>
        <w:rPr>
          <w:i/>
          <w:iCs/>
        </w:rPr>
        <w:t xml:space="preserve">Le piège américain</w:t>
      </w:r>
      <w:r>
        <w:t xml:space="preserve"> </w:t>
      </w:r>
      <w:r>
        <w:t xml:space="preserve">(JC Lattès, 2019), il décrit ce qu’il vit comme un instrument d’extraterritorialité juridique utilisé pour faire pression sur Alstom</w:t>
      </w:r>
      <w:r>
        <w:rPr>
          <w:rStyle w:val="FootnoteReference"/>
        </w:rPr>
        <w:footnoteReference w:id="223"/>
      </w:r>
      <w:r>
        <w:t xml:space="preserve">. La thèse est contestée ; les faits sont documentés. Dix ans plus tard, la France est devenue dépendante, pour les turbines nucléaires de ses propres réacteurs, d’un constructeur américain.</w:t>
      </w:r>
    </w:p>
    <w:p>
      <w:pPr>
        <w:pStyle w:val="BodyText"/>
      </w:pPr>
      <w:r>
        <w:rPr>
          <w:b/>
          <w:bCs/>
        </w:rPr>
        <w:t xml:space="preserve">Photonis → HLD (février 2021).</w:t>
      </w:r>
      <w:r>
        <w:t xml:space="preserve"> </w:t>
      </w:r>
      <w:r>
        <w:t xml:space="preserve">Photonis fabrique des tubes intensificateurs d’image -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224"/>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 mais on ne peut pas activer un veto à chaque transmission d’ETI.</w:t>
      </w:r>
    </w:p>
    <w:p>
      <w:pPr>
        <w:pStyle w:val="BodyText"/>
      </w:pPr>
      <w:r>
        <w:rPr>
          <w:b/>
          <w:bCs/>
        </w:rPr>
        <w:t xml:space="preserve">Latécoère → Searchlight Capital (juin 2019).</w:t>
      </w:r>
      <w:r>
        <w:t xml:space="preserve"> </w:t>
      </w:r>
      <w:r>
        <w:t xml:space="preserve">L’équipementier aéronautique toulousain, qui fournit Boeing, Airbus, Bombardier, passe sous contrôle d’un fonds de</w:t>
      </w:r>
      <w:r>
        <w:t xml:space="preserve"> </w:t>
      </w:r>
      <w:r>
        <w:rPr>
          <w:i/>
          <w:iCs/>
        </w:rPr>
        <w:t xml:space="preserve">private equity</w:t>
      </w:r>
      <w:r>
        <w:t xml:space="preserve"> </w:t>
      </w:r>
      <w:r>
        <w:t xml:space="preserve">américain. Searchlight acquiert en juin 2019 26,05 % du capital pour 106,8 millions de dollars</w:t>
      </w:r>
      <w:r>
        <w:rPr>
          <w:rStyle w:val="FootnoteReference"/>
        </w:rPr>
        <w:footnoteReference w:id="225"/>
      </w:r>
      <w:r>
        <w:t xml:space="preserve">. Une OPA suit, valorisant la totalité à 365 millions d’euros. Recapitalisation de 124,4 millions en novembre 2023, à l’issue de laquelle Searchlight passe à 86,9 %. Effectifs France passés de 2 800 à 2 100 entre 2019 et 2023 - une coupe de 25 %.</w:t>
      </w:r>
    </w:p>
    <w:p>
      <w:pPr>
        <w:pStyle w:val="BodyText"/>
      </w:pPr>
      <w:r>
        <w:rPr>
          <w:b/>
          <w:bCs/>
        </w:rPr>
        <w:t xml:space="preserve">Exxelia → Heico (juillet 2022, clôture janvier 2023).</w:t>
      </w:r>
      <w:r>
        <w:t xml:space="preserve"> </w:t>
      </w:r>
      <w:r>
        <w:t xml:space="preserve">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226"/>
      </w:r>
      <w:r>
        <w:t xml:space="preserve">. La France obtient une</w:t>
      </w:r>
      <w:r>
        <w:t xml:space="preserve"> </w:t>
      </w:r>
      <w:r>
        <w:rPr>
          <w:i/>
          <w:iCs/>
        </w:rPr>
        <w:t xml:space="preserve">golden share</w:t>
      </w:r>
      <w:r>
        <w:t xml:space="preserve"> </w:t>
      </w:r>
      <w:r>
        <w:t xml:space="preserve">négociée tardivement. Sur le papier, elle peut bloquer une décision stratégique ; dans les faits, ce qui n’aura pas été pré-positionné se négocie à l’unité, années après années. Le siège reste en France ; la direction stratégique est à Hollywood, Floride.</w:t>
      </w:r>
    </w:p>
    <w:p>
      <w:pPr>
        <w:pStyle w:val="BodyText"/>
      </w:pPr>
      <w:r>
        <w:t xml:space="preserve">À ces cinq cas s’ajoute une série d’opérations qui dessinent le même mouvement.</w:t>
      </w:r>
      <w:r>
        <w:t xml:space="preserve"> </w:t>
      </w:r>
      <w:r>
        <w:rPr>
          <w:b/>
          <w:bCs/>
        </w:rPr>
        <w:t xml:space="preserve">Lafarge-Holcim (2015)</w:t>
      </w:r>
      <w:r>
        <w:t xml:space="preserve"> </w:t>
      </w:r>
      <w:r>
        <w:t xml:space="preserve">: fusion avec le suisse Holcim, siège du groupe combiné délocalisé à Jona, effectifs français passés de 6 500 à moins de 5 500 en deux ans</w:t>
      </w:r>
      <w:r>
        <w:rPr>
          <w:rStyle w:val="FootnoteReference"/>
        </w:rPr>
        <w:footnoteReference w:id="227"/>
      </w:r>
      <w:r>
        <w:t xml:space="preserve">.</w:t>
      </w:r>
      <w:r>
        <w:t xml:space="preserve"> </w:t>
      </w:r>
      <w:r>
        <w:rPr>
          <w:b/>
          <w:bCs/>
        </w:rPr>
        <w:t xml:space="preserve">Technip-FMC (2016)</w:t>
      </w:r>
      <w:r>
        <w:t xml:space="preserve"> </w:t>
      </w:r>
      <w:r>
        <w:t xml:space="preserve">: fusion 50/50 avec l’américain FMC, cotation principale transférée au NYSE, siège opérationnel à Houston, effectifs français passés de plus de 5 000 à moins de 3 500 entre 2017 et 2021</w:t>
      </w:r>
      <w:r>
        <w:rPr>
          <w:rStyle w:val="FootnoteReference"/>
        </w:rPr>
        <w:footnoteReference w:id="228"/>
      </w:r>
      <w:r>
        <w:t xml:space="preserve">.</w:t>
      </w:r>
      <w:r>
        <w:t xml:space="preserve"> </w:t>
      </w:r>
      <w:r>
        <w:rPr>
          <w:b/>
          <w:bCs/>
        </w:rPr>
        <w:t xml:space="preserve">Servier-Agios (mars 2021)</w:t>
      </w:r>
      <w:r>
        <w:t xml:space="preserve"> </w:t>
      </w:r>
      <w:r>
        <w:t xml:space="preserve">: le contre-exemple. Servier, contrôlé par une fondation à but non lucratif, rachète à l’américain Agios son portefeuille d’oncologie pour 1,8 milliard de dollars</w:t>
      </w:r>
      <w:r>
        <w:rPr>
          <w:rStyle w:val="FootnoteReference"/>
        </w:rPr>
        <w:footnoteReference w:id="229"/>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w:t>
      </w:r>
      <w:r>
        <w:t xml:space="preserve"> </w:t>
      </w:r>
      <w:r>
        <w:rPr>
          <w:b/>
          <w:bCs/>
        </w:rPr>
        <w:t xml:space="preserve">Ingenico-Worldline (2020)</w:t>
      </w:r>
      <w:r>
        <w:t xml:space="preserve"> </w:t>
      </w:r>
      <w:r>
        <w:t xml:space="preserve">: Worldline rachète Ingenico pour 7,8 milliards d’euros</w:t>
      </w:r>
      <w:r>
        <w:rPr>
          <w:rStyle w:val="FootnoteReference"/>
        </w:rPr>
        <w:footnoteReference w:id="230"/>
      </w:r>
      <w:r>
        <w:t xml:space="preserve">, en théorie la fusion des deux champions français du paiement. Dans les faits, l’ensemble se retrouve surendetté, le cours s’effondre en 2023, des fonds activistes américains entrent au capital. La leçon : créer un champion sans capital long terme pour l’accompagner, c’est créer une cible.</w:t>
      </w:r>
      <w:r>
        <w:t xml:space="preserve"> </w:t>
      </w:r>
      <w:r>
        <w:rPr>
          <w:b/>
          <w:bCs/>
        </w:rPr>
        <w:t xml:space="preserve">SoLocal (2004-2024)</w:t>
      </w:r>
      <w:r>
        <w:t xml:space="preserve"> </w:t>
      </w:r>
      <w:r>
        <w:t xml:space="preserve">: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w:t>
      </w:r>
      <w:r>
        <w:t xml:space="preserve"> </w:t>
      </w:r>
      <w:r>
        <w:rPr>
          <w:b/>
          <w:bCs/>
        </w:rPr>
        <w:t xml:space="preserve">85 milliards d’euros</w:t>
      </w:r>
      <w:r>
        <w:t xml:space="preserve">. En ajoutant la moitié française d’Opella, on dépasse les</w:t>
      </w:r>
      <w:r>
        <w:t xml:space="preserve"> </w:t>
      </w:r>
      <w:r>
        <w:rPr>
          <w:b/>
          <w:bCs/>
        </w:rPr>
        <w:t xml:space="preserve">quatre-vingt-dix milliards</w:t>
      </w:r>
      <w:r>
        <w:t xml:space="preserve">. Sur dix ans, c’est l’équivalent d’un budget de la Défense par décennie qui sort du périmètre français.</w:t>
      </w:r>
    </w:p>
    <w:p>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231"/>
      </w:r>
      <w:r>
        <w:t xml:space="preserve">. Les fournisseurs et les talents, enfin : les acheteurs du groupe acquéreur préfèrent les fournisseurs qu’ils connaissent, et les meilleurs ingénieurs s’expatrient vers le siège avec un savoir-faire que l’écosystème français a mis des années à former.</w:t>
      </w:r>
    </w:p>
    <w:p>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w:t>
      </w:r>
      <w:r>
        <w:t xml:space="preserve"> </w:t>
      </w:r>
      <w:r>
        <w:rPr>
          <w:i/>
          <w:iCs/>
        </w:rPr>
        <w:t xml:space="preserve">hollowing out</w:t>
      </w:r>
      <w:r>
        <w:t xml:space="preserve"> </w:t>
      </w:r>
      <w:r>
        <w:t xml:space="preserve">- le creusement de l’intérieur. La coque reste, l’intérieur s’évide. Garder l’enseigne ne suffit pas à garder l’économie.</w:t>
      </w:r>
    </w:p>
    <w:p>
      <w:pPr>
        <w:pStyle w:val="BodyText"/>
      </w:pPr>
      <w:r>
        <w:t xml:space="preserve">36 milliards de dividendes vers l’étranger</w:t>
      </w:r>
    </w:p>
    <w:p>
      <w:pPr>
        <w:pStyle w:val="BodyText"/>
      </w:pPr>
      <w:r>
        <w:t xml:space="preserve">On peut, pour finir de mesurer le hold-up, sortir de la transmission d’ETI et regarder les grands. Le CAC 40 a versé en 2024 un montant record de</w:t>
      </w:r>
      <w:r>
        <w:t xml:space="preserve"> </w:t>
      </w:r>
      <w:r>
        <w:rPr>
          <w:b/>
          <w:bCs/>
        </w:rPr>
        <w:t xml:space="preserve">72,8 milliards d’euros de dividendes</w:t>
      </w:r>
      <w:r>
        <w:t xml:space="preserve">, en hausse de 8,5 %. Si l’on ajoute les rachats d’actions, le retour total à l’actionnaire atteint 98,2 milliards</w:t>
      </w:r>
      <w:r>
        <w:rPr>
          <w:rStyle w:val="FootnoteReference"/>
        </w:rPr>
        <w:footnoteReference w:id="232"/>
      </w:r>
      <w:r>
        <w:t xml:space="preserve">. TotalEnergies a versé à elle seule 14,6 milliards. LVMH 6,9. Stellantis 6,7. Ces chiffres sont des montants effectivement décaissés, ligne après ligne.</w:t>
      </w:r>
    </w:p>
    <w:p>
      <w:pPr>
        <w:pStyle w:val="BodyText"/>
      </w:pPr>
      <w:r>
        <w:t xml:space="preserve">Or, à fin 2024,</w:t>
      </w:r>
      <w:r>
        <w:t xml:space="preserve"> </w:t>
      </w:r>
      <w:r>
        <w:rPr>
          <w:b/>
          <w:bCs/>
        </w:rPr>
        <w:t xml:space="preserve">50 % du capital des trente-cinq plus grandes sociétés du CAC 40 sont détenus par des investisseurs non-résidents</w:t>
      </w:r>
      <w:r>
        <w:rPr>
          <w:rStyle w:val="FootnoteReference"/>
        </w:rPr>
        <w:footnoteReference w:id="233"/>
      </w:r>
      <w:r>
        <w:t xml:space="preserve">. La capitalisation totale concernée s’élève à 2 165 milliards d’euros ; 1 083 milliards sont donc détenus depuis l’étranger. Dix-neuf de ces trente-cinq sociétés sont contrôlées à plus de 50 % par des non-résidents.</w:t>
      </w:r>
    </w:p>
    <w:p>
      <w:pPr>
        <w:pStyle w:val="BodyText"/>
      </w:pPr>
      <w:r>
        <w:t xml:space="preserve">L’arithmétique est cruelle. 50 % × 72,8 Md€ =</w:t>
      </w:r>
      <w:r>
        <w:t xml:space="preserve"> </w:t>
      </w:r>
      <w:r>
        <w:rPr>
          <w:b/>
          <w:bCs/>
        </w:rPr>
        <w:t xml:space="preserve">36,4 milliards d’euros</w:t>
      </w:r>
      <w:r>
        <w:t xml:space="preserve"> </w:t>
      </w:r>
      <w:r>
        <w:t xml:space="preserve">de dividendes qui ont quitté la France en 2024. L’équivalent du budget annuel du ministère de l’Éducation nationale, ou presque. Par habitant, 535 euros qui partent chaque année à l’étranger.</w:t>
      </w:r>
    </w:p>
    <w:p>
      <w:pPr>
        <w:pStyle w:val="BodyText"/>
      </w:pPr>
      <w:r>
        <w:t xml:space="preserve">D’où viennent ces non-résidents ? 92 % investissent en portefeuille (fonds, ETF, gestion passive). Par zone : 40 % zone euro, 34 % États-Unis, 26 % reste du monde</w:t>
      </w:r>
      <w:r>
        <w:rPr>
          <w:rStyle w:val="FootnoteReference"/>
        </w:rPr>
        <w:footnoteReference w:id="234"/>
      </w:r>
      <w:r>
        <w:t xml:space="preserve">. Les noms reviennent : BlackRock pesait environ 2,1 % de l’indice CAC 40 en 2020, Vanguard 2,0 %, State Street autour de 1,5 %</w:t>
      </w:r>
      <w:r>
        <w:rPr>
          <w:rStyle w:val="FootnoteReference"/>
        </w:rPr>
        <w:footnoteReference w:id="235"/>
      </w:r>
      <w:r>
        <w:t xml:space="preserve">.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pPr>
        <w:pStyle w:val="BodyText"/>
      </w:pPr>
      <w:r>
        <w:t xml:space="preserve">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pPr>
        <w:pStyle w:val="BlockText"/>
      </w:pPr>
      <w:r>
        <w:rPr>
          <w:b/>
          <w:bCs/>
        </w:rPr>
        <w:t xml:space="preserve">Calcul Où Va l’Argent.</w:t>
      </w:r>
      <w:r>
        <w:t xml:space="preserve"> </w:t>
      </w:r>
      <w:r>
        <w:t xml:space="preserve">La fuite cumulée sur dix ans.</w:t>
      </w:r>
    </w:p>
    <w:p>
      <w:pPr>
        <w:pStyle w:val="BlockText"/>
      </w:pPr>
      <w:r>
        <w:t xml:space="preserve">En 2024 : 36,4 Md€ partis à l’étranger.</w:t>
      </w:r>
      <w:r>
        <w:br/>
      </w:r>
      <w:r>
        <w:t xml:space="preserve">En appliquant la croissance moyenne des dividendes du CAC 40 (environ 6 % nominal annualisé sur la décennie écoulée) et en faisant l’hypothèse d’une détention non-résidente stable à 50 %, le flux annuel atteindrait, en 2034, autour de</w:t>
      </w:r>
      <w:r>
        <w:t xml:space="preserve"> </w:t>
      </w:r>
      <w:r>
        <w:rPr>
          <w:b/>
          <w:bCs/>
        </w:rPr>
        <w:t xml:space="preserve">65 Md€</w:t>
      </w:r>
      <w:r>
        <w:t xml:space="preserve">.</w:t>
      </w:r>
    </w:p>
    <w:p>
      <w:pPr>
        <w:pStyle w:val="BlockText"/>
      </w:pPr>
      <w:r>
        <w:t xml:space="preserve">Sur la décennie 2024-2034, le total cumulé des dividendes partis à l’étranger devrait dépasser</w:t>
      </w:r>
      <w:r>
        <w:t xml:space="preserve"> </w:t>
      </w:r>
      <w:r>
        <w:rPr>
          <w:b/>
          <w:bCs/>
        </w:rPr>
        <w:t xml:space="preserve">500 milliards d’euros</w:t>
      </w:r>
      <w:r>
        <w:rPr>
          <w:rStyle w:val="FootnoteReference"/>
        </w:rPr>
        <w:footnoteReference w:id="236"/>
      </w:r>
      <w:r>
        <w:t xml:space="preserve">.</w:t>
      </w:r>
    </w:p>
    <w:p>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 en partie, comme les Norvégiens, les Néerlandais et les Canadiens - dans leurs propres entreprises nationales. Les non-résidents continueraient à investir, mais leur part relative serait plus faible, et le flux de dividendes vers l’étranger le serait dans la même proportion.</w:t>
      </w:r>
    </w:p>
    <w:bookmarkEnd w:id="237"/>
    <w:bookmarkEnd w:id="238"/>
    <w:bookmarkStart w:id="258" w:name="si-la-france-avait-des-fonds-de-pension"/>
    <w:p>
      <w:pPr>
        <w:pStyle w:val="Heading2"/>
      </w:pPr>
      <w:r>
        <w:t xml:space="preserve">Si la France avait des fonds de pension</w:t>
      </w:r>
    </w:p>
    <w:p>
      <w:pPr>
        <w:pStyle w:val="FirstParagraph"/>
      </w:pPr>
      <w:r>
        <w:t xml:space="preserve">Imaginons, pour finir, ce qui se passerait si la France avait des fonds de pension de taille comparable à ceux de ses voisins. Pas une utopie ; un calcul.</w:t>
      </w:r>
    </w:p>
    <w:p>
      <w:pPr>
        <w:pStyle w:val="BodyText"/>
      </w:pPr>
      <w:r>
        <w:t xml:space="preserve">D’où viendraient ces 1 500 milliards ? Ils ne tomberaient pas du ciel. Ils viendraient des cotisations retraite des Français eux-mêmes. Chaque mois, une part du salaire - quelques points du brut, comme en Suède (2,5 % sur la</w:t>
      </w:r>
      <w:r>
        <w:t xml:space="preserve"> </w:t>
      </w:r>
      <w:r>
        <w:rPr>
          <w:i/>
          <w:iCs/>
        </w:rPr>
        <w:t xml:space="preserve">Premiepension</w:t>
      </w:r>
      <w:r>
        <w:t xml:space="preserve">) ou en Australie (12 % sur la</w:t>
      </w:r>
      <w:r>
        <w:t xml:space="preserve"> </w:t>
      </w:r>
      <w:r>
        <w:rPr>
          <w:i/>
          <w:iCs/>
        </w:rPr>
        <w:t xml:space="preserve">Superannuation Guarantee</w:t>
      </w:r>
      <w:r>
        <w:t xml:space="preserve">) - ne partirait plus immédiatement vers un retraité actuel, mais s’accumulerait dans un fonds, qui l’investirait dans un portefeuille diversifié. Et parce qu’un fonds de pension français ferait, comme tous ses homologues, du</w:t>
      </w:r>
      <w:r>
        <w:t xml:space="preserve"> </w:t>
      </w:r>
      <w:r>
        <w:rPr>
          <w:i/>
          <w:iCs/>
        </w:rPr>
        <w:t xml:space="preserve">home bias</w:t>
      </w:r>
      <w:r>
        <w:t xml:space="preserve">, vingt à trente pour cent de ses actifs reviendraient sur le marché français. Le salarié cotise une fois, et son argent fait</w:t>
      </w:r>
      <w:r>
        <w:t xml:space="preserve"> </w:t>
      </w:r>
      <w:r>
        <w:rPr>
          <w:b/>
          <w:bCs/>
        </w:rPr>
        <w:t xml:space="preserve">deux choses à la fois</w:t>
      </w:r>
      <w:r>
        <w:t xml:space="preserve"> </w:t>
      </w:r>
      <w:r>
        <w:t xml:space="preserve">: il prépare sa retraite, et il devient - pour la première fois - actionnaire des entreprises de son pays.</w:t>
      </w:r>
    </w:p>
    <w:p>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domestique</w:t>
      </w:r>
      <w:r>
        <w:rPr>
          <w:rStyle w:val="FootnoteReference"/>
        </w:rPr>
        <w:footnoteReference w:id="239"/>
      </w:r>
      <w:r>
        <w:t xml:space="preserve">.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 un volume supérieur à la totalité du capital-investissement français actuel.</w:t>
      </w:r>
    </w:p>
    <w:p>
      <w:pPr>
        <w:pStyle w:val="BodyText"/>
      </w:pPr>
      <w:r>
        <w:t xml:space="preserve">Pour atteindre 50 % du PIB en actifs de fonds de pension, soit la position approximative du Canada à mi-parcours, la France aurait besoin d’environ</w:t>
      </w:r>
      <w:r>
        <w:t xml:space="preserve"> </w:t>
      </w:r>
      <w:r>
        <w:rPr>
          <w:b/>
          <w:bCs/>
        </w:rPr>
        <w:t xml:space="preserve">1 500 milliards d’euros</w:t>
      </w:r>
      <w:r>
        <w:t xml:space="preserve"> </w:t>
      </w:r>
      <w:r>
        <w:t xml:space="preserve">sous gestion</w:t>
      </w:r>
      <w:r>
        <w:rPr>
          <w:rStyle w:val="FootnoteReference"/>
        </w:rPr>
        <w:footnoteReference w:id="240"/>
      </w:r>
      <w:r>
        <w:t xml:space="preserve">.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pPr>
        <w:pStyle w:val="BodyText"/>
      </w:pPr>
      <w:r>
        <w:t xml:space="preserve">Allouons ces 1 500 milliards selon le profil d’un fonds de pension standard : 50 % en actions cotées internationales, dont une part «</w:t>
      </w:r>
      <w:r>
        <w:t xml:space="preserve"> </w:t>
      </w:r>
      <w:r>
        <w:rPr>
          <w:i/>
          <w:iCs/>
        </w:rPr>
        <w:t xml:space="preserve">home bias</w:t>
      </w:r>
      <w:r>
        <w:t xml:space="preserve"> </w:t>
      </w:r>
      <w:r>
        <w:t xml:space="preserve">» de 30-40 % en France et en Europe, 25 % en obligations, 15 % en actifs alternatifs (capital-investissement, infrastructures, immobilier), 10 % en liquidités et autres. Cela donne :</w:t>
      </w:r>
    </w:p>
    <w:p>
      <w:pPr>
        <w:pStyle w:val="Compact"/>
        <w:numPr>
          <w:ilvl w:val="0"/>
          <w:numId w:val="1002"/>
        </w:numPr>
      </w:pPr>
      <w:r>
        <w:rPr>
          <w:b/>
          <w:bCs/>
        </w:rPr>
        <w:t xml:space="preserve">300 à 400 milliards d’euros</w:t>
      </w:r>
      <w:r>
        <w:t xml:space="preserve"> </w:t>
      </w:r>
      <w:r>
        <w:t xml:space="preserve">investis directement dans le CAC 40 et le SBF 120, soit 14 à 18 % du capital total des grandes capitalisations françaises. Cette substitution ferait passer la détention non-résidente de 50 % à environ 32-36 %.</w:t>
      </w:r>
    </w:p>
    <w:p>
      <w:pPr>
        <w:pStyle w:val="Compact"/>
        <w:numPr>
          <w:ilvl w:val="0"/>
          <w:numId w:val="1002"/>
        </w:numPr>
      </w:pPr>
      <w:r>
        <w:rPr>
          <w:b/>
          <w:bCs/>
        </w:rPr>
        <w:t xml:space="preserve">75 à 100 milliards d’euros</w:t>
      </w:r>
      <w:r>
        <w:t xml:space="preserve"> </w:t>
      </w:r>
      <w:r>
        <w:t xml:space="preserve">orientés vers le capital-investissement et les ETI françaises, soit trois à quatre années d’activité du capital-investissement français actuel concentrées sur le seul marché domestique.</w:t>
      </w:r>
    </w:p>
    <w:p>
      <w:pPr>
        <w:pStyle w:val="Compact"/>
        <w:numPr>
          <w:ilvl w:val="0"/>
          <w:numId w:val="1002"/>
        </w:numPr>
      </w:pPr>
      <w:r>
        <w:rPr>
          <w:b/>
          <w:bCs/>
        </w:rPr>
        <w:t xml:space="preserve">50 à 75 milliards d’euros</w:t>
      </w:r>
      <w:r>
        <w:t xml:space="preserve"> </w:t>
      </w:r>
      <w:r>
        <w:t xml:space="preserve">dans les infrastructures domestiques (énergie, transport, logement social, transition climatique).</w:t>
      </w:r>
    </w:p>
    <w:p>
      <w:pPr>
        <w:pStyle w:val="FirstParagraph"/>
      </w:pPr>
      <w:r>
        <w:t xml:space="preserve">Sur le flux de dividendes : 36,4 Md€ × 30 % = environ</w:t>
      </w:r>
      <w:r>
        <w:t xml:space="preserve"> </w:t>
      </w:r>
      <w:r>
        <w:rPr>
          <w:b/>
          <w:bCs/>
        </w:rPr>
        <w:t xml:space="preserve">15 milliards d’euros par an</w:t>
      </w:r>
      <w:r>
        <w:t xml:space="preserve"> </w:t>
      </w:r>
      <w:r>
        <w:t xml:space="preserve">retenus en France au lieu de partir à l’étranger. Cumulé sur dix ans, plus de 200 milliards qui financeraient des retraites françaises au lieu de retraites étrangères</w:t>
      </w:r>
      <w:r>
        <w:rPr>
          <w:rStyle w:val="FootnoteReference"/>
        </w:rPr>
        <w:footnoteReference w:id="241"/>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 parce qu’on aurait, enfin, le même horizon de temps et le même coût implicite du capital qu’eux. Sur la décennie 2025-2035, 1 000 à 2 000 ETI françaises qui pourraient rester sous capital national.</w:t>
      </w:r>
    </w:p>
    <w:p>
      <w:pPr>
        <w:pStyle w:val="BodyText"/>
      </w:pPr>
      <w:r>
        <w:t xml:space="preserve">Trois cas étrangers illustrent ce que peut faire un fonds de pension quand il décide de jouer ce rôle.</w:t>
      </w:r>
    </w:p>
    <w:p>
      <w:pPr>
        <w:pStyle w:val="BodyText"/>
      </w:pPr>
      <w:r>
        <w:rPr>
          <w:b/>
          <w:bCs/>
        </w:rPr>
        <w:t xml:space="preserve">CDPQ-Bombardier Transport (2015-2021).</w:t>
      </w:r>
      <w:r>
        <w:t xml:space="preserve"> </w:t>
      </w:r>
      <w:r>
        <w:t xml:space="preserve">En novembre 2015, la Caisse de dépôt et placement du Québec acquiert 30 % de la holding logée derrière Bombardier Transport pour 1,5 milliard de dollars américains</w:t>
      </w:r>
      <w:r>
        <w:rPr>
          <w:rStyle w:val="FootnoteReference"/>
        </w:rPr>
        <w:footnoteReference w:id="242"/>
      </w:r>
      <w:r>
        <w:t xml:space="preserve">.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pPr>
        <w:pStyle w:val="BodyText"/>
      </w:pPr>
      <w:r>
        <w:rPr>
          <w:b/>
          <w:bCs/>
        </w:rPr>
        <w:t xml:space="preserve">ABP-impact investments (2024).</w:t>
      </w:r>
      <w:r>
        <w:t xml:space="preserve"> </w:t>
      </w:r>
      <w:r>
        <w:t xml:space="preserve">En 2024, ABP annonce un plan d’investissements à impact de 30 milliards d’euros à horizon 2030</w:t>
      </w:r>
      <w:r>
        <w:rPr>
          <w:rStyle w:val="FootnoteReference"/>
        </w:rPr>
        <w:footnoteReference w:id="243"/>
      </w:r>
      <w:r>
        <w:t xml:space="preserve">. Une partie significative - estimée à 5 milliards dans les logements locatifs sociaux néerlandais, plusieurs milliards dans la transition énergétique domestique -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sont les caisses néerlandaises, canadiennes et australiennes qui financent ces projets. Demain, des caisses françaises pourraient le faire à leur place.</w:t>
      </w:r>
    </w:p>
    <w:p>
      <w:pPr>
        <w:pStyle w:val="BodyText"/>
      </w:pPr>
      <w:r>
        <w:rPr>
          <w:b/>
          <w:bCs/>
        </w:rPr>
        <w:t xml:space="preserve">USS-Heathrow (2013-2024).</w:t>
      </w:r>
      <w:r>
        <w:t xml:space="preserve"> </w:t>
      </w:r>
      <w:r>
        <w:t xml:space="preserve">En octobre 2013, l’</w:t>
      </w:r>
      <w:r>
        <w:rPr>
          <w:i/>
          <w:iCs/>
        </w:rPr>
        <w:t xml:space="preserve">Universities Superannuation Scheme</w:t>
      </w:r>
      <w:r>
        <w:t xml:space="preserve">, fonds de pension des universités britanniques, acquiert 8,65 % de la holding qui contrôle l’aéroport de Heathrow pour 392 millions de livres sterling</w:t>
      </w:r>
      <w:r>
        <w:rPr>
          <w:rStyle w:val="FootnoteReference"/>
        </w:rPr>
        <w:footnoteReference w:id="244"/>
      </w:r>
      <w:r>
        <w:t xml:space="preserve">.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pPr>
        <w:pStyle w:val="BodyText"/>
      </w:pPr>
      <w:r>
        <w:t xml:space="preserve">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 financement des retraites et financement des entreprises -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pPr>
        <w:pStyle w:val="BodyText"/>
      </w:pPr>
      <w:r>
        <w:t xml:space="preserve">Pour rendre tout cela tangible, sortons un instant des chiffres et entrons dans un cas-type. Bernard, comme les autres personnages incarnés dans ce livre, est un</w:t>
      </w:r>
      <w:r>
        <w:t xml:space="preserve"> </w:t>
      </w:r>
      <w:r>
        <w:rPr>
          <w:b/>
          <w:bCs/>
        </w:rPr>
        <w:t xml:space="preserve">personnage composite</w:t>
      </w:r>
      <w:r>
        <w:t xml:space="preserve"> </w:t>
      </w:r>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245"/>
      </w:r>
      <w:r>
        <w:t xml:space="preserve">.</w:t>
      </w:r>
    </w:p>
    <w:p>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rentable, en croissance modérée. Elle livre des pièces critiques à des sous-traitants de l’aéronautique civile et du nucléaire.</w:t>
      </w:r>
    </w:p>
    <w:p>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 un</w:t>
      </w:r>
      <w:r>
        <w:t xml:space="preserve"> </w:t>
      </w:r>
      <w:r>
        <w:rPr>
          <w:i/>
          <w:iCs/>
        </w:rPr>
        <w:t xml:space="preserve">leveraged management buy-out</w:t>
      </w:r>
      <w:r>
        <w:t xml:space="preserve"> </w:t>
      </w:r>
      <w:r>
        <w:t xml:space="preserve">l’asphyxierait. Bernard n’a, à ce stade, ni repreneur familial ni repreneur salarié possible.</w:t>
      </w:r>
    </w:p>
    <w:p>
      <w:pPr>
        <w:pStyle w:val="BodyText"/>
      </w:pPr>
      <w:r>
        <w:t xml:space="preserve">Trois pistes restent ouvertes. Bernard a une banque d’affaires régionale, qui lui fait depuis six mois un</w:t>
      </w:r>
      <w:r>
        <w:t xml:space="preserve"> </w:t>
      </w:r>
      <w:r>
        <w:rPr>
          <w:i/>
          <w:iCs/>
        </w:rPr>
        <w:t xml:space="preserve">short-list</w:t>
      </w:r>
      <w:r>
        <w:t xml:space="preserve"> </w:t>
      </w:r>
      <w:r>
        <w:t xml:space="preserve">d’acquéreurs potentiels.</w:t>
      </w:r>
    </w:p>
    <w:p>
      <w:pPr>
        <w:pStyle w:val="BodyText"/>
      </w:pPr>
      <w:r>
        <w:rPr>
          <w:b/>
          <w:bCs/>
        </w:rPr>
        <w:t xml:space="preserve">Première piste : un fonds d’investissement français de taille moyenne.</w:t>
      </w:r>
      <w:r>
        <w:t xml:space="preserve"> </w:t>
      </w:r>
      <w:r>
        <w:t xml:space="preserve">Bernard a rencontré deux acteurs. Tous deux proposent</w:t>
      </w:r>
      <w:r>
        <w:t xml:space="preserve"> </w:t>
      </w:r>
      <w:r>
        <w:rPr>
          <w:b/>
          <w:bCs/>
        </w:rPr>
        <w:t xml:space="preserve">30 millions d’euros</w:t>
      </w:r>
      <w:r>
        <w:t xml:space="preserve">,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pPr>
        <w:pStyle w:val="BodyText"/>
      </w:pPr>
      <w:r>
        <w:rPr>
          <w:b/>
          <w:bCs/>
        </w:rPr>
        <w:t xml:space="preserve">Deuxième piste : un industriel américain, leader mondial de son segment.</w:t>
      </w:r>
      <w:r>
        <w:t xml:space="preserve"> </w:t>
      </w:r>
      <w:r>
        <w:t xml:space="preserve">Il propose</w:t>
      </w:r>
      <w:r>
        <w:t xml:space="preserve"> </w:t>
      </w:r>
      <w:r>
        <w:rPr>
          <w:b/>
          <w:bCs/>
        </w:rPr>
        <w:t xml:space="preserve">42 millions d’euros</w:t>
      </w:r>
      <w:r>
        <w:t xml:space="preserve">, soit sept fois l’EBITDA - 40 %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pPr>
        <w:pStyle w:val="BodyText"/>
      </w:pPr>
      <w:r>
        <w:rPr>
          <w:b/>
          <w:bCs/>
        </w:rPr>
        <w:t xml:space="preserve">Troisième piste : un fonds de pension étranger, néerlandais ou canadien.</w:t>
      </w:r>
      <w:r>
        <w:t xml:space="preserve"> </w:t>
      </w:r>
      <w:r>
        <w:t xml:space="preserve">Prix proposé :</w:t>
      </w:r>
      <w:r>
        <w:t xml:space="preserve"> </w:t>
      </w:r>
      <w:r>
        <w:rPr>
          <w:b/>
          <w:bCs/>
        </w:rPr>
        <w:t xml:space="preserve">45 millions d’euros</w:t>
      </w:r>
      <w:r>
        <w:t xml:space="preserve">,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pPr>
        <w:pStyle w:val="BodyText"/>
      </w:pPr>
      <w:r>
        <w:t xml:space="preserve">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pPr>
        <w:pStyle w:val="BodyText"/>
      </w:pPr>
      <w:r>
        <w:t xml:space="preserve">Ce n’est pas un cas isolé. C’est la conversation qui se tient, en ce moment même, dans plusieurs centaines de bureaux de dirigeants entre 55 et 65 ans, dans toute la France. Ce que Bernard cherche, c’est un acheteur français pour son entreprise. Ce qu’il ne trouve pas, c’est un fonds de pension français.</w:t>
      </w:r>
    </w:p>
    <w:p>
      <w:pPr>
        <w:pStyle w:val="BodyText"/>
      </w:pPr>
      <w:r>
        <w:t xml:space="preserve">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pPr>
        <w:pStyle w:val="BodyText"/>
      </w:pPr>
      <w:r>
        <w:t xml:space="preserve">Une décision politique, pas une fatalité</w:t>
      </w:r>
    </w:p>
    <w:p>
      <w:pPr>
        <w:pStyle w:val="BodyText"/>
      </w:pPr>
      <w:r>
        <w:t xml:space="preserve">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pPr>
        <w:pStyle w:val="BodyText"/>
      </w:pPr>
      <w:r>
        <w:t xml:space="preserve">Dans le même temps, la France entre dans une fenêtre démographique de transmissions massives - 370 000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 celui de n’avoir pas, depuis 1945, construit l’outil qui aurait permis de l’éviter. Cet outil porte un nom : des fonds de pension français. Pas une option parmi d’autres. Une nécessité.</w:t>
      </w:r>
    </w:p>
    <w:p>
      <w:pPr>
        <w:pStyle w:val="BodyText"/>
      </w:pPr>
      <w:r>
        <w:t xml:space="preserve">Les trois chapitres qui précèdent forment alors une seule démonstration. Le premier a établi que la répartition pure ne tient plus -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 les retraites au ministère du Travail, l’industrie à Bercy, la souveraineté à Matignon - et qui n’appellent qu’une seule réponse. Il n’y a pas un dossier des pensions et un dossier du capital national : il y a un dossier unique, et nous avons refusé pendant quatre-vingts ans de l’ouvrir.</w:t>
      </w:r>
    </w:p>
    <w:p>
      <w:pPr>
        <w:pStyle w:val="BodyText"/>
      </w:pPr>
      <w:r>
        <w:t xml:space="preserve">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bookmarkStart w:id="253" w:name="X32db077dce8bd75b65dd3a4ef774cb57e64e13f"/>
    <w:p>
      <w:pPr>
        <w:pStyle w:val="Heading3"/>
      </w:pPr>
      <w:r>
        <w:t xml:space="preserve">Alléger les dépenses publiques de retraite</w:t>
      </w:r>
    </w:p>
    <w:p>
      <w:pPr>
        <w:pStyle w:val="FirstParagraph"/>
      </w:pPr>
      <w:r>
        <w:t xml:space="preserve">La France consacre aujourd’hui 13,8 % de son produit intérieur brut au financement des pensions</w:t>
      </w:r>
      <w:r>
        <w:rPr>
          <w:rStyle w:val="FootnoteReference"/>
        </w:rPr>
        <w:footnoteReference w:id="246"/>
      </w:r>
      <w:r>
        <w:t xml:space="preserve">. C’est le quatrième taux de l’OCDE, derrière la Grèce, l’Italie et l’Autriche. La moyenne des pays développés est à 8,1 %. Les Pays-Bas, à 7,2 %. La Suède, à 7,2 % également. Le Danemark, à 8,2 %. Le Canada, à 4,7 %.</w:t>
      </w:r>
    </w:p>
    <w:p>
      <w:pPr>
        <w:pStyle w:val="BodyText"/>
      </w:pPr>
      <w:r>
        <w:t xml:space="preserve">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t>
      </w:r>
    </w:p>
    <w:p>
      <w:pPr>
        <w:pStyle w:val="BodyText"/>
      </w:pPr>
      <w:r>
        <w:t xml:space="preserve">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t>
      </w:r>
      <w:r>
        <w:rPr>
          <w:rStyle w:val="FootnoteReference"/>
        </w:rPr>
        <w:footnoteReference w:id="247"/>
      </w:r>
      <w:r>
        <w:t xml:space="preserve">. Cette économie ne disparaît pas : elle n’est plus financée par les actifs et par l’impôt. Elle est financée par le capital qui a produit du rendement pendant trente ou quarante ans.</w:t>
      </w:r>
    </w:p>
    <w:p>
      <w:pPr>
        <w:pStyle w:val="BodyText"/>
      </w:pPr>
      <w:r>
        <w:t xml:space="preserve">C’est exactement ce qu’a fait la Suède en vingt-cinq ans. Sa dépense publique de retraite, après la réforme de 1998, est passée de 11 % à 7 % du PIB</w:t>
      </w:r>
      <w:r>
        <w:rPr>
          <w:rStyle w:val="FootnoteReference"/>
        </w:rPr>
        <w:footnoteReference w:id="248"/>
      </w:r>
      <w:r>
        <w:t xml:space="preserve">. Personne, en Suède, ne s’est appauvri. Personne n’a vu sa pension baisser. Le capital a simplement pris le relais d’une part de l’effort que l’État portait seul auparavant.</w:t>
      </w:r>
    </w:p>
    <w:bookmarkStart w:id="250" w:name="les-recettes-fiscales-augmentent"/>
    <w:p>
      <w:pPr>
        <w:pStyle w:val="Heading4"/>
      </w:pPr>
      <w:r>
        <w:t xml:space="preserve">Les recettes fiscales augmentent</w:t>
      </w:r>
    </w:p>
    <w:p>
      <w:pPr>
        <w:pStyle w:val="FirstParagraph"/>
      </w:pPr>
      <w:r>
        <w:t xml:space="preserve">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t>
      </w:r>
    </w:p>
    <w:p>
      <w:pPr>
        <w:pStyle w:val="BodyText"/>
      </w:pPr>
      <w:r>
        <w:t xml:space="preserve">Trois canaux principaux nourrissent l’effet.</w:t>
      </w:r>
      <w:r>
        <w:t xml:space="preserve"> </w:t>
      </w:r>
      <w:r>
        <w:rPr>
          <w:b/>
          <w:bCs/>
        </w:rPr>
        <w:t xml:space="preserve">L’impôt sur les sociétés</w:t>
      </w:r>
      <w:r>
        <w:t xml:space="preserve"> </w:t>
      </w:r>
      <w:r>
        <w:t xml:space="preserve">d’abord : les entreprises financées par les fonds de pension domestiques voient leurs marges et leur capacité d’investissement progresser, ce qui se traduit, à l’arrivée, par un impôt sur les bénéfices plus important.</w:t>
      </w:r>
      <w:r>
        <w:t xml:space="preserve"> </w:t>
      </w:r>
      <w:r>
        <w:rPr>
          <w:b/>
          <w:bCs/>
        </w:rPr>
        <w:t xml:space="preserve">La TVA</w:t>
      </w:r>
      <w:r>
        <w:t xml:space="preserve"> </w:t>
      </w:r>
      <w:r>
        <w:t xml:space="preserve">ensuite : les retraités du pilier capitalisé touchent des pensions plus élevées et consomment davantage que leurs équivalents en répartition pure.</w:t>
      </w:r>
      <w:r>
        <w:t xml:space="preserve"> </w:t>
      </w:r>
      <w:r>
        <w:rPr>
          <w:b/>
          <w:bCs/>
        </w:rPr>
        <w:t xml:space="preserve">L’impôt sur le revenu et les prélèvements sociaux sur les pensions</w:t>
      </w:r>
      <w:r>
        <w:t xml:space="preserve"> </w:t>
      </w:r>
      <w:r>
        <w:t xml:space="preserve">enfin : ces pensions plus élevées sont elles-mêmes fiscalisées, à des taux moyens d’imposition compris entre 20 et 30 % selon les configurations.</w:t>
      </w:r>
    </w:p>
    <w:p>
      <w:pPr>
        <w:pStyle w:val="BodyText"/>
      </w:pPr>
      <w:r>
        <w:t xml:space="preserve">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milliards par an en moyenne sur la période</w:t>
      </w:r>
      <w:r>
        <w:rPr>
          <w:rStyle w:val="FootnoteReference"/>
        </w:rPr>
        <w:footnoteReference w:id="249"/>
      </w:r>
      <w:r>
        <w:t xml:space="preserve">.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t>
      </w:r>
    </w:p>
    <w:bookmarkEnd w:id="250"/>
    <w:bookmarkStart w:id="252" w:name="le-pib-croît-léconomie-se-reconstitue"/>
    <w:p>
      <w:pPr>
        <w:pStyle w:val="Heading4"/>
      </w:pPr>
      <w:r>
        <w:t xml:space="preserve">Le PIB croît, l’économie se reconstitue</w:t>
      </w:r>
    </w:p>
    <w:p>
      <w:pPr>
        <w:pStyle w:val="FirstParagraph"/>
      </w:pPr>
      <w:r>
        <w:t xml:space="preserve">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t>
      </w:r>
    </w:p>
    <w:p>
      <w:pPr>
        <w:pStyle w:val="BodyText"/>
      </w:pPr>
      <w:r>
        <w:t xml:space="preserve">La même modélisation IAP, sur les mêmes hypothèses prudentes, projette pour la France un impact cumulé sur le PIB de l’ordre de 700 milliards d’euros à dix ans, soit une croissance additionnelle d’environ 2,8 points par an pendant cette première décennie</w:t>
      </w:r>
      <w:r>
        <w:rPr>
          <w:rStyle w:val="FootnoteReference"/>
        </w:rPr>
        <w:footnoteReference w:id="251"/>
      </w:r>
      <w:r>
        <w:t xml:space="preserve">.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t>
      </w:r>
    </w:p>
    <w:p>
      <w:pPr>
        <w:pStyle w:val="BodyText"/>
      </w:pPr>
      <w:r>
        <w:t xml:space="preserve">[GRAPHIQUE — Impact cumulé annuel d’un pilier capitalisé de 30 % en France (modélisation IAP, hypothèses prudentes) : Investissement productif cumulé, Impact PIB cumulé, Recettes fiscales cumulées, Emplois créés. Échelle 10 ans]</w:t>
      </w:r>
    </w:p>
    <w:bookmarkEnd w:id="252"/>
    <w:bookmarkEnd w:id="253"/>
    <w:bookmarkStart w:id="257" w:name="le-cercle-vertueux-du-capital-domestique"/>
    <w:p>
      <w:pPr>
        <w:pStyle w:val="Heading3"/>
      </w:pPr>
      <w:r>
        <w:t xml:space="preserve">Le cercle vertueux du capital domestique</w:t>
      </w:r>
    </w:p>
    <w:p>
      <w:pPr>
        <w:pStyle w:val="FirstParagraph"/>
      </w:pPr>
      <w:r>
        <w:t xml:space="preserve">On vient de regarder chaque effet séparément — dépenses publiques en baisse, recettes fiscales en hausse, PIB en croissance. Ces effets ne sont pas indépendants. Ils sont les manifestations successives d’une même mécanique. Cette mécanique a un nom dans la littérature économique : le cercle vertueux du capital domestique</w:t>
      </w:r>
      <w:r>
        <w:rPr>
          <w:rStyle w:val="FootnoteReference"/>
        </w:rPr>
        <w:footnoteReference w:id="254"/>
      </w:r>
      <w:r>
        <w:t xml:space="preserve">. Elle vaut la peine d’être nommée explicitement, parce que sa puissance ne vient pas de chacun de ses effets pris à part, mais de leur circularité.</w:t>
      </w:r>
    </w:p>
    <w:p>
      <w:pPr>
        <w:pStyle w:val="BodyText"/>
      </w:pPr>
      <w:r>
        <w:t xml:space="preserve">La boucle se décompose en cinq temps.</w:t>
      </w:r>
      <w:r>
        <w:t xml:space="preserve"> </w:t>
      </w:r>
      <w:r>
        <w:rPr>
          <w:b/>
          <w:bCs/>
        </w:rPr>
        <w:t xml:space="preserve">Premier temps</w:t>
      </w:r>
      <w:r>
        <w:t xml:space="preserve"> </w:t>
      </w:r>
      <w:r>
        <w:t xml:space="preserve">: les cotisations versées au fonds de pension sont investies dans le capital productif national — actions cotées sur la Bourse de Paris, capital-investissement dans des entreprises de croissance, immobilier d’entreprise, infrastructures stratégiques.</w:t>
      </w:r>
      <w:r>
        <w:t xml:space="preserve"> </w:t>
      </w:r>
      <w:r>
        <w:rPr>
          <w:b/>
          <w:bCs/>
        </w:rPr>
        <w:t xml:space="preserve">Deuxième temps</w:t>
      </w:r>
      <w:r>
        <w:t xml:space="preserve"> </w:t>
      </w:r>
      <w:r>
        <w:t xml:space="preserve">: ce capital productif soutient la performance des entreprises qui en bénéficient. Mieux capitalisées, elles investissent davantage, embauchent plus, exportent plus, financent leur transition énergétique sans dépendre uniquement de la dette.</w:t>
      </w:r>
      <w:r>
        <w:t xml:space="preserve"> </w:t>
      </w:r>
      <w:r>
        <w:rPr>
          <w:b/>
          <w:bCs/>
        </w:rPr>
        <w:t xml:space="preserve">Troisième temps</w:t>
      </w:r>
      <w:r>
        <w:t xml:space="preserve"> </w:t>
      </w:r>
      <w:r>
        <w:t xml:space="preserve">: cette croissance des entreprises se traduit en emplois nouveaux et en hausse de la masse salariale nationale.</w:t>
      </w:r>
      <w:r>
        <w:t xml:space="preserve"> </w:t>
      </w:r>
      <w:r>
        <w:rPr>
          <w:b/>
          <w:bCs/>
        </w:rPr>
        <w:t xml:space="preserve">Quatrième temps</w:t>
      </w:r>
      <w:r>
        <w:t xml:space="preserve"> </w:t>
      </w:r>
      <w:r>
        <w:t xml:space="preserve">: la masse salariale en hausse signifie davantage de cotisations qui rentrent dans le fonds, et la valeur des actifs détenus par le fonds — actions cotées, parts d’entreprises non cotées, immeubles, infrastructures — progresse mécaniquement.</w:t>
      </w:r>
      <w:r>
        <w:t xml:space="preserve"> </w:t>
      </w:r>
      <w:r>
        <w:rPr>
          <w:b/>
          <w:bCs/>
        </w:rPr>
        <w:t xml:space="preserve">Cinquième temps</w:t>
      </w:r>
      <w:r>
        <w:t xml:space="preserve"> </w:t>
      </w:r>
      <w:r>
        <w:t xml:space="preserve">: les fonds, plus gros et plus rentables, versent des pensions plus élevées à leurs affiliés, tout en réinvestissant plus de capital dans l’économie productive. On retourne au premier temps, mais à un niveau supérieur. La boucle recommence, à chaque tour un peu plus large.</w:t>
      </w:r>
    </w:p>
    <w:p>
      <w:pPr>
        <w:pStyle w:val="BodyText"/>
      </w:pPr>
      <w:r>
        <w:t xml:space="preserve">C’est exactement ce que l’on ne sait pas faire en répartition pure. La répartition pure est un</w:t>
      </w:r>
      <w:r>
        <w:t xml:space="preserve"> </w:t>
      </w:r>
      <w:r>
        <w:rPr>
          <w:i/>
          <w:iCs/>
        </w:rPr>
        <w:t xml:space="preserve">flux fermé</w:t>
      </w:r>
      <w:r>
        <w:t xml:space="preserve"> </w:t>
      </w:r>
      <w:r>
        <w:t xml:space="preserve">: ce qui entre comme cotisation des actifs aujourd’hui sort comme pension pour les retraités le même mois. Rien ne s’accumule. Rien n’irrigue le capital national. Aucun rendement n’est généré, parce qu’aucun capital n’est constitué. Le système ne soutient pas la croissance — il en dépend, et la subit. La capitalisation, à l’inverse, est un</w:t>
      </w:r>
      <w:r>
        <w:t xml:space="preserve"> </w:t>
      </w:r>
      <w:r>
        <w:rPr>
          <w:i/>
          <w:iCs/>
        </w:rPr>
        <w:t xml:space="preserve">flux ouvert et cumulatif</w:t>
      </w:r>
      <w:r>
        <w:t xml:space="preserve"> </w:t>
      </w:r>
      <w:r>
        <w:t xml:space="preserve">: chaque euro cotisé devient une part de capital qui travaille pendant trente ou quarante ans, et qui finance simultanément, par les rendements qu’il produit, la pension future de celui qui a cotisé et l’économie présente du pays qui l’accueille. C’est, en termes économiques, une</w:t>
      </w:r>
      <w:r>
        <w:t xml:space="preserve"> </w:t>
      </w:r>
      <w:r>
        <w:rPr>
          <w:i/>
          <w:iCs/>
        </w:rPr>
        <w:t xml:space="preserve">intermédiation longue</w:t>
      </w:r>
      <w:r>
        <w:t xml:space="preserve"> </w:t>
      </w:r>
      <w:r>
        <w:t xml:space="preserve">de l’épargne nationale.</w:t>
      </w:r>
    </w:p>
    <w:p>
      <w:pPr>
        <w:pStyle w:val="BodyText"/>
      </w:pPr>
      <w:r>
        <w:t xml:space="preserve">L’observation des pays qui ont fait ce choix éclaire le mécanisme. En Suède, les fonds AP du premier pilier investissent entre 10 % et 20 % de leurs actifs dans des actions suédoises, et les fonds du deuxième pilier — AMF, Alecta — entre 20 % et 25 % de leurs portefeuilles en actions domestiques</w:t>
      </w:r>
      <w:r>
        <w:rPr>
          <w:rStyle w:val="FootnoteReference"/>
        </w:rPr>
        <w:footnoteReference w:id="255"/>
      </w:r>
      <w:r>
        <w:t xml:space="preserve">. Ces fonds ne sont pas spectateurs de l’économie suédoise : ils en sont des actionnaires structurels, présents dans les conseils d’administration des grandes entreprises cotées, capables de soutenir une introduction en Bourse comme un projet d’infrastructure. Au Pays-Bas, l’ABP et le PFZW pèsent ensemble plus que le produit intérieur brut néerlandais, et leur poids d’investisseurs longs a profondément restructuré la place financière d’Amsterdam et le tissu industriel de la Randstad</w:t>
      </w:r>
      <w:r>
        <w:rPr>
          <w:rStyle w:val="FootnoteReference"/>
        </w:rPr>
        <w:footnoteReference w:id="256"/>
      </w:r>
      <w:r>
        <w:t xml:space="preserve">. Au Canada, le Canada Pension Plan Investment Board est devenu un investisseur stratégique sur les infrastructures et l’immobilier commercial à l’échelle nord-américaine — au point que le pays finance ses propres ports, ses propres aéroports, ses propres réseaux d’énergie avec son propre capital de retraite. À chaque fois, le cercle s’est mis en marche parce qu’il existait, à l’origine, une masse de capital long suffisante pour amorcer la pompe.</w:t>
      </w:r>
    </w:p>
    <w:p>
      <w:pPr>
        <w:pStyle w:val="BodyText"/>
      </w:pPr>
      <w:r>
        <w:t xml:space="preserve">C’est précisément cette amorce qui manque à la France. Le diagnostic des chapitres précédents tient en une phrase : la boucle ne démarre pas chez nous parce qu’il n’existe pas, en France, l’agrégat capable de la déclencher. L’épargne brute des ménages français dépasse six mille milliards d’euros. Mais elle dort dans des supports administrés à faible rendement et à très faible exposition au capital national — fonds en euros de l’assurance-vie, livrets réglementés, dépôts à vue. Faute d’un véhicule qui canalise cette épargne vers le capital productif domestique, chacun des effets que l’on a documentés dans ce chapitre — baisse des dépenses publiques, hausse des recettes fiscales, croissance du PIB, emplois créés, capitaux disponibles pour les ETI — reste un</w:t>
      </w:r>
      <w:r>
        <w:t xml:space="preserve"> </w:t>
      </w:r>
      <w:r>
        <w:rPr>
          <w:i/>
          <w:iCs/>
        </w:rPr>
        <w:t xml:space="preserve">contre-factuel</w:t>
      </w:r>
      <w:r>
        <w:t xml:space="preserve">. Ce n’est pas une perte mesurable au sens comptable. C’est une absence de gain mesurable au sens économique, qui s’accumule année après année. Soixante-dix ans cumulés d’amorce manquée font la France de 2026.</w:t>
      </w:r>
    </w:p>
    <w:p>
      <w:pPr>
        <w:pStyle w:val="BodyText"/>
      </w:pPr>
      <w:r>
        <w:t xml:space="preserve">Ce qu’il faut retenir de la deuxième partie de ce livre tient en une phrase. La capitalisation ne se résume pas à un mécanisme de retraite plus rentable. C’est une</w:t>
      </w:r>
      <w:r>
        <w:t xml:space="preserve"> </w:t>
      </w:r>
      <w:r>
        <w:rPr>
          <w:i/>
          <w:iCs/>
        </w:rPr>
        <w:t xml:space="preserve">infrastructure économique</w:t>
      </w:r>
      <w:r>
        <w:t xml:space="preserve"> </w:t>
      </w:r>
      <w:r>
        <w:t xml:space="preserve">qui transforme l’épargne nationale en force productive, et qui retransforme cette force productive en pouvoir d’achat des retraités du futur. Sa puissance vient de sa circularité. Et c’est précisément cette circularité qu’on ne peut pas reproduire autrement.</w:t>
      </w:r>
    </w:p>
    <w:bookmarkEnd w:id="257"/>
    <w:bookmarkEnd w:id="258"/>
    <w:bookmarkEnd w:id="259"/>
    <w:bookmarkStart w:id="423" w:name="Xaad4ae9e9699ff929c082d0401b62ea5aae2ef2"/>
    <w:p>
      <w:pPr>
        <w:pStyle w:val="Heading1"/>
      </w:pPr>
      <w:r>
        <w:t xml:space="preserve">Partie 3 — Comment on y arrive : ce que les autres pays nous apprennent</w:t>
      </w:r>
    </w:p>
    <w:p>
      <w:pPr>
        <w:pStyle w:val="FirstParagraph"/>
      </w:pPr>
      <w:r>
        <w:t xml:space="preserve">Comment évacuer un débat sans même l’avoir commencé ? La France en a le secret. « </w:t>
      </w:r>
      <w:r>
        <w:rPr>
          <w:i/>
          <w:iCs/>
        </w:rPr>
        <w:t xml:space="preserve">Mais nous, on ne peut pas. Pas en France. Pas avec notre culture, pas avec nos syndicats. On ne peut pas réformer le pays. »</w:t>
      </w:r>
      <w:r>
        <w:t xml:space="preserve"> </w:t>
      </w:r>
      <w:r>
        <w:t xml:space="preserve">C’est l’argument culturel, et il est imparable car il est fumeux.</w:t>
      </w:r>
    </w:p>
    <w:p>
      <w:pPr>
        <w:pStyle w:val="BodyText"/>
      </w:pPr>
      <w:r>
        <w:t xml:space="preserve">Pourtant, la France n’est pas une île. D’autres pays, confrontés aux mêmes défis, ont réussi. Et l’exception culturelle française ne peut pas servir de paravent à la lâcheté politique et à la paresse intellectuelle.</w:t>
      </w:r>
    </w:p>
    <w:p>
      <w:pPr>
        <w:pStyle w:val="BodyText"/>
      </w:pPr>
      <w:r>
        <w:t xml:space="preserve">Allons voir comment les autres pays ont fait : les hommes, les contextes, les crises, les oppositions. Une réforme de retraite, est toujours le fruit d’une négociation politique, elle n’est jamais simple, ni en France, ni ailleurs.</w:t>
      </w:r>
    </w:p>
    <w:p>
      <w:pPr>
        <w:pStyle w:val="BodyText"/>
      </w:pPr>
      <w:r>
        <w:t xml:space="preserve">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pPr>
        <w:pStyle w:val="BodyText"/>
      </w:pPr>
      <w:r>
        <w:t xml:space="preserve">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w:t>
      </w:r>
      <w:r>
        <w:t xml:space="preserve"> </w:t>
      </w:r>
      <w:r>
        <w:rPr>
          <w:i/>
          <w:iCs/>
        </w:rPr>
        <w:t xml:space="preserve">Prices and Incomes Accord</w:t>
      </w:r>
      <w:r>
        <w:t xml:space="preserve"> </w:t>
      </w:r>
      <w:r>
        <w:t xml:space="preserve">de 1985 à Canberra, du volontarisme singapourien ?</w:t>
      </w:r>
    </w:p>
    <w:bookmarkStart w:id="330" w:name="Xdf80c3a9178935c9136ffc82b0a43bee5c92038"/>
    <w:p>
      <w:pPr>
        <w:pStyle w:val="Heading2"/>
      </w:pPr>
      <w:r>
        <w:t xml:space="preserve">Quatre trajectoires : Suède, Australie, Singapour, Chili</w:t>
      </w:r>
    </w:p>
    <w:bookmarkStart w:id="279" w:name="suède-la-preuve-par-neuf"/>
    <w:p>
      <w:pPr>
        <w:pStyle w:val="Heading3"/>
      </w:pPr>
      <w:r>
        <w:t xml:space="preserve">Suède : la preuve par neuf</w:t>
      </w:r>
    </w:p>
    <w:p>
      <w:pPr>
        <w:pStyle w:val="FirstParagraph"/>
      </w:pPr>
      <w:r>
        <w:t xml:space="preserve">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260"/>
      </w:r>
      <w:r>
        <w:t xml:space="preserve">. Ingvar Carlsson, social-démocrate, vient de perdre les 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pPr>
        <w:pStyle w:val="BodyText"/>
      </w:pPr>
      <w:r>
        <w:t xml:space="preserve">La Suède fait alors un pacte avec elle-même. Carl Bildt et Ingvar Carlsson, frères ennemis politiques, conviennent qu’aucun des deux blocs ne réformera seul. Ils nomment un groupe de travail interpartis - la</w:t>
      </w:r>
      <w:r>
        <w:t xml:space="preserve"> </w:t>
      </w:r>
      <w:r>
        <w:rPr>
          <w:i/>
          <w:iCs/>
        </w:rPr>
        <w:t xml:space="preserve">Pensionsarbetsgruppen</w:t>
      </w:r>
      <w:r>
        <w:t xml:space="preserve"> </w:t>
      </w:r>
      <w:r>
        <w:t xml:space="preserve">- qui réunit cinq des sept partis du Riksdag</w:t>
      </w:r>
      <w:r>
        <w:rPr>
          <w:rStyle w:val="FootnoteReference"/>
        </w:rPr>
        <w:footnoteReference w:id="261"/>
      </w:r>
      <w:r>
        <w:t xml:space="preserve">. À sa tête,</w:t>
      </w:r>
      <w:r>
        <w:t xml:space="preserve"> </w:t>
      </w:r>
      <w:r>
        <w:rPr>
          <w:b/>
          <w:bCs/>
        </w:rPr>
        <w:t xml:space="preserve">Bo Könberg</w:t>
      </w:r>
      <w:r>
        <w:t xml:space="preserve">, ministre libéral de la Santé et de l’Assurance sociale, et</w:t>
      </w:r>
      <w:r>
        <w:t xml:space="preserve"> </w:t>
      </w:r>
      <w:r>
        <w:rPr>
          <w:b/>
          <w:bCs/>
        </w:rPr>
        <w:t xml:space="preserve">Anna Hedborg</w:t>
      </w:r>
      <w:r>
        <w:t xml:space="preserve">,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262"/>
      </w:r>
      <w:r>
        <w:t xml:space="preserve">. En 1994, le Parlement vote les grands principes à plus de 85 % des suffrages. La loi définitive arrive en 1998, sous Göran Persson. Le système entre en vigueur le 1ᵉʳ janvier 1999, par cohortes</w:t>
      </w:r>
      <w:r>
        <w:rPr>
          <w:rStyle w:val="FootnoteReference"/>
        </w:rPr>
        <w:footnoteReference w:id="263"/>
      </w:r>
      <w:r>
        <w:t xml:space="preserve">.</w:t>
      </w:r>
    </w:p>
    <w:p>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w:t>
      </w:r>
      <w:r>
        <w:t xml:space="preserve"> </w:t>
      </w:r>
      <w:r>
        <w:rPr>
          <w:i/>
          <w:iCs/>
        </w:rPr>
        <w:t xml:space="preserve">un pays qui</w:t>
      </w:r>
      <w:r>
        <w:t xml:space="preserve"> </w:t>
      </w:r>
      <w:r>
        <w:rPr>
          <w:i/>
          <w:iCs/>
        </w:rPr>
        <w:t xml:space="preserve">pour</w:t>
      </w:r>
      <w:r>
        <w:t xml:space="preserve"> </w:t>
      </w:r>
      <w:r>
        <w:rPr>
          <w:i/>
          <w:iCs/>
        </w:rPr>
        <w:t xml:space="preserve">réformer</w:t>
      </w:r>
      <w:r>
        <w:t xml:space="preserve"> </w:t>
      </w:r>
      <w:r>
        <w:rPr>
          <w:i/>
          <w:iCs/>
        </w:rPr>
        <w:t xml:space="preserve">pour trente ans a</w:t>
      </w:r>
      <w:r>
        <w:t xml:space="preserve"> </w:t>
      </w:r>
      <w:r>
        <w:rPr>
          <w:i/>
          <w:iCs/>
        </w:rPr>
        <w:t xml:space="preserve">commencé</w:t>
      </w:r>
      <w:r>
        <w:t xml:space="preserve"> </w:t>
      </w:r>
      <w:r>
        <w:rPr>
          <w:i/>
          <w:iCs/>
        </w:rPr>
        <w:t xml:space="preserve">par négocier pendant cinq</w:t>
      </w:r>
      <w:r>
        <w:t xml:space="preserve">.</w:t>
      </w:r>
    </w:p>
    <w:p>
      <w:pPr>
        <w:pStyle w:val="BodyText"/>
      </w:pPr>
      <w:r>
        <w:t xml:space="preserve">L’architecture issue de 1998 tient sur trois étages. Le premier, l’</w:t>
      </w:r>
      <w:r>
        <w:rPr>
          <w:b/>
          <w:bCs/>
        </w:rPr>
        <w:t xml:space="preserve">inkomstpension</w:t>
      </w:r>
      <w:r>
        <w:t xml:space="preserve">, est un régime public en répartition, mais à</w:t>
      </w:r>
      <w:r>
        <w:t xml:space="preserve"> </w:t>
      </w:r>
      <w:r>
        <w:rPr>
          <w:i/>
          <w:iCs/>
        </w:rPr>
        <w:t xml:space="preserve">comptes notionnels</w:t>
      </w:r>
      <w:r>
        <w:t xml:space="preserve">.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64"/>
      </w:r>
      <w:r>
        <w:t xml:space="preserve">. C’est une répartition qui s’auto-équilibre.</w:t>
      </w:r>
    </w:p>
    <w:p>
      <w:pPr>
        <w:pStyle w:val="BodyText"/>
      </w:pPr>
      <w:r>
        <w:t xml:space="preserve">Le deuxième étage, la</w:t>
      </w:r>
      <w:r>
        <w:t xml:space="preserve"> </w:t>
      </w:r>
      <w:r>
        <w:rPr>
          <w:b/>
          <w:bCs/>
        </w:rPr>
        <w:t xml:space="preserve">premiepension</w:t>
      </w:r>
      <w:r>
        <w:t xml:space="preserve"> </w:t>
      </w:r>
      <w:r>
        <w:t xml:space="preserve">ou PPM, est pleinement capitalisé : 2,5 % du salaire de chaque actif versés sur un compte individuel placé en bourse.</w:t>
      </w:r>
    </w:p>
    <w:p>
      <w:pPr>
        <w:pStyle w:val="BodyText"/>
      </w:pPr>
      <w:r>
        <w:t xml:space="preserve">Le troisième, les régimes professionnels obligatoires de fait - ITP pour les cadres, SAF-LO pour les ouvriers - apportent 4 à 5 points supplémentaires, négociés par convention collective</w:t>
      </w:r>
      <w:r>
        <w:rPr>
          <w:rStyle w:val="FootnoteReference"/>
        </w:rPr>
        <w:footnoteReference w:id="265"/>
      </w:r>
      <w:r>
        <w:t xml:space="preserve">. Total cotisations retraite : 22,5 à 23,5 % du salaire, contre 27,8 % en France</w:t>
      </w:r>
      <w:r>
        <w:rPr>
          <w:rStyle w:val="FootnoteReference"/>
        </w:rPr>
        <w:footnoteReference w:id="266"/>
      </w:r>
      <w:r>
        <w:t xml:space="preserve">. Cinq points de moins, pour à peu près le même taux de remplacement net.</w:t>
      </w:r>
    </w:p>
    <w:p>
      <w:pPr>
        <w:pStyle w:val="BodyText"/>
      </w:pPr>
      <w:r>
        <w:t xml:space="preserve">Le quatrième pilier, à part, joue le rôle du filet. C’est la</w:t>
      </w:r>
      <w:r>
        <w:t xml:space="preserve"> </w:t>
      </w:r>
      <w:r>
        <w:rPr>
          <w:b/>
          <w:bCs/>
        </w:rPr>
        <w:t xml:space="preserve">garantipension</w:t>
      </w:r>
      <w:r>
        <w:t xml:space="preserve">, prestation d’État ciblée sur les retraités à carrière trop courte pour avoir cumulé assez de droits, environ 1,2 million de personnes en 2024</w:t>
      </w:r>
      <w:r>
        <w:rPr>
          <w:rStyle w:val="FootnoteReference"/>
        </w:rPr>
        <w:footnoteReference w:id="267"/>
      </w:r>
      <w:r>
        <w:t xml:space="preserve">. Personne, en Suède, ne meurt sous le seuil de pauvreté à cause d’une carrière interrompue. C’est la condition politique sans laquelle le pacte de 1994 n’aurait pas tenu.</w:t>
      </w:r>
    </w:p>
    <w:p>
      <w:pPr>
        <w:pStyle w:val="BodyText"/>
      </w:pPr>
      <w:r>
        <w:t xml:space="preserve">Et derrière l’inkomstpension, il y a les</w:t>
      </w:r>
      <w:r>
        <w:t xml:space="preserve"> </w:t>
      </w:r>
      <w:r>
        <w:rPr>
          <w:b/>
          <w:bCs/>
        </w:rPr>
        <w:t xml:space="preserve">AP-fonds</w:t>
      </w:r>
      <w:r>
        <w:t xml:space="preserve"> </w:t>
      </w:r>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68"/>
      </w:r>
      <w:r>
        <w:t xml:space="preserve">.</w:t>
      </w:r>
    </w:p>
    <w:p>
      <w:pPr>
        <w:pStyle w:val="BodyText"/>
      </w:pPr>
      <w:r>
        <w:t xml:space="preserve">À fin 2024, le total dépasse 2 000 milliards de couronnes, soit environ 185 milliards d’euros. Rendement moyen des AP1 à AP4 en 2024 :</w:t>
      </w:r>
      <w:r>
        <w:t xml:space="preserve"> </w:t>
      </w:r>
      <w:r>
        <w:rPr>
          <w:b/>
          <w:bCs/>
        </w:rPr>
        <w:t xml:space="preserve">9,6 %</w:t>
      </w:r>
      <w:r>
        <w:t xml:space="preserve">, contribution au système : 182 milliards de couronnes sur l’année</w:t>
      </w:r>
      <w:r>
        <w:rPr>
          <w:rStyle w:val="FootnoteReference"/>
        </w:rPr>
        <w:footnoteReference w:id="269"/>
      </w:r>
      <w:r>
        <w:t xml:space="preserve">. Sur vingt ans, les AP-fonds ont délivré entre 5,3 et 7,2 % de rendement réel net selon les périodes. Et cet argent travaille, en bonne partie, dans des entreprises suédoises : ABB, Volvo, Ericsson, Atlas Copco, et plus récemment dans la galaxie technologique de Stockholm.</w:t>
      </w:r>
    </w:p>
    <w:p>
      <w:pPr>
        <w:pStyle w:val="BodyText"/>
      </w:pPr>
      <w:r>
        <w:t xml:space="preserve">Le fonds par défaut,</w:t>
      </w:r>
      <w:r>
        <w:t xml:space="preserve"> </w:t>
      </w:r>
      <w:r>
        <w:rPr>
          <w:b/>
          <w:bCs/>
        </w:rPr>
        <w:t xml:space="preserve">AP7 Såfa</w:t>
      </w:r>
      <w:r>
        <w:t xml:space="preserve">, mérite qu’on s’y arrête. C’est l’option qui s’applique automatiquement aux cotisants de la PPM qui n’ont pas choisi de portefeuille particulier - environ 40 % des actifs suédois aujourd’hui.</w:t>
      </w:r>
    </w:p>
    <w:p>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w:t>
      </w:r>
      <w:r>
        <w:t xml:space="preserve"> </w:t>
      </w:r>
      <w:r>
        <w:rPr>
          <w:b/>
          <w:bCs/>
        </w:rPr>
        <w:t xml:space="preserve">27,3 % en 2024</w:t>
      </w:r>
      <w:r>
        <w:t xml:space="preserve"> </w:t>
      </w:r>
      <w:r>
        <w:t xml:space="preserve">seul</w:t>
      </w:r>
      <w:r>
        <w:rPr>
          <w:rStyle w:val="FootnoteReference"/>
        </w:rPr>
        <w:footnoteReference w:id="270"/>
      </w:r>
      <w:r>
        <w:t xml:space="preserve">. Le Suédois moyen qui n’a jamais ouvert une enveloppe bancaire est aujourd’hui propriétaire indirect de Microsoft, Apple, ASML, LVMH et Nestlé, à un coût de gestion dix fois inférieur à celui d’une assurance-vie française. Personne, en Suède, n’a besoin de savoir investir. Le système investit pour eux.</w:t>
      </w:r>
    </w:p>
    <w:p>
      <w:pPr>
        <w:pStyle w:val="BodyText"/>
      </w:pPr>
      <w:r>
        <w:t xml:space="preserve">Vingt-six ans après 1999, où en est le pays ? La dépense publique de retraite suédoise tourne autour de 7,2 % du PIB, contre 13,9 % en France</w:t>
      </w:r>
      <w:r>
        <w:rPr>
          <w:rStyle w:val="FootnoteReference"/>
        </w:rPr>
        <w:footnoteReference w:id="271"/>
      </w:r>
      <w:r>
        <w:t xml:space="preserve">. La moitié, à peu près. Le taux de remplacement net pour une cohorte née en 2002, carrière complète, ressort à 65,3 % selon l’OCDE, contre 73,9 % en France</w:t>
      </w:r>
      <w:r>
        <w:rPr>
          <w:rStyle w:val="FootnoteReference"/>
        </w:rPr>
        <w:footnoteReference w:id="272"/>
      </w:r>
      <w:r>
        <w:t xml:space="preserve">.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73"/>
      </w:r>
      <w:r>
        <w:t xml:space="preserve">. Et la place financière de Stockholm est devenue, par habitant, la deuxième économie de licornes au monde après la Silicon Valley :</w:t>
      </w:r>
      <w:r>
        <w:t xml:space="preserve"> </w:t>
      </w:r>
      <w:r>
        <w:rPr>
          <w:b/>
          <w:bCs/>
        </w:rPr>
        <w:t xml:space="preserve">41 entreprises</w:t>
      </w:r>
      <w:r>
        <w:t xml:space="preserve"> </w:t>
      </w:r>
      <w:r>
        <w:t xml:space="preserve">valorisées à plus d’un milliard de dollars, dont Spotify, Klarna, Mojang, King, iZettle, Tink, et la défunte Northvolt</w:t>
      </w:r>
      <w:r>
        <w:rPr>
          <w:rStyle w:val="FootnoteReference"/>
        </w:rPr>
        <w:footnoteReference w:id="274"/>
      </w:r>
      <w:r>
        <w:t xml:space="preserve">. C’est ce que produit du capital national patient quand on le laisse irriguer ses propres champions.</w:t>
      </w:r>
    </w:p>
    <w:p>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 le glide path d’AP7 (le passage du 100% actions à un portefeuille diversifié) a été corrigé en 2015, en lissant la transition vers les obligations</w:t>
      </w:r>
      <w:r>
        <w:rPr>
          <w:rStyle w:val="FootnoteReference"/>
        </w:rPr>
        <w:footnoteReference w:id="275"/>
      </w:r>
      <w:r>
        <w:t xml:space="preserve">.</w:t>
      </w:r>
    </w:p>
    <w:p>
      <w:pPr>
        <w:pStyle w:val="BodyText"/>
      </w:pPr>
      <w:r>
        <w:t xml:space="preserve">Le mécanisme d’équilibrage automatique de l’inkomstpension - la</w:t>
      </w:r>
      <w:r>
        <w:t xml:space="preserve"> </w:t>
      </w:r>
      <w:r>
        <w:rPr>
          <w:i/>
          <w:iCs/>
        </w:rPr>
        <w:t xml:space="preserve">bromsen</w:t>
      </w:r>
      <w:r>
        <w:t xml:space="preserve">, le « frein » - s’est déclenché à trois reprises depuis 2010, réduisant ponctuellement les pensions versées de 1 à 3 %</w:t>
      </w:r>
      <w:r>
        <w:rPr>
          <w:rStyle w:val="FootnoteReference"/>
        </w:rPr>
        <w:footnoteReference w:id="276"/>
      </w:r>
      <w:r>
        <w:t xml:space="preserve">. C’est impopulaire ; c’est aussi le prix de la soutenabilité du système.</w:t>
      </w:r>
    </w:p>
    <w:p>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w:t>
      </w:r>
      <w:r>
        <w:t xml:space="preserve"> </w:t>
      </w:r>
      <w:r>
        <w:rPr>
          <w:b/>
          <w:bCs/>
        </w:rPr>
        <w:t xml:space="preserve">Peter Carlsson</w:t>
      </w:r>
      <w:r>
        <w:t xml:space="preserve">, a vu son entreprise déposer le bilan en novembre 2024 puis être liquidée trois mois plus tard</w:t>
      </w:r>
      <w:r>
        <w:rPr>
          <w:rStyle w:val="FootnoteReference"/>
        </w:rPr>
        <w:footnoteReference w:id="277"/>
      </w:r>
      <w:r>
        <w:t xml:space="preserve">. C’est un rappel utile : le capital patient n’élimine pas le risque industriel. Il l’amortit, il le diversifie, il l’absorbe, il ne le supprime pas.</w:t>
      </w:r>
    </w:p>
    <w:p>
      <w:pPr>
        <w:pStyle w:val="BodyText"/>
      </w:pPr>
      <w:r>
        <w:t xml:space="preserve">Reste l’écart femmes-hommes, qui n’a pas disparu en Suède non plus : les femmes touchent en moyenne 80 % de la pension des hommes, contre 85 % en France</w:t>
      </w:r>
      <w:r>
        <w:rPr>
          <w:rStyle w:val="FootnoteReference"/>
        </w:rPr>
        <w:footnoteReference w:id="278"/>
      </w:r>
      <w:r>
        <w:t xml:space="preserve">. La capitalisation, ici, hérite des inégalités de carrière ; elle ne les crée pas mais elle ne les soigne pas. Pour les corriger, il faut des dispositifs collatéraux - bonifications parentales, points famille, plancher universel - exactement comme dans la répartition.</w:t>
      </w:r>
    </w:p>
    <w:p>
      <w:pPr>
        <w:pStyle w:val="BodyText"/>
      </w:pPr>
      <w:r>
        <w:t xml:space="preserve">Ce que le cas suédois prouve, en définitive, n’est pas que la capitalisation résout tout. C’est qu’elle est compatible avec un État-providence dense, des syndicats puissants, une fiscalité élevée, une culture de l’égalité - bref, avec tout ce que la gauche française revendique.</w:t>
      </w:r>
    </w:p>
    <w:p>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w:t>
      </w:r>
      <w:r>
        <w:t xml:space="preserve"> </w:t>
      </w:r>
      <w:r>
        <w:rPr>
          <w:i/>
          <w:iCs/>
        </w:rPr>
        <w:t xml:space="preserve">avec</w:t>
      </w:r>
      <w:r>
        <w:t xml:space="preserve"> </w:t>
      </w:r>
      <w:r>
        <w:t xml:space="preserve">la capitalisation. Autre leçon pour la France :</w:t>
      </w:r>
      <w:r>
        <w:t xml:space="preserve"> </w:t>
      </w:r>
      <w:r>
        <w:rPr>
          <w:i/>
          <w:iCs/>
        </w:rPr>
        <w:t xml:space="preserve">pour que la réforme perdure elle doit</w:t>
      </w:r>
      <w:r>
        <w:t xml:space="preserve"> </w:t>
      </w:r>
      <w:r>
        <w:rPr>
          <w:i/>
          <w:iCs/>
        </w:rPr>
        <w:t xml:space="preserve">une assise politique large.</w:t>
      </w:r>
    </w:p>
    <w:bookmarkEnd w:id="279"/>
    <w:bookmarkStart w:id="291" w:name="australie-lauto-enrolment-patronal"/>
    <w:p>
      <w:pPr>
        <w:pStyle w:val="Heading3"/>
      </w:pPr>
      <w:r>
        <w:t xml:space="preserve">Australie : l’auto-enrolment patronal</w:t>
      </w:r>
    </w:p>
    <w:p>
      <w:pPr>
        <w:pStyle w:val="FirstParagraph"/>
      </w:pPr>
      <w:r>
        <w:t xml:space="preserve">Sydney, octobre 1985. Dans une salle de la</w:t>
      </w:r>
      <w:r>
        <w:t xml:space="preserve"> </w:t>
      </w:r>
      <w:r>
        <w:rPr>
          <w:i/>
          <w:iCs/>
        </w:rPr>
        <w:t xml:space="preserve">Australian Council of Trade Unions</w:t>
      </w:r>
      <w:r>
        <w:t xml:space="preserve"> </w:t>
      </w:r>
      <w:r>
        <w:t xml:space="preserve">- l’équivalent de la CFDT, en mille fois plus puissant -,</w:t>
      </w:r>
      <w:r>
        <w:t xml:space="preserve"> </w:t>
      </w:r>
      <w:r>
        <w:rPr>
          <w:b/>
          <w:bCs/>
        </w:rPr>
        <w:t xml:space="preserve">Bill Kelty</w:t>
      </w:r>
      <w:r>
        <w:t xml:space="preserve">, secrétaire général depuis 1983, négocie depuis des mois. Face à lui,</w:t>
      </w:r>
      <w:r>
        <w:t xml:space="preserve"> </w:t>
      </w:r>
      <w:r>
        <w:rPr>
          <w:b/>
          <w:bCs/>
        </w:rPr>
        <w:t xml:space="preserve">Paul Keating</w:t>
      </w:r>
      <w:r>
        <w:t xml:space="preserve">, trésorier du gouvernement travailliste de</w:t>
      </w:r>
      <w:r>
        <w:t xml:space="preserve"> </w:t>
      </w:r>
      <w:r>
        <w:rPr>
          <w:b/>
          <w:bCs/>
        </w:rPr>
        <w:t xml:space="preserve">Bob Hawke</w:t>
      </w:r>
      <w:r>
        <w:rPr>
          <w:rStyle w:val="FootnoteReference"/>
        </w:rPr>
        <w:footnoteReference w:id="280"/>
      </w:r>
      <w:r>
        <w:t xml:space="preserve">. L’Australie est en crise. Inflation à deux chiffres, salaires indexés depuis vingt ans, productivité en panne, monnaie qui s’effondre. Hawke, ancien président de l’ACTU lui-même devenu Premier ministre en 1983, a engagé avec les syndicats un</w:t>
      </w:r>
      <w:r>
        <w:t xml:space="preserve"> </w:t>
      </w:r>
      <w:r>
        <w:rPr>
          <w:i/>
          <w:iCs/>
        </w:rPr>
        <w:t xml:space="preserve">Prices and Incomes Accord</w:t>
      </w:r>
      <w:r>
        <w:t xml:space="preserve"> </w:t>
      </w:r>
      <w:r>
        <w:t xml:space="preserve">- un accord salaires-prix - pour casser l’inflation. Premier accord en 1983 ; second en 1985.</w:t>
      </w:r>
    </w:p>
    <w:p>
      <w:pPr>
        <w:pStyle w:val="BodyText"/>
      </w:pPr>
      <w:r>
        <w:t xml:space="preserve">L’accord de 1985, dit</w:t>
      </w:r>
      <w:r>
        <w:t xml:space="preserve"> </w:t>
      </w:r>
      <w:r>
        <w:rPr>
          <w:i/>
          <w:iCs/>
        </w:rPr>
        <w:t xml:space="preserve">Mark II</w:t>
      </w:r>
      <w:r>
        <w:t xml:space="preserve">, contient une idée que personne, alors, ne mesure complètement. L’ACTU accepte que les salaires soient indexés à un taux inférieur de</w:t>
      </w:r>
      <w:r>
        <w:t xml:space="preserve"> </w:t>
      </w:r>
      <w:r>
        <w:rPr>
          <w:b/>
          <w:bCs/>
        </w:rPr>
        <w:t xml:space="preserve">2 points à l’inflation</w:t>
      </w:r>
      <w:r>
        <w:t xml:space="preserve"> </w:t>
      </w:r>
      <w:r>
        <w:t xml:space="preserve">- un sacrifice considérable pour les ouvriers australiens. En contrepartie, les employeurs s’engagent à verser</w:t>
      </w:r>
      <w:r>
        <w:t xml:space="preserve"> </w:t>
      </w:r>
      <w:r>
        <w:rPr>
          <w:b/>
          <w:bCs/>
        </w:rPr>
        <w:t xml:space="preserve">3 % de cotisation supplémentaire</w:t>
      </w:r>
      <w:r>
        <w:t xml:space="preserve"> </w:t>
      </w:r>
      <w:r>
        <w:t xml:space="preserve">sur un compte épargne retraite obligatoire pour chaque salarié. Kelty et Keating signent. Hawke ratifie. Personne, à ce moment-là, ne sait que cette cotisation va devenir la</w:t>
      </w:r>
      <w:r>
        <w:t xml:space="preserve"> </w:t>
      </w:r>
      <w:r>
        <w:rPr>
          <w:i/>
          <w:iCs/>
        </w:rPr>
        <w:t xml:space="preserve">Superannuation Guarantee</w:t>
      </w:r>
      <w:r>
        <w:t xml:space="preserve"> </w:t>
      </w:r>
      <w:r>
        <w:t xml:space="preserve">et que, quarante ans plus tard, elle représentera l’une des plus grands sources de capital long du monde</w:t>
      </w:r>
      <w:r>
        <w:rPr>
          <w:rStyle w:val="FootnoteReference"/>
        </w:rPr>
        <w:footnoteReference w:id="281"/>
      </w:r>
      <w:r>
        <w:t xml:space="preserve">.</w:t>
      </w:r>
    </w:p>
    <w:p>
      <w:pPr>
        <w:pStyle w:val="BodyText"/>
      </w:pPr>
      <w:r>
        <w:t xml:space="preserve">L’idée derrière l’accord est d’un raffinement économique rare : la modération salariale,</w:t>
      </w:r>
      <w:r>
        <w:t xml:space="preserve"> </w:t>
      </w:r>
      <w:r>
        <w:rPr>
          <w:i/>
          <w:iCs/>
        </w:rPr>
        <w:t xml:space="preserve">plutôt que de financer du pouvoir d’achat immédiat, finance du capital différé pour la retraite des mêmes ouvriers</w:t>
      </w:r>
      <w:r>
        <w:t xml:space="preserve">.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pPr>
        <w:pStyle w:val="BodyText"/>
      </w:pPr>
      <w:r>
        <w:t xml:space="preserve">La phase suivante est plus technique. De 1987 à 1991, la cotisation à 3 % est étendue secteur par secteur via les</w:t>
      </w:r>
      <w:r>
        <w:t xml:space="preserve"> </w:t>
      </w:r>
      <w:r>
        <w:rPr>
          <w:i/>
          <w:iCs/>
        </w:rPr>
        <w:t xml:space="preserve">awards</w:t>
      </w:r>
      <w:r>
        <w:t xml:space="preserve"> </w:t>
      </w:r>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w:t>
      </w:r>
      <w:r>
        <w:t xml:space="preserve"> </w:t>
      </w:r>
      <w:r>
        <w:rPr>
          <w:i/>
          <w:iCs/>
        </w:rPr>
        <w:t xml:space="preserve">Superannuation Guarantee (Administration) Bill</w:t>
      </w:r>
      <w:r>
        <w:t xml:space="preserve">. La loi entre en vigueur le</w:t>
      </w:r>
      <w:r>
        <w:t xml:space="preserve"> </w:t>
      </w:r>
      <w:r>
        <w:rPr>
          <w:b/>
          <w:bCs/>
        </w:rPr>
        <w:t xml:space="preserve">1ᵉʳ juillet 1992</w:t>
      </w:r>
      <w:r>
        <w:t xml:space="preserve">, taux initial 3 % de la rémunération brute</w:t>
      </w:r>
      <w:r>
        <w:rPr>
          <w:rStyle w:val="FootnoteReference"/>
        </w:rPr>
        <w:footnoteReference w:id="282"/>
      </w:r>
      <w:r>
        <w:t xml:space="preserve">. La cotisation n’est plus négociée : elle est légale, et elle s’applique à tous les employeurs du pays.</w:t>
      </w:r>
    </w:p>
    <w:p>
      <w:pPr>
        <w:pStyle w:val="BodyText"/>
      </w:pPr>
      <w:r>
        <w:t xml:space="preserve">À partir de là, c’est une mécanique. Le taux monte par paliers programmés : 3 % en 1992, 6 % en 1996, 9 % en 2002. Stabilisation jusqu’en 2013. Le gouvernement conservateur de</w:t>
      </w:r>
      <w:r>
        <w:t xml:space="preserve"> </w:t>
      </w:r>
      <w:r>
        <w:rPr>
          <w:b/>
          <w:bCs/>
        </w:rPr>
        <w:t xml:space="preserve">Tony Abbott</w:t>
      </w:r>
      <w:r>
        <w:t xml:space="preserve">, élu en 2013, gèle le taux à 9,5 % pendant sept ans - une pause significative, mais pas une remise en cause</w:t>
      </w:r>
      <w:r>
        <w:rPr>
          <w:rStyle w:val="FootnoteReference"/>
        </w:rPr>
        <w:footnoteReference w:id="283"/>
      </w:r>
      <w:r>
        <w:t xml:space="preserve">. La reprise commence en 2021 : 10 %, puis 10,5 %, 11 %, 11,5 %, et finalement</w:t>
      </w:r>
      <w:r>
        <w:t xml:space="preserve"> </w:t>
      </w:r>
      <w:r>
        <w:rPr>
          <w:b/>
          <w:bCs/>
        </w:rPr>
        <w:t xml:space="preserve">12 % au 1ᵉʳ juillet 2025</w:t>
      </w:r>
      <w:r>
        <w:t xml:space="preserve">, taux désormais stabilisé</w:t>
      </w:r>
      <w:r>
        <w:rPr>
          <w:rStyle w:val="FootnoteReference"/>
        </w:rPr>
        <w:footnoteReference w:id="284"/>
      </w:r>
      <w:r>
        <w:t xml:space="preserve">. Trente-trois ans pour passer de 3 % à 12 %. Une génération entière.</w:t>
      </w:r>
    </w:p>
    <w:p>
      <w:pPr>
        <w:pStyle w:val="BodyText"/>
      </w:pPr>
      <w:r>
        <w:t xml:space="preserve">L’objet politique central, ici, c’est que</w:t>
      </w:r>
      <w:r>
        <w:t xml:space="preserve"> </w:t>
      </w:r>
      <w:r>
        <w:rPr>
          <w:b/>
          <w:bCs/>
        </w:rPr>
        <w:t xml:space="preserve">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politique australien, n’est pas une charge supplémentaire pesant sur les salariés. Elle est un</w:t>
      </w:r>
      <w:r>
        <w:t xml:space="preserve"> </w:t>
      </w:r>
      <w:r>
        <w:rPr>
          <w:i/>
          <w:iCs/>
        </w:rPr>
        <w:t xml:space="preserve">salaire différé</w:t>
      </w:r>
      <w:r>
        <w:t xml:space="preserve">, dont le patron est le canal et dont le travailleur est le bénéficiaire. C’est par cette astuce que l’Australie a fait passer 12 points de cotisation supplémentaires sans crise politique majeure.</w:t>
      </w:r>
    </w:p>
    <w:p>
      <w:pPr>
        <w:pStyle w:val="BodyText"/>
      </w:pPr>
      <w:r>
        <w:t xml:space="preserve">À fin 2024, l’encours total de la</w:t>
      </w:r>
      <w:r>
        <w:t xml:space="preserve"> </w:t>
      </w:r>
      <w:r>
        <w:rPr>
          <w:i/>
          <w:iCs/>
        </w:rPr>
        <w:t xml:space="preserve">superannuation</w:t>
      </w:r>
      <w:r>
        <w:t xml:space="preserve"> </w:t>
      </w:r>
      <w:r>
        <w:t xml:space="preserve">australienne dépasse</w:t>
      </w:r>
      <w:r>
        <w:t xml:space="preserve"> </w:t>
      </w:r>
      <w:r>
        <w:rPr>
          <w:b/>
          <w:bCs/>
        </w:rPr>
        <w:t xml:space="preserve">4,3 trillions de dollars australiens</w:t>
      </w:r>
      <w:r>
        <w:t xml:space="preserve"> </w:t>
      </w:r>
      <w:r>
        <w:t xml:space="preserve">- autour de 2 600 milliards d’euros, soit environ 160 % du PIB</w:t>
      </w:r>
      <w:r>
        <w:rPr>
          <w:rStyle w:val="FootnoteReference"/>
        </w:rPr>
        <w:footnoteReference w:id="285"/>
      </w:r>
      <w:r>
        <w:t xml:space="preserve">. Quatrième stock d’actifs de retraite au monde, après les États-Unis, le Japon, les Pays-Bas. Le secteur compte une centaine de fonds régulés par l’APRA, l’autorité prudentielle, avec une concentration croissante autour des plus gros :</w:t>
      </w:r>
      <w:r>
        <w:t xml:space="preserve"> </w:t>
      </w:r>
      <w:r>
        <w:rPr>
          <w:b/>
          <w:bCs/>
        </w:rPr>
        <w:t xml:space="preserve">AustralianSuper</w:t>
      </w:r>
      <w:r>
        <w:t xml:space="preserve"> </w:t>
      </w:r>
      <w:r>
        <w:t xml:space="preserve">(385 milliards AUD, 3,67 millions de membres), Australian Retirement Trust (334 milliards), Aware Super (180 milliards), UniSuper, Hostplus, et quelques autres</w:t>
      </w:r>
      <w:r>
        <w:rPr>
          <w:rStyle w:val="FootnoteReference"/>
        </w:rPr>
        <w:footnoteReference w:id="286"/>
      </w:r>
      <w:r>
        <w:t xml:space="preserve">. À eux dix, ils gèrent 64 % de tous les actifs</w:t>
      </w:r>
      <w:r>
        <w:t xml:space="preserve"> </w:t>
      </w:r>
      <w:r>
        <w:rPr>
          <w:i/>
          <w:iCs/>
        </w:rPr>
        <w:t xml:space="preserve">super</w:t>
      </w:r>
      <w:r>
        <w:t xml:space="preserve"> </w:t>
      </w:r>
      <w:r>
        <w:t xml:space="preserve">du pays. Performance d’AustralianSuper sur dix ans glissants, fonds</w:t>
      </w:r>
      <w:r>
        <w:t xml:space="preserve"> </w:t>
      </w:r>
      <w:r>
        <w:rPr>
          <w:i/>
          <w:iCs/>
        </w:rPr>
        <w:t xml:space="preserve">Balanced</w:t>
      </w:r>
      <w:r>
        <w:t xml:space="preserve"> </w:t>
      </w:r>
      <w:r>
        <w:t xml:space="preserve">:</w:t>
      </w:r>
      <w:r>
        <w:t xml:space="preserve"> </w:t>
      </w:r>
      <w:r>
        <w:rPr>
          <w:b/>
          <w:bCs/>
        </w:rPr>
        <w:t xml:space="preserve">7,94 % par an net de frais</w:t>
      </w:r>
      <w:r>
        <w:rPr>
          <w:rStyle w:val="FootnoteReference"/>
        </w:rPr>
        <w:footnoteReference w:id="287"/>
      </w:r>
      <w:r>
        <w:t xml:space="preserve">. Sur le segment</w:t>
      </w:r>
      <w:r>
        <w:t xml:space="preserve"> </w:t>
      </w:r>
      <w:r>
        <w:rPr>
          <w:i/>
          <w:iCs/>
        </w:rPr>
        <w:t xml:space="preserve">MySuper</w:t>
      </w:r>
      <w:r>
        <w:t xml:space="preserve">, qui est l’option par défaut destinée aux salariés qui n’ont pas choisi leur fonds, les frais médians s’établissent à 0,27 % par an - six à huit fois moins qu’une assurance-vie française en unités de compte.</w:t>
      </w:r>
    </w:p>
    <w:p>
      <w:pPr>
        <w:pStyle w:val="BodyText"/>
      </w:pPr>
      <w:r>
        <w:t xml:space="preserve">Le dispositif</w:t>
      </w:r>
      <w:r>
        <w:t xml:space="preserve"> </w:t>
      </w:r>
      <w:r>
        <w:rPr>
          <w:b/>
          <w:bCs/>
        </w:rPr>
        <w:t xml:space="preserve">MySuper</w:t>
      </w:r>
      <w:r>
        <w:t xml:space="preserve"> </w:t>
      </w:r>
      <w:r>
        <w:t xml:space="preserve">mérite, lui aussi, qu’on s’y arrête. Créé en 2014, c’est l’équivalent fonctionnel du fonds par défaut suédois AP7. Tout salarié qui ne choisit pas un fonds particulier est automatiquement inscrit dans le MySuper de son employeur - un produit équilibré, encadré par l’APRA, soumis à un</w:t>
      </w:r>
      <w:r>
        <w:t xml:space="preserve"> </w:t>
      </w:r>
      <w:r>
        <w:rPr>
          <w:i/>
          <w:iCs/>
        </w:rPr>
        <w:t xml:space="preserve">Performance Test</w:t>
      </w:r>
      <w:r>
        <w:t xml:space="preserve"> </w:t>
      </w:r>
      <w:r>
        <w:t xml:space="preserve">annuel. En 2021, à la première édition de ce test,</w:t>
      </w:r>
      <w:r>
        <w:t xml:space="preserve"> </w:t>
      </w:r>
      <w:r>
        <w:rPr>
          <w:b/>
          <w:bCs/>
        </w:rPr>
        <w:t xml:space="preserve">52 produits MySuper ont échoué</w:t>
      </w:r>
      <w:r>
        <w:t xml:space="preserve"> </w:t>
      </w:r>
      <w:r>
        <w:t xml:space="preserve">- beaucoup trop pour passer inaperçu. Le gouvernement Albanese, élu en 2022, a serré la vis. En 2025, les 52 produits encore en activité</w:t>
      </w:r>
      <w:r>
        <w:t xml:space="preserve"> </w:t>
      </w:r>
      <w:r>
        <w:rPr>
          <w:b/>
          <w:bCs/>
        </w:rPr>
        <w:t xml:space="preserve">ont tous passé le test</w:t>
      </w:r>
      <w:r>
        <w:rPr>
          <w:rStyle w:val="FootnoteReference"/>
        </w:rPr>
        <w:footnoteReference w:id="288"/>
      </w:r>
      <w:r>
        <w:t xml:space="preserve">. Le marché s’est nettoyé en quatre ans, par la grâce d’un benchmark public, transparent, opposable.</w:t>
      </w:r>
    </w:p>
    <w:p>
      <w:pPr>
        <w:pStyle w:val="BodyText"/>
      </w:pPr>
      <w:r>
        <w:t xml:space="preserve">Et l’argent ainsi accumulé travaille pour le pays. En 2022, un consortium piloté par IFM Investors et regroupant</w:t>
      </w:r>
      <w:r>
        <w:t xml:space="preserve"> </w:t>
      </w:r>
      <w:r>
        <w:rPr>
          <w:b/>
          <w:bCs/>
        </w:rPr>
        <w:t xml:space="preserve">AustralianSuper, Australian Retirement Trust, Aware Super et UniSuper</w:t>
      </w:r>
      <w:r>
        <w:t xml:space="preserve"> </w:t>
      </w:r>
      <w:r>
        <w:t xml:space="preserve">rachète</w:t>
      </w:r>
      <w:r>
        <w:t xml:space="preserve"> </w:t>
      </w:r>
      <w:r>
        <w:rPr>
          <w:b/>
          <w:bCs/>
        </w:rPr>
        <w:t xml:space="preserve">Sydney Airport</w:t>
      </w:r>
      <w:r>
        <w:t xml:space="preserve"> </w:t>
      </w:r>
      <w:r>
        <w:t xml:space="preserve">pour plus de 20 milliards de dollars australiens, le retire de la cote et le ramène sous contrôle domestique</w:t>
      </w:r>
      <w:r>
        <w:rPr>
          <w:rStyle w:val="FootnoteReference"/>
        </w:rPr>
        <w:footnoteReference w:id="289"/>
      </w:r>
      <w:r>
        <w:t xml:space="preserve">. Les autoroutes M7 et Westconnex à Sydney, les aéroports de Melbourne et Perth, des champs photovoltaïques, des forêts plantées : la superannuation australienne est devenue l’investisseur de référence sur les infrastructures du pays. À l’échelle de la Bourse, les fonds</w:t>
      </w:r>
      <w:r>
        <w:t xml:space="preserve"> </w:t>
      </w:r>
      <w:r>
        <w:rPr>
          <w:i/>
          <w:iCs/>
        </w:rPr>
        <w:t xml:space="preserve">super</w:t>
      </w:r>
      <w:r>
        <w:t xml:space="preserve"> </w:t>
      </w:r>
      <w:r>
        <w:t xml:space="preserve">détiennent désormais autour de 35 % de la capitalisation de l’ASX, et la projection de Deloitte porte ce chiffre à 60 % d’ici 2038</w:t>
      </w:r>
      <w:r>
        <w:rPr>
          <w:rStyle w:val="FootnoteReference"/>
        </w:rPr>
        <w:footnoteReference w:id="290"/>
      </w:r>
      <w:r>
        <w:t xml:space="preserve">.</w:t>
      </w:r>
    </w:p>
    <w:p>
      <w:pPr>
        <w:pStyle w:val="BodyText"/>
      </w:pPr>
      <w:r>
        <w:t xml:space="preserve">Du point de vue français, la leçon australienne est claire. Elle se résume en quelques mots :</w:t>
      </w:r>
      <w:r>
        <w:t xml:space="preserve"> </w:t>
      </w:r>
      <w:r>
        <w:rPr>
          <w:i/>
          <w:iCs/>
        </w:rPr>
        <w:t xml:space="preserve">cotisation patronale, montée graduelle, consensus transpartisan</w:t>
      </w:r>
      <w:r>
        <w:t xml:space="preserve">. La cotisation patronale fait sauter le verrou symbolique du « double paiement » - l’objection française par excellence, à laquelle nous reviendrons au chapitre 5.</w:t>
      </w:r>
    </w:p>
    <w:p>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w:t>
      </w:r>
      <w:r>
        <w:t xml:space="preserve"> </w:t>
      </w:r>
      <w:r>
        <w:rPr>
          <w:i/>
          <w:iCs/>
        </w:rPr>
        <w:t xml:space="preserve">Superannuation Guarantee</w:t>
      </w:r>
      <w:r>
        <w:t xml:space="preserve">.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pPr>
        <w:pStyle w:val="BodyText"/>
      </w:pPr>
      <w:r>
        <w:t xml:space="preserve">Qui, en France, signerait l’équivalent ? Quel ministre des Finances, quel secrétaire de la CFDT, quel président d’organisation patronale auraient à la fois la force, la légitimité et la patience de tenir un accord pluripartite sur trente ans ?</w:t>
      </w:r>
    </w:p>
    <w:bookmarkEnd w:id="291"/>
    <w:bookmarkStart w:id="306" w:name="singapour-le-modèle-asiatique-mature"/>
    <w:p>
      <w:pPr>
        <w:pStyle w:val="Heading3"/>
      </w:pPr>
      <w:r>
        <w:t xml:space="preserve">Singapour : le modèle asiatique mature</w:t>
      </w:r>
    </w:p>
    <w:p>
      <w:pPr>
        <w:pStyle w:val="FirstParagraph"/>
      </w:pPr>
      <w:r>
        <w:t xml:space="preserve">Singapour, 1959.</w:t>
      </w:r>
      <w:r>
        <w:t xml:space="preserve"> </w:t>
      </w:r>
      <w:r>
        <w:rPr>
          <w:b/>
          <w:bCs/>
        </w:rPr>
        <w:t xml:space="preserve">Lee Kuan Yew</w:t>
      </w:r>
      <w:r>
        <w:t xml:space="preserve">,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92"/>
      </w:r>
      <w:r>
        <w:t xml:space="preserve">.</w:t>
      </w:r>
    </w:p>
    <w:p>
      <w:pPr>
        <w:pStyle w:val="BodyText"/>
      </w:pPr>
      <w:r>
        <w:t xml:space="preserve">Le</w:t>
      </w:r>
      <w:r>
        <w:t xml:space="preserve"> </w:t>
      </w:r>
      <w:r>
        <w:rPr>
          <w:b/>
          <w:bCs/>
        </w:rPr>
        <w:t xml:space="preserve">Central Provident Fund</w:t>
      </w:r>
      <w:r>
        <w:t xml:space="preserve"> </w:t>
      </w:r>
      <w:r>
        <w:t xml:space="preserve">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Kuan Yew en hérite. Et il en fait tout autre chose. Avec son ministre des Finances</w:t>
      </w:r>
      <w:r>
        <w:t xml:space="preserve"> </w:t>
      </w:r>
      <w:r>
        <w:rPr>
          <w:b/>
          <w:bCs/>
        </w:rPr>
        <w:t xml:space="preserve">Goh Keng Swee</w:t>
      </w:r>
      <w:r>
        <w:t xml:space="preserve">, économiste formé à la London School of Economics et architecte du miracle économique singapourien, il transforme progressivement le CPF en outil de politique sociale</w:t>
      </w:r>
      <w:r>
        <w:rPr>
          <w:rStyle w:val="FootnoteReference"/>
        </w:rPr>
        <w:footnoteReference w:id="293"/>
      </w:r>
      <w:r>
        <w:t xml:space="preserve">.</w:t>
      </w:r>
    </w:p>
    <w:p>
      <w:pPr>
        <w:pStyle w:val="BodyText"/>
      </w:pPr>
      <w:r>
        <w:rPr>
          <w:b/>
          <w:bCs/>
        </w:rPr>
        <w:t xml:space="preserve">1968</w:t>
      </w:r>
      <w:r>
        <w:t xml:space="preserve">, première grande mutation : Lee Kuan Yew autorise l’usage du CPF pour acheter un logement public - un appartement HDB,</w:t>
      </w:r>
      <w:r>
        <w:t xml:space="preserve"> </w:t>
      </w:r>
      <w:r>
        <w:rPr>
          <w:i/>
          <w:iCs/>
        </w:rPr>
        <w:t xml:space="preserve">Housing and Development Board</w:t>
      </w:r>
      <w:r>
        <w:t xml:space="preserve">. C’est l’inflexion fondatrice. À partir de ce moment-là, l’épargne forcée cesse d’être un produit de retraite pour devenir un instrument d’accession à la propriété. Lee, dans ses mémoires, explique le calcul politique :</w:t>
      </w:r>
      <w:r>
        <w:t xml:space="preserve"> </w:t>
      </w:r>
      <w:r>
        <w:rPr>
          <w:i/>
          <w:iCs/>
        </w:rPr>
        <w:t xml:space="preserve">un Singapourien propriétaire est un Singapourien attaché au pays</w:t>
      </w:r>
      <w:r>
        <w:rPr>
          <w:rStyle w:val="FootnoteReference"/>
        </w:rPr>
        <w:footnoteReference w:id="294"/>
      </w:r>
      <w:r>
        <w:t xml:space="preserve">. La logique fonctionne. En 2024,</w:t>
      </w:r>
      <w:r>
        <w:t xml:space="preserve"> </w:t>
      </w:r>
      <w:r>
        <w:rPr>
          <w:b/>
          <w:bCs/>
        </w:rPr>
        <w:t xml:space="preserve">90 % des résidents singapouriens sont propriétaires de leur logement</w:t>
      </w:r>
      <w:r>
        <w:t xml:space="preserve">, et 80 % vivent en HDB construits par l’État</w:t>
      </w:r>
      <w:r>
        <w:rPr>
          <w:rStyle w:val="FootnoteReference"/>
        </w:rPr>
        <w:footnoteReference w:id="295"/>
      </w:r>
      <w:r>
        <w:t xml:space="preserve">. C’est probablement le taux d’accession à la propriété le plus élevé du monde développé. Comparaison : 66 % en France, 51 % en Allemagne.</w:t>
      </w:r>
    </w:p>
    <w:p>
      <w:pPr>
        <w:pStyle w:val="BodyText"/>
      </w:pPr>
      <w:r>
        <w:t xml:space="preserve">L’architecture s’enrichit progressivement.</w:t>
      </w:r>
      <w:r>
        <w:t xml:space="preserve"> </w:t>
      </w:r>
      <w:r>
        <w:rPr>
          <w:b/>
          <w:bCs/>
        </w:rPr>
        <w:t xml:space="preserve">1974</w:t>
      </w:r>
      <w:r>
        <w:t xml:space="preserve"> </w:t>
      </w:r>
      <w:r>
        <w:t xml:space="preserve">: création du</w:t>
      </w:r>
      <w:r>
        <w:t xml:space="preserve"> </w:t>
      </w:r>
      <w:r>
        <w:rPr>
          <w:i/>
          <w:iCs/>
        </w:rPr>
        <w:t xml:space="preserve">Special Account</w:t>
      </w:r>
      <w:r>
        <w:t xml:space="preserve"> </w:t>
      </w:r>
      <w:r>
        <w:t xml:space="preserve">(SA), réservé strictement à la retraite, mieux rémunéré.</w:t>
      </w:r>
      <w:r>
        <w:t xml:space="preserve"> </w:t>
      </w:r>
      <w:r>
        <w:rPr>
          <w:b/>
          <w:bCs/>
        </w:rPr>
        <w:t xml:space="preserve">1984</w:t>
      </w:r>
      <w:r>
        <w:t xml:space="preserve"> </w:t>
      </w:r>
      <w:r>
        <w:t xml:space="preserve">: création du</w:t>
      </w:r>
      <w:r>
        <w:t xml:space="preserve"> </w:t>
      </w:r>
      <w:r>
        <w:rPr>
          <w:i/>
          <w:iCs/>
        </w:rPr>
        <w:t xml:space="preserve">MediSave Account</w:t>
      </w:r>
      <w:r>
        <w:t xml:space="preserve"> </w:t>
      </w:r>
      <w:r>
        <w:t xml:space="preserve">(MA), qui finance la santé.</w:t>
      </w:r>
      <w:r>
        <w:t xml:space="preserve"> </w:t>
      </w:r>
      <w:r>
        <w:rPr>
          <w:b/>
          <w:bCs/>
        </w:rPr>
        <w:t xml:space="preserve">2008</w:t>
      </w:r>
      <w:r>
        <w:t xml:space="preserve"> </w:t>
      </w:r>
      <w:r>
        <w:t xml:space="preserve">: création du</w:t>
      </w:r>
      <w:r>
        <w:t xml:space="preserve"> </w:t>
      </w:r>
      <w:r>
        <w:rPr>
          <w:i/>
          <w:iCs/>
        </w:rPr>
        <w:t xml:space="preserve">Retirement Account</w:t>
      </w:r>
      <w:r>
        <w:t xml:space="preserve"> </w:t>
      </w:r>
      <w:r>
        <w:t xml:space="preserve">(RA), qui à 55 ans bascule une partie des fonds vers une rente viagère.</w:t>
      </w:r>
      <w:r>
        <w:t xml:space="preserve"> </w:t>
      </w:r>
      <w:r>
        <w:rPr>
          <w:b/>
          <w:bCs/>
        </w:rPr>
        <w:t xml:space="preserve">2009</w:t>
      </w:r>
      <w:r>
        <w:t xml:space="preserve"> </w:t>
      </w:r>
      <w:r>
        <w:t xml:space="preserve">: lancement de</w:t>
      </w:r>
      <w:r>
        <w:t xml:space="preserve"> </w:t>
      </w:r>
      <w:r>
        <w:rPr>
          <w:b/>
          <w:bCs/>
        </w:rPr>
        <w:t xml:space="preserve">CPF LIFE</w:t>
      </w:r>
      <w:r>
        <w:t xml:space="preserve">, rente viagère obligatoire pour les Singapouriens nés en 1958 ou après, garantissant un revenu mensuel à vie au-delà de 65 ans. Quatre comptes, quatre usages, un seul fonds - la retraite, le logement, la santé et la rente sont financés par le même véhicule</w:t>
      </w:r>
      <w:r>
        <w:rPr>
          <w:rStyle w:val="FootnoteReference"/>
        </w:rPr>
        <w:footnoteReference w:id="296"/>
      </w:r>
      <w:r>
        <w:t xml:space="preserve">.</w:t>
      </w:r>
    </w:p>
    <w:p>
      <w:pPr>
        <w:pStyle w:val="BodyText"/>
      </w:pPr>
      <w:r>
        <w:t xml:space="preserve">Côté cotisations, le taux total dépasse aujourd’hui</w:t>
      </w:r>
      <w:r>
        <w:t xml:space="preserve"> </w:t>
      </w:r>
      <w:r>
        <w:rPr>
          <w:b/>
          <w:bCs/>
        </w:rPr>
        <w:t xml:space="preserve">37 % du salaire brut</w:t>
      </w:r>
      <w:r>
        <w:t xml:space="preserve"> </w:t>
      </w:r>
      <w:r>
        <w:t xml:space="preserve">pour les moins de 55 ans : 17 % patronal, 20 % salarié</w:t>
      </w:r>
      <w:r>
        <w:rPr>
          <w:rStyle w:val="FootnoteReference"/>
        </w:rPr>
        <w:footnoteReference w:id="297"/>
      </w:r>
      <w:r>
        <w:t xml:space="preserve">. À première lecture, c’est énorme. Mais Singapour n’a pas de TVA significative, pas d’impôt sur le revenu progressif au-delà de 22 %, pas de cotisation sociale séparée. Le CPF</w:t>
      </w:r>
      <w:r>
        <w:t xml:space="preserve"> </w:t>
      </w:r>
      <w:r>
        <w:rPr>
          <w:i/>
          <w:iCs/>
        </w:rPr>
        <w:t xml:space="preserve">est</w:t>
      </w:r>
      <w:r>
        <w:t xml:space="preserve"> </w:t>
      </w:r>
      <w:r>
        <w:t xml:space="preserve">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 environ 5 500 euros - pour ne pas faire de l’épargne forcée un piège pour les hauts revenus.</w:t>
      </w:r>
    </w:p>
    <w:p>
      <w:pPr>
        <w:pStyle w:val="BodyText"/>
      </w:pPr>
      <w:r>
        <w:t xml:space="preserve">La grande spécificité de Singapour, par rapport à la Suède ou l’Australie, est que</w:t>
      </w:r>
      <w:r>
        <w:t xml:space="preserve"> </w:t>
      </w:r>
      <w:r>
        <w:rPr>
          <w:b/>
          <w:bCs/>
        </w:rPr>
        <w:t xml:space="preserve">les rendements sont garantis par l’État</w:t>
      </w:r>
      <w:r>
        <w:t xml:space="preserve">. L’OA paye 2,5 % par an minimum, les autres comptes 4 %, avec un bonus de 1 à 2 points pour les bas soldes et les seniors. C’est l’État qui prend le risque d’investissement, à travers son agence souveraine</w:t>
      </w:r>
      <w:r>
        <w:t xml:space="preserve"> </w:t>
      </w:r>
      <w:r>
        <w:rPr>
          <w:b/>
          <w:bCs/>
        </w:rPr>
        <w:t xml:space="preserve">GIC</w:t>
      </w:r>
      <w:r>
        <w:t xml:space="preserve"> </w:t>
      </w:r>
      <w:r>
        <w:t xml:space="preserve">(</w:t>
      </w:r>
      <w:r>
        <w:rPr>
          <w:i/>
          <w:iCs/>
        </w:rPr>
        <w:t xml:space="preserve">Government of Singapore Investment Corporation</w:t>
      </w:r>
      <w:r>
        <w:t xml:space="preserve">), dont les actifs estimés dépassent 800 milliards de dollars à mi-2025</w:t>
      </w:r>
      <w:r>
        <w:rPr>
          <w:rStyle w:val="FootnoteReference"/>
        </w:rPr>
        <w:footnoteReference w:id="298"/>
      </w:r>
      <w:r>
        <w:t xml:space="preserve">. GIC place pour le compte de l’État, livre une performance moyenne réelle de l’ordre de 4 à 5 % sur trente ans, et la différence entre cette performance et les taux garantis aux Singapouriens alimente les réserves nationales. Critique récurrente du</w:t>
      </w:r>
      <w:r>
        <w:t xml:space="preserve"> </w:t>
      </w:r>
      <w:r>
        <w:rPr>
          <w:b/>
          <w:bCs/>
        </w:rPr>
        <w:t xml:space="preserve">Workers’ Party</w:t>
      </w:r>
      <w:r>
        <w:t xml:space="preserve">, principale formation d’opposition : l’État pourrait verser davantage aux cotisants</w:t>
      </w:r>
      <w:r>
        <w:rPr>
          <w:rStyle w:val="FootnoteReference"/>
        </w:rPr>
        <w:footnoteReference w:id="299"/>
      </w:r>
      <w:r>
        <w:t xml:space="preserve">. Réponse constante du gouvernement</w:t>
      </w:r>
      <w:r>
        <w:t xml:space="preserve"> </w:t>
      </w:r>
      <w:r>
        <w:rPr>
          <w:i/>
          <w:iCs/>
        </w:rPr>
        <w:t xml:space="preserve">People’s Action Party</w:t>
      </w:r>
      <w:r>
        <w:t xml:space="preserve"> </w:t>
      </w:r>
      <w:r>
        <w:t xml:space="preserve">(PAP) : la garantie a une valeur, et cette valeur explique en partie l’écart.</w:t>
      </w:r>
    </w:p>
    <w:p>
      <w:pPr>
        <w:pStyle w:val="BodyText"/>
      </w:pPr>
      <w:r>
        <w:t xml:space="preserve">Encours total du CPF fin 2024 :</w:t>
      </w:r>
      <w:r>
        <w:t xml:space="preserve"> </w:t>
      </w:r>
      <w:r>
        <w:rPr>
          <w:b/>
          <w:bCs/>
        </w:rPr>
        <w:t xml:space="preserve">609,5 milliards de dollars singapouriens</w:t>
      </w:r>
      <w:r>
        <w:t xml:space="preserve">, environ 420 milliards d’euros, soit 94 % du PIB</w:t>
      </w:r>
      <w:r>
        <w:rPr>
          <w:rStyle w:val="FootnoteReference"/>
        </w:rPr>
        <w:footnoteReference w:id="300"/>
      </w:r>
      <w:r>
        <w:t xml:space="preserve">.</w:t>
      </w:r>
      <w:r>
        <w:t xml:space="preserve"> </w:t>
      </w:r>
      <w:r>
        <w:rPr>
          <w:b/>
          <w:bCs/>
        </w:rPr>
        <w:t xml:space="preserve">4,2 millions de membres</w:t>
      </w:r>
      <w:r>
        <w:t xml:space="preserve">, dans un pays de 5,7 millions d’habitants. Le système est arrivé à maturité, et il est désormais inclus dans la mécanique fine de la politique sociale.</w:t>
      </w:r>
      <w:r>
        <w:t xml:space="preserve"> </w:t>
      </w:r>
      <w:r>
        <w:rPr>
          <w:b/>
          <w:bCs/>
        </w:rPr>
        <w:t xml:space="preserve">Janvier 2025</w:t>
      </w:r>
      <w:r>
        <w:t xml:space="preserve"> </w:t>
      </w:r>
      <w:r>
        <w:t xml:space="preserve">: le gouvernement a fermé le</w:t>
      </w:r>
      <w:r>
        <w:t xml:space="preserve"> </w:t>
      </w:r>
      <w:r>
        <w:rPr>
          <w:i/>
          <w:iCs/>
        </w:rPr>
        <w:t xml:space="preserve">Special Account</w:t>
      </w:r>
      <w:r>
        <w:t xml:space="preserve"> </w:t>
      </w:r>
      <w:r>
        <w:t xml:space="preserve">aux 55 ans et plus, redirigeant les fonds vers le</w:t>
      </w:r>
      <w:r>
        <w:t xml:space="preserve"> </w:t>
      </w:r>
      <w:r>
        <w:rPr>
          <w:i/>
          <w:iCs/>
        </w:rPr>
        <w:t xml:space="preserve">Retirement Account</w:t>
      </w:r>
      <w:r>
        <w:t xml:space="preserve">, pour mieux structurer la phase de décaissement</w:t>
      </w:r>
      <w:r>
        <w:rPr>
          <w:rStyle w:val="FootnoteReference"/>
        </w:rPr>
        <w:footnoteReference w:id="301"/>
      </w:r>
      <w:r>
        <w:t xml:space="preserve">.</w:t>
      </w:r>
      <w:r>
        <w:t xml:space="preserve"> </w:t>
      </w:r>
      <w:r>
        <w:rPr>
          <w:b/>
          <w:bCs/>
        </w:rPr>
        <w:t xml:space="preserve">Août 2023</w:t>
      </w:r>
      <w:r>
        <w:t xml:space="preserve"> </w:t>
      </w:r>
      <w:r>
        <w:t xml:space="preserve">: annonce du</w:t>
      </w:r>
      <w:r>
        <w:t xml:space="preserve"> </w:t>
      </w:r>
      <w:r>
        <w:rPr>
          <w:b/>
          <w:bCs/>
        </w:rPr>
        <w:t xml:space="preserve">Majulah Package</w:t>
      </w:r>
      <w:r>
        <w:t xml:space="preserve">, programme de soutien de</w:t>
      </w:r>
      <w:r>
        <w:t xml:space="preserve"> </w:t>
      </w:r>
      <w:r>
        <w:rPr>
          <w:b/>
          <w:bCs/>
        </w:rPr>
        <w:t xml:space="preserve">7 milliards de dollars singapouriens</w:t>
      </w:r>
      <w:r>
        <w:t xml:space="preserve"> </w:t>
      </w:r>
      <w:r>
        <w:t xml:space="preserve">pour la « génération sandwich » née entre 1965 et 1973, qui supporte simultanément la charge de ses parents âgés et de ses enfants</w:t>
      </w:r>
      <w:r>
        <w:rPr>
          <w:rStyle w:val="FootnoteReference"/>
        </w:rPr>
        <w:footnoteReference w:id="302"/>
      </w:r>
      <w:r>
        <w:t xml:space="preserve">.</w:t>
      </w:r>
    </w:p>
    <w:p>
      <w:pPr>
        <w:pStyle w:val="BodyText"/>
      </w:pPr>
      <w:r>
        <w:t xml:space="preserve">À cela s’ajoute le</w:t>
      </w:r>
      <w:r>
        <w:t xml:space="preserve"> </w:t>
      </w:r>
      <w:r>
        <w:rPr>
          <w:b/>
          <w:bCs/>
        </w:rPr>
        <w:t xml:space="preserve">Silver Support Scheme</w:t>
      </w:r>
      <w:r>
        <w:t xml:space="preserve">,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303"/>
      </w:r>
      <w:r>
        <w:t xml:space="preserve">. C’est la version singapourienne de la garantipension suédoise. Indispensable, parce que même un système d’épargne forcé à 37 % laisse derrière lui des carrières fragmentaires, surtout du côté féminin, où l’écart de soldes CPF se situe autour de 7 à 10 % par rapport aux hommes</w:t>
      </w:r>
      <w:r>
        <w:rPr>
          <w:rStyle w:val="FootnoteReference"/>
        </w:rPr>
        <w:footnoteReference w:id="304"/>
      </w:r>
      <w:r>
        <w:t xml:space="preserve">.</w:t>
      </w:r>
    </w:p>
    <w:p>
      <w:pPr>
        <w:pStyle w:val="BodyText"/>
      </w:pPr>
      <w:r>
        <w:t xml:space="preserve">Le résultat global, en 2025 ? Le</w:t>
      </w:r>
      <w:r>
        <w:t xml:space="preserve"> </w:t>
      </w:r>
      <w:r>
        <w:rPr>
          <w:b/>
          <w:bCs/>
        </w:rPr>
        <w:t xml:space="preserve">Mercer CFA Global Pension Index</w:t>
      </w:r>
      <w:r>
        <w:t xml:space="preserve"> </w:t>
      </w:r>
      <w:r>
        <w:t xml:space="preserve">classe Singapour</w:t>
      </w:r>
      <w:r>
        <w:t xml:space="preserve"> </w:t>
      </w:r>
      <w:r>
        <w:rPr>
          <w:b/>
          <w:bCs/>
        </w:rPr>
        <w:t xml:space="preserve">5ᵉ mondial avec une note A</w:t>
      </w:r>
      <w:r>
        <w:t xml:space="preserve">, première place asiatique, devant le Royaume-Uni, l’Australie, la Finlande</w:t>
      </w:r>
      <w:r>
        <w:rPr>
          <w:rStyle w:val="FootnoteReference"/>
        </w:rPr>
        <w:footnoteReference w:id="305"/>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 épargne forcée</w:t>
      </w:r>
      <w:r>
        <w:t xml:space="preserve"> </w:t>
      </w:r>
      <w:r>
        <w:rPr>
          <w:i/>
          <w:iCs/>
        </w:rPr>
        <w:t xml:space="preserve">contre</w:t>
      </w:r>
      <w:r>
        <w:t xml:space="preserve"> </w:t>
      </w:r>
      <w:r>
        <w:t xml:space="preserve">propriété accessible</w:t>
      </w:r>
      <w:r>
        <w:t xml:space="preserve"> </w:t>
      </w:r>
      <w:r>
        <w:rPr>
          <w:i/>
          <w:iCs/>
        </w:rPr>
        <w:t xml:space="preserve">contre</w:t>
      </w:r>
      <w:r>
        <w:t xml:space="preserve"> </w:t>
      </w:r>
      <w:r>
        <w:t xml:space="preserve">protection sociale intégrée - n’a jamais été rompu. Aucun Premier ministre singapourien n’a jamais tenté d’abolir le CPF. Aucun n’a même tenté de le réduire significativement. C’est tabou, au sens noble du mot : c’est un acquis civilisationnel.</w:t>
      </w:r>
    </w:p>
    <w:p>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 le PAP a remporté toutes les élections nationales depuis 1959, fait que peu de démocraties européennes accepteraient.</w:t>
      </w:r>
    </w:p>
    <w:p>
      <w:pPr>
        <w:pStyle w:val="BodyText"/>
      </w:pPr>
      <w:r>
        <w:t xml:space="preserve">Mais beaucoup, malgré tout, est transposable au niveau des principes.</w:t>
      </w:r>
      <w:r>
        <w:t xml:space="preserve"> </w:t>
      </w:r>
      <w:r>
        <w:rPr>
          <w:b/>
          <w:bCs/>
        </w:rPr>
        <w:t xml:space="preserve">Premier principe</w:t>
      </w:r>
      <w:r>
        <w:t xml:space="preserve"> </w:t>
      </w:r>
      <w:r>
        <w:t xml:space="preserve">: un</w:t>
      </w:r>
      <w:r>
        <w:t xml:space="preserve"> </w:t>
      </w:r>
      <w:r>
        <w:rPr>
          <w:i/>
          <w:iCs/>
        </w:rPr>
        <w:t xml:space="preserve">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w:t>
      </w:r>
      <w:r>
        <w:t xml:space="preserve"> </w:t>
      </w:r>
      <w:r>
        <w:rPr>
          <w:b/>
          <w:bCs/>
        </w:rPr>
        <w:t xml:space="preserve">Deuxième principe</w:t>
      </w:r>
      <w:r>
        <w:t xml:space="preserve"> </w:t>
      </w:r>
      <w:r>
        <w:t xml:space="preserve">: un plancher universel, ciblé sans demande administrative, qui empêche n’importe quel travailleur à carrière courte de basculer sous le seuil de pauvreté.</w:t>
      </w:r>
      <w:r>
        <w:t xml:space="preserve"> </w:t>
      </w:r>
      <w:r>
        <w:rPr>
          <w:b/>
          <w:bCs/>
        </w:rPr>
        <w:t xml:space="preserve">Troisième principe</w:t>
      </w:r>
      <w:r>
        <w:t xml:space="preserve"> </w:t>
      </w:r>
      <w:r>
        <w:t xml:space="preserve">: un rendement garanti pour la part socle, avec un acteur public - l’État ou un véhicule comme la Caisse des dépôts - qui assume le risque d’investissement. La Suède a son AP7, mais sans garantie ; Singapour ajoute la garantie. Pour un pays comme la France, où la culture de l’épargne</w:t>
      </w:r>
      <w:r>
        <w:t xml:space="preserve"> </w:t>
      </w:r>
      <w:r>
        <w:rPr>
          <w:i/>
          <w:iCs/>
        </w:rPr>
        <w:t xml:space="preserve">liquide et garantie</w:t>
      </w:r>
      <w:r>
        <w:t xml:space="preserve"> </w:t>
      </w:r>
      <w:r>
        <w:t xml:space="preserve">est intacte depuis le Livret A de 1818, ce dernier principe a une portée particulière.</w:t>
      </w:r>
      <w:r>
        <w:t xml:space="preserve"> </w:t>
      </w:r>
      <w:r>
        <w:rPr>
          <w:i/>
          <w:iCs/>
        </w:rPr>
        <w:t xml:space="preserve">On peut très bien capitaliser sans transférer le risque au cotisant individuel</w:t>
      </w:r>
      <w:r>
        <w:t xml:space="preserve">. Le système suédois ne le fait qu’à moitié ; le système singapourien le fait à 100 %.</w:t>
      </w:r>
    </w:p>
    <w:p>
      <w:pPr>
        <w:pStyle w:val="BodyText"/>
      </w:pPr>
      <w:r>
        <w:t xml:space="preserve">C’est la deuxième leçon politique du chapitre, et elle vise particulièrement la gauche française : si la peur c’est le risque de marché, le risque de marché peut être absorbé par l’État. Cela a un coût, qui est l’écart de rendement entre ce que livre le marché et ce que reçoit l’épargnant. À Singapour, cet écart finance les réserves nationales. C’est un</w:t>
      </w:r>
      <w:r>
        <w:t xml:space="preserve"> </w:t>
      </w:r>
      <w:r>
        <w:rPr>
          <w:i/>
          <w:iCs/>
        </w:rPr>
        <w:t xml:space="preserve">deal</w:t>
      </w:r>
      <w:r>
        <w:t xml:space="preserve"> </w:t>
      </w:r>
      <w:r>
        <w:t xml:space="preserve">explicite, négocié, accepté. La gauche française pourrait s’en inspirer.</w:t>
      </w:r>
    </w:p>
    <w:bookmarkEnd w:id="306"/>
    <w:bookmarkStart w:id="328" w:name="X297deed7a2565db2b7f8054dbc85a7c98e81549"/>
    <w:p>
      <w:pPr>
        <w:pStyle w:val="Heading3"/>
      </w:pPr>
      <w:r>
        <w:t xml:space="preserve">Chili : l’expérience unique du tout-capitalisation</w:t>
      </w:r>
    </w:p>
    <w:p>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pPr>
        <w:pStyle w:val="BodyText"/>
      </w:pPr>
      <w:r>
        <w:t xml:space="preserve">Une réforme préméditée, signée à la pointe du fusil</w:t>
      </w:r>
    </w:p>
    <w:p>
      <w:pPr>
        <w:pStyle w:val="BodyText"/>
      </w:pPr>
      <w:r>
        <w:t xml:space="preserve">Avant 1981, le Chili a un système par répartition fragmenté, hérité des années 1920, organisé en</w:t>
      </w:r>
      <w:r>
        <w:t xml:space="preserve"> </w:t>
      </w:r>
      <w:r>
        <w:rPr>
          <w:i/>
          <w:iCs/>
        </w:rPr>
        <w:t xml:space="preserve">Cajas</w:t>
      </w:r>
      <w:r>
        <w:t xml:space="preserve"> </w:t>
      </w:r>
      <w:r>
        <w:t xml:space="preserve">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pPr>
        <w:pStyle w:val="BodyText"/>
      </w:pPr>
      <w:r>
        <w:t xml:space="preserve">Le</w:t>
      </w:r>
      <w:r>
        <w:t xml:space="preserve"> </w:t>
      </w:r>
      <w:r>
        <w:rPr>
          <w:b/>
          <w:bCs/>
        </w:rPr>
        <w:t xml:space="preserve">11 septembre 1973</w:t>
      </w:r>
      <w:r>
        <w:t xml:space="preserve">, le général</w:t>
      </w:r>
      <w:r>
        <w:t xml:space="preserve"> </w:t>
      </w:r>
      <w:r>
        <w:rPr>
          <w:b/>
          <w:bCs/>
        </w:rPr>
        <w:t xml:space="preserve">Augusto Pinochet</w:t>
      </w:r>
      <w:r>
        <w:t xml:space="preserve"> </w:t>
      </w:r>
      <w:r>
        <w:t xml:space="preserve">renverse Salvador Allende. Le Parlement est dissous, les partis interdits, les syndicats désarmés. Le régime militaire durera jusqu’en 1990. Dans ce vide démocratique se déploie une équipe d’économistes connue sous le nom de</w:t>
      </w:r>
      <w:r>
        <w:t xml:space="preserve"> </w:t>
      </w:r>
      <w:r>
        <w:rPr>
          <w:b/>
          <w:bCs/>
        </w:rPr>
        <w:t xml:space="preserve">Chicago Boys</w:t>
      </w:r>
      <w:r>
        <w:t xml:space="preserve"> </w:t>
      </w:r>
      <w:r>
        <w:t xml:space="preserve">- une trentaine de Chiliens formés à l’Université de Chicago dans le cadre du</w:t>
      </w:r>
      <w:r>
        <w:t xml:space="preserve"> </w:t>
      </w:r>
      <w:r>
        <w:rPr>
          <w:i/>
          <w:iCs/>
        </w:rPr>
        <w:t xml:space="preserve">Chile-Chicago Project</w:t>
      </w:r>
      <w:r>
        <w:t xml:space="preserve"> </w:t>
      </w:r>
      <w:r>
        <w:t xml:space="preserve">engagé en 1956 entre l’Universidad Católica de Santiago et le département d’économie de Chicago, sous l’autorité intellectuelle de Milton Friedman et d’Arnold Harberger</w:t>
      </w:r>
      <w:r>
        <w:rPr>
          <w:rStyle w:val="FootnoteReference"/>
        </w:rPr>
        <w:footnoteReference w:id="307"/>
      </w:r>
      <w:r>
        <w:t xml:space="preserve">. Ils ont préparé, avant même le coup d’État, un plan de transformation économique surnommé</w:t>
      </w:r>
      <w:r>
        <w:t xml:space="preserve"> </w:t>
      </w:r>
      <w:r>
        <w:rPr>
          <w:b/>
          <w:bCs/>
          <w:i/>
          <w:iCs/>
        </w:rPr>
        <w:t xml:space="preserve">El Ladrillo</w:t>
      </w:r>
      <w:r>
        <w:t xml:space="preserve"> </w:t>
      </w:r>
      <w:r>
        <w:t xml:space="preserve">-</w:t>
      </w:r>
      <w:r>
        <w:t xml:space="preserve"> </w:t>
      </w:r>
      <w:r>
        <w:rPr>
          <w:i/>
          <w:iCs/>
        </w:rPr>
        <w:t xml:space="preserve">la brique</w:t>
      </w:r>
      <w:r>
        <w:t xml:space="preserve">, en raison de son volume - qui circule sous le manteau dès 1972</w:t>
      </w:r>
      <w:r>
        <w:rPr>
          <w:rStyle w:val="FootnoteReference"/>
        </w:rPr>
        <w:footnoteReference w:id="308"/>
      </w:r>
      <w:r>
        <w:t xml:space="preserve">. La réforme des retraites y figure déjà. Elle n’est pas opportuniste. Elle est préméditée.</w:t>
      </w:r>
    </w:p>
    <w:p>
      <w:pPr>
        <w:pStyle w:val="BodyText"/>
      </w:pPr>
      <w:r>
        <w:t xml:space="preserve">En</w:t>
      </w:r>
      <w:r>
        <w:t xml:space="preserve"> </w:t>
      </w:r>
      <w:r>
        <w:rPr>
          <w:b/>
          <w:bCs/>
        </w:rPr>
        <w:t xml:space="preserve">mars 1975</w:t>
      </w:r>
      <w:r>
        <w:t xml:space="preserve">, Friedman lui-même se rend à Santiago, rencontre Pinochet, et publie au retour une lettre où il qualifie le Chili de</w:t>
      </w:r>
      <w:r>
        <w:t xml:space="preserve"> </w:t>
      </w:r>
      <w:r>
        <w:rPr>
          <w:i/>
          <w:iCs/>
        </w:rPr>
        <w:t xml:space="preserve">Chicago of Latin America</w:t>
      </w:r>
      <w:r>
        <w:t xml:space="preserve">. La caution intellectuelle internationale est posée. Sergio de Castro devient ministre des Finances la même année, puis ministre des Finances en titre de 1976 à 1982. Hernán Büchi prend la suite aux Finances de 1985 à 1989. Et c’est</w:t>
      </w:r>
      <w:r>
        <w:t xml:space="preserve"> </w:t>
      </w:r>
      <w:r>
        <w:rPr>
          <w:b/>
          <w:bCs/>
        </w:rPr>
        <w:t xml:space="preserve">José Piñera</w:t>
      </w:r>
      <w:r>
        <w:t xml:space="preserve">, jeune ministre du Travail et de la Sécurité sociale entre décembre 1978 et décembre 1980 - frère cadet du futur président Sebastián Piñera -, qui hérite du dossier retraites</w:t>
      </w:r>
      <w:r>
        <w:rPr>
          <w:rStyle w:val="FootnoteReference"/>
        </w:rPr>
        <w:footnoteReference w:id="309"/>
      </w:r>
      <w:r>
        <w:t xml:space="preserve">.</w:t>
      </w:r>
    </w:p>
    <w:p>
      <w:pPr>
        <w:pStyle w:val="BodyText"/>
      </w:pPr>
      <w:r>
        <w:t xml:space="preserve">Le</w:t>
      </w:r>
      <w:r>
        <w:t xml:space="preserve"> </w:t>
      </w:r>
      <w:r>
        <w:rPr>
          <w:b/>
          <w:bCs/>
        </w:rPr>
        <w:t xml:space="preserve">décret-loi n° 3500</w:t>
      </w:r>
      <w:r>
        <w:t xml:space="preserve"> </w:t>
      </w:r>
      <w:r>
        <w:t xml:space="preserve">est signé le</w:t>
      </w:r>
      <w:r>
        <w:t xml:space="preserve"> </w:t>
      </w:r>
      <w:r>
        <w:rPr>
          <w:b/>
          <w:bCs/>
        </w:rPr>
        <w:t xml:space="preserve">4 novembre 1980</w:t>
      </w:r>
      <w:r>
        <w:t xml:space="preserve">, publié au</w:t>
      </w:r>
      <w:r>
        <w:t xml:space="preserve"> </w:t>
      </w:r>
      <w:r>
        <w:rPr>
          <w:i/>
          <w:iCs/>
        </w:rPr>
        <w:t xml:space="preserve">Diario Oficial</w:t>
      </w:r>
      <w:r>
        <w:t xml:space="preserve"> </w:t>
      </w:r>
      <w:r>
        <w:t xml:space="preserve">le 13 novembre, et entre en vigueur le</w:t>
      </w:r>
      <w:r>
        <w:t xml:space="preserve"> </w:t>
      </w:r>
      <w:r>
        <w:rPr>
          <w:b/>
          <w:bCs/>
        </w:rPr>
        <w:t xml:space="preserve">1ᵉʳ mai 1981</w:t>
      </w:r>
      <w:r>
        <w:rPr>
          <w:rStyle w:val="FootnoteReference"/>
        </w:rPr>
        <w:footnoteReference w:id="310"/>
      </w:r>
      <w:r>
        <w:t xml:space="preserve">. Aucun débat parlementaire - il n’y a pas de Parlement. Aucune négociation syndicale - les syndicats sont muselés. Aucun référendum - l’opposition ne peut pas s’organiser. L’architecture est livrée clé en main :</w:t>
      </w:r>
      <w:r>
        <w:t xml:space="preserve"> </w:t>
      </w:r>
      <w:r>
        <w:rPr>
          <w:b/>
          <w:bCs/>
        </w:rPr>
        <w:t xml:space="preserve">10 % de cotisation versés par le salarié seul</w:t>
      </w:r>
      <w:r>
        <w:t xml:space="preserve">,</w:t>
      </w:r>
      <w:r>
        <w:t xml:space="preserve"> </w:t>
      </w:r>
      <w:r>
        <w:rPr>
          <w:b/>
          <w:bCs/>
        </w:rPr>
        <w:t xml:space="preserve">zéro cotisation patronale</w:t>
      </w:r>
      <w:r>
        <w:t xml:space="preserve">, gestion confiée à des sociétés privées en concurrence - les</w:t>
      </w:r>
      <w:r>
        <w:t xml:space="preserve"> </w:t>
      </w:r>
      <w:r>
        <w:rPr>
          <w:b/>
          <w:bCs/>
        </w:rPr>
        <w:t xml:space="preserve">AFP</w:t>
      </w:r>
      <w:r>
        <w:t xml:space="preserve">,</w:t>
      </w:r>
      <w:r>
        <w:t xml:space="preserve"> </w:t>
      </w:r>
      <w:r>
        <w:rPr>
          <w:i/>
          <w:iCs/>
        </w:rPr>
        <w:t xml:space="preserve">Administradoras de Fondos de Pensiones</w:t>
      </w:r>
      <w:r>
        <w:t xml:space="preserve"> </w:t>
      </w:r>
      <w:r>
        <w:t xml:space="preserve">-, capital strictement individuel,</w:t>
      </w:r>
      <w:r>
        <w:t xml:space="preserve"> </w:t>
      </w:r>
      <w:r>
        <w:rPr>
          <w:b/>
          <w:bCs/>
        </w:rPr>
        <w:t xml:space="preserve">suppression totale du pilier répartition</w:t>
      </w:r>
      <w:r>
        <w:t xml:space="preserve"> </w:t>
      </w:r>
      <w:r>
        <w:t xml:space="preserve">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311"/>
      </w:r>
      <w:r>
        <w:t xml:space="preserve">.</w:t>
      </w:r>
    </w:p>
    <w:p>
      <w:pPr>
        <w:pStyle w:val="BodyText"/>
      </w:pPr>
      <w:r>
        <w:t xml:space="preserve">Un détail mérite d’être noté, parce qu’il dit l’époque tout entière.</w:t>
      </w:r>
      <w:r>
        <w:t xml:space="preserve"> </w:t>
      </w:r>
      <w:r>
        <w:rPr>
          <w:b/>
          <w:bCs/>
        </w:rPr>
        <w:t xml:space="preserve">Les militaires conservent leur propre régime par répartition</w:t>
      </w:r>
      <w:r>
        <w:t xml:space="preserve">, géré par la CAPREDENA pour les forces armées et la DIPRECA pour les forces de l’ordre, intacts depuis 1915 et 1933 respectivement</w:t>
      </w:r>
      <w:r>
        <w:rPr>
          <w:rStyle w:val="FootnoteReference"/>
        </w:rPr>
        <w:footnoteReference w:id="312"/>
      </w:r>
      <w:r>
        <w:t xml:space="preserve">. Ceux-là mêmes qui imposent la capitalisation pure aux travailleurs civils refusent, pour leur propre corps, ce qu’ils prescrivent aux autres. La doctrine s’arrête à la porte de la caserne. Cela aussi compte. Cela dit qui croit, et qui ne croit pas, à ce qu’on impose.</w:t>
      </w:r>
    </w:p>
    <w:p>
      <w:pPr>
        <w:pStyle w:val="BodyText"/>
      </w:pPr>
      <w:r>
        <w:t xml:space="preserve">Une singularité mondiale</w:t>
      </w:r>
    </w:p>
    <w:p>
      <w:pPr>
        <w:pStyle w:val="BodyText"/>
      </w:pPr>
      <w:r>
        <w:t xml:space="preserve">Le DL 3500 a été abondamment imité. Entre 1990 et 2010, vingt-huit pays - dont le Pérou en 1993, la Colombie en 1993, l’Argentine en 1994, le Mexique en 1997, la Bolivie en 1997, le Salvador en 1998, le Costa Rica en 2001 - ont introduit, en tout ou partie, un pilier de comptes individuels gérés en privé inspiré du modèle chilien</w:t>
      </w:r>
      <w:r>
        <w:rPr>
          <w:rStyle w:val="FootnoteReference"/>
        </w:rPr>
        <w:footnoteReference w:id="313"/>
      </w:r>
      <w:r>
        <w:t xml:space="preserve">. La Banque mondiale, dans son rapport</w:t>
      </w:r>
      <w:r>
        <w:t xml:space="preserve"> </w:t>
      </w:r>
      <w:r>
        <w:rPr>
          <w:i/>
          <w:iCs/>
        </w:rPr>
        <w:t xml:space="preserve">Averting the Old Age Crisis</w:t>
      </w:r>
      <w:r>
        <w:t xml:space="preserve"> </w:t>
      </w:r>
      <w:r>
        <w:t xml:space="preserve">de 1994, en avait fait la promotion mondiale. C’était un moment idéologique. Il a duré une quinzaine d’années.</w:t>
      </w:r>
    </w:p>
    <w:p>
      <w:pPr>
        <w:pStyle w:val="BodyText"/>
      </w:pPr>
      <w:r>
        <w:t xml:space="preserve">Puis le mouvement s’inverse. En 2018, l’</w:t>
      </w:r>
      <w:r>
        <w:rPr>
          <w:b/>
          <w:bCs/>
        </w:rPr>
        <w:t xml:space="preserve">OIT</w:t>
      </w:r>
      <w:r>
        <w:t xml:space="preserve"> </w:t>
      </w:r>
      <w:r>
        <w:t xml:space="preserve">publie un rapport au titre programme :</w:t>
      </w:r>
      <w:r>
        <w:t xml:space="preserve"> </w:t>
      </w:r>
      <w:r>
        <w:rPr>
          <w:b/>
          <w:bCs/>
          <w:i/>
          <w:iCs/>
        </w:rPr>
        <w:t xml:space="preserve">Reversing Pension Privatizations</w:t>
      </w:r>
      <w:r>
        <w:rPr>
          <w:rStyle w:val="FootnoteReference"/>
        </w:rPr>
        <w:footnoteReference w:id="314"/>
      </w:r>
      <w:r>
        <w:t xml:space="preserve">. Bilan :</w:t>
      </w:r>
      <w:r>
        <w:t xml:space="preserve"> </w:t>
      </w:r>
      <w:r>
        <w:rPr>
          <w:b/>
          <w:bCs/>
        </w:rPr>
        <w:t xml:space="preserve">dix-huit pays sur trente</w:t>
      </w:r>
      <w:r>
        <w:t xml:space="preserve"> </w:t>
      </w:r>
      <w:r>
        <w:t xml:space="preserve">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w:t>
      </w:r>
      <w:r>
        <w:t xml:space="preserve"> </w:t>
      </w:r>
      <w:r>
        <w:rPr>
          <w:b/>
          <w:bCs/>
        </w:rPr>
        <w:t xml:space="preserve">laboratoire involontaire</w:t>
      </w:r>
      <w:r>
        <w:t xml:space="preserve"> </w:t>
      </w:r>
      <w:r>
        <w:t xml:space="preserve">: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pPr>
        <w:pStyle w:val="BodyText"/>
      </w:pPr>
      <w:r>
        <w:t xml:space="preserve">Quarante-cinq ans plus tard, les chiffres</w:t>
      </w:r>
    </w:p>
    <w:p>
      <w:pPr>
        <w:pStyle w:val="BodyText"/>
      </w:pPr>
      <w:r>
        <w:t xml:space="preserve">Le taux de remplacement médian d’une cohorte chilienne entrée dans la vie active au début des années 1980 est, en 2021, de</w:t>
      </w:r>
      <w:r>
        <w:t xml:space="preserve"> </w:t>
      </w:r>
      <w:r>
        <w:rPr>
          <w:b/>
          <w:bCs/>
        </w:rPr>
        <w:t xml:space="preserve">38,5 % pour les hommes et 35,4 % pour les femmes</w:t>
      </w:r>
      <w:r>
        <w:t xml:space="preserve">, selon l’OCDE - avant prise en compte de la</w:t>
      </w:r>
      <w:r>
        <w:t xml:space="preserve"> </w:t>
      </w:r>
      <w:r>
        <w:rPr>
          <w:i/>
          <w:iCs/>
        </w:rPr>
        <w:t xml:space="preserve">Pensión Garantizada Universal</w:t>
      </w:r>
      <w:r>
        <w:rPr>
          <w:rStyle w:val="FootnoteReference"/>
        </w:rPr>
        <w:footnoteReference w:id="315"/>
      </w:r>
      <w:r>
        <w:t xml:space="preserve">. La moitié de la promesse Piñera. En intégrant la PGU créée en février 2022 par le gouvernement sortant Sebastián Piñera, l’OCDE 2023 réévalue le taux à 45,7 % pour les hommes et 43 % pour les femmes</w:t>
      </w:r>
      <w:r>
        <w:rPr>
          <w:rStyle w:val="FootnoteReference"/>
        </w:rPr>
        <w:footnoteReference w:id="316"/>
      </w:r>
      <w:r>
        <w:t xml:space="preserve">. C’est mieux, mais ça reste très en dessous des comparables : France 71,9 %, Pays-Bas 96 %, Allemagne 53 %, moyenne OCDE 50,7 %. Le Chili est, avec quelques autres, en queue de classement parmi les pays développés.</w:t>
      </w:r>
    </w:p>
    <w:p>
      <w:pPr>
        <w:pStyle w:val="BodyText"/>
      </w:pPr>
      <w:r>
        <w:t xml:space="preserve">Pension contributive moyenne effectivement versée par les AFP en 2024 : entre</w:t>
      </w:r>
      <w:r>
        <w:t xml:space="preserve"> </w:t>
      </w:r>
      <w:r>
        <w:rPr>
          <w:b/>
          <w:bCs/>
        </w:rPr>
        <w:t xml:space="preserve">200 000 et 250 000 pesos chiliens par mois</w:t>
      </w:r>
      <w:r>
        <w:t xml:space="preserve">, soit</w:t>
      </w:r>
      <w:r>
        <w:t xml:space="preserve"> </w:t>
      </w:r>
      <w:r>
        <w:rPr>
          <w:b/>
          <w:bCs/>
        </w:rPr>
        <w:t xml:space="preserve">210 à 270 dollars américains</w:t>
      </w:r>
      <w:r>
        <w:rPr>
          <w:rStyle w:val="FootnoteReference"/>
        </w:rPr>
        <w:footnoteReference w:id="317"/>
      </w:r>
      <w:r>
        <w:t xml:space="preserve">. À mettre en regard du salaire minimum chilien, fixé à 500 000 pesos en septembre 2024 - la pension AFP moyenne n’atteint pas la moitié du salaire minimum.</w:t>
      </w:r>
    </w:p>
    <w:p>
      <w:pPr>
        <w:pStyle w:val="BodyText"/>
      </w:pPr>
      <w:r>
        <w:t xml:space="preserve">Rendement réel annualisé des fonds AFP entre 1981 et 2024,</w:t>
      </w:r>
      <w:r>
        <w:t xml:space="preserve"> </w:t>
      </w:r>
      <w:r>
        <w:rPr>
          <w:b/>
          <w:bCs/>
        </w:rPr>
        <w:t xml:space="preserve">net d’inflation, brut de frais</w:t>
      </w:r>
      <w:r>
        <w:t xml:space="preserve"> </w:t>
      </w:r>
      <w:r>
        <w:t xml:space="preserve">: entre</w:t>
      </w:r>
      <w:r>
        <w:t xml:space="preserve"> </w:t>
      </w:r>
      <w:r>
        <w:rPr>
          <w:b/>
          <w:bCs/>
        </w:rPr>
        <w:t xml:space="preserve">3 % et 4 %</w:t>
      </w:r>
      <w:r>
        <w:t xml:space="preserve"> </w:t>
      </w:r>
      <w:r>
        <w:t xml:space="preserve">par an selon les fonds et les périodes</w:t>
      </w:r>
      <w:r>
        <w:rPr>
          <w:rStyle w:val="FootnoteReference"/>
        </w:rPr>
        <w:footnoteReference w:id="318"/>
      </w:r>
      <w:r>
        <w:t xml:space="preserve">.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pPr>
        <w:pStyle w:val="BodyText"/>
      </w:pPr>
      <w:r>
        <w:t xml:space="preserve">Les</w:t>
      </w:r>
      <w:r>
        <w:t xml:space="preserve"> </w:t>
      </w:r>
      <w:r>
        <w:rPr>
          <w:b/>
          <w:bCs/>
        </w:rPr>
        <w:t xml:space="preserve">frais</w:t>
      </w:r>
      <w:r>
        <w:t xml:space="preserve"> </w:t>
      </w:r>
      <w:r>
        <w:t xml:space="preserve">sont l’autre dossier noir. Sept AFP se partagent le marché - Habitat, Cuprum, Capital, Provida, Modelo, Planvital, Uno. Selon la dernière licitation publique (SPP, 2023-2025), les commissions d’administration vont de</w:t>
      </w:r>
      <w:r>
        <w:t xml:space="preserve"> </w:t>
      </w:r>
      <w:r>
        <w:rPr>
          <w:b/>
          <w:bCs/>
        </w:rPr>
        <w:t xml:space="preserve">0,46 % à 1,45 % du salaire brut</w:t>
      </w:r>
      <w:r>
        <w:t xml:space="preserve"> </w:t>
      </w:r>
      <w:r>
        <w:t xml:space="preserve">; il faut y ajouter la prime SIS (</w:t>
      </w:r>
      <w:r>
        <w:rPr>
          <w:i/>
          <w:iCs/>
        </w:rPr>
        <w:t xml:space="preserve">Seguro de Invalidez y Sobrevivencia</w:t>
      </w:r>
      <w:r>
        <w:t xml:space="preserve">, assurance invalidité-décès) collectée par les AFP pour le compte d’un assureur tiers, à environ 1,5 %.</w:t>
      </w:r>
      <w:r>
        <w:t xml:space="preserve"> </w:t>
      </w:r>
      <w:r>
        <w:rPr>
          <w:b/>
          <w:bCs/>
        </w:rPr>
        <w:t xml:space="preserve">Le total brut payé par le cotisant chilien est donc de l’ordre de 2 à 3 % du salaire brut par an</w:t>
      </w:r>
      <w:r>
        <w:rPr>
          <w:rStyle w:val="FootnoteReference"/>
        </w:rPr>
        <w:footnoteReference w:id="319"/>
      </w:r>
      <w:r>
        <w:t xml:space="preserve">. Sur quarante ans, cela ronge entre 25 et 35 % du capital final. À titre de comparaison, MySuper en Australie facture en médiane 0,27 % du capital géré par an, AP7 en Suède 0,05 %. L’oligopole AFP est devenu une rente extractive sur l’épargne retraite des Chiliens.</w:t>
      </w:r>
    </w:p>
    <w:p>
      <w:pPr>
        <w:pStyle w:val="BodyText"/>
      </w:pPr>
      <w:r>
        <w:t xml:space="preserve">Dernier maillon, la</w:t>
      </w:r>
      <w:r>
        <w:t xml:space="preserve"> </w:t>
      </w:r>
      <w:r>
        <w:rPr>
          <w:b/>
          <w:bCs/>
        </w:rPr>
        <w:t xml:space="preserve">densité de cotisation</w:t>
      </w:r>
      <w:r>
        <w:t xml:space="preserve">. Le marché du travail chilien est informel à hauteur de 27 à 30 % selon les estimations INE, en réalité 37 à 40 % si l’on inclut les travailleurs des plateformes et les indépendants non déclarés</w:t>
      </w:r>
      <w:r>
        <w:rPr>
          <w:rStyle w:val="FootnoteReference"/>
        </w:rPr>
        <w:footnoteReference w:id="320"/>
      </w:r>
      <w:r>
        <w:t xml:space="preserve">.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pPr>
        <w:pStyle w:val="BodyText"/>
      </w:pPr>
      <w:r>
        <w:t xml:space="preserve">Cotisation salarié seule, densité faible, frais élevés. Ce sont les trois mécanismes qu’on cite habituellement pour expliquer l’échec chilien. Ils sont exacts. Mais ce sont</w:t>
      </w:r>
      <w:r>
        <w:t xml:space="preserve"> </w:t>
      </w:r>
      <w:r>
        <w:rPr>
          <w:b/>
          <w:bCs/>
        </w:rPr>
        <w:t xml:space="preserve">trois conséquences d’une seule cause</w:t>
      </w:r>
      <w:r>
        <w:t xml:space="preserve"> </w:t>
      </w:r>
      <w:r>
        <w:t xml:space="preserve">: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transformé un instrument financier honnête - un fonds capitalisé à 3-4 % réel n’est pas une mauvaise chose en soi - en machine à produire de la pauvreté chez les retraités.</w:t>
      </w:r>
    </w:p>
    <w:p>
      <w:pPr>
        <w:pStyle w:val="BodyText"/>
      </w:pPr>
      <w:r>
        <w:t xml:space="preserve">L’estallido, les retraits, et la perte de confiance</w:t>
      </w:r>
    </w:p>
    <w:p>
      <w:pPr>
        <w:pStyle w:val="BodyText"/>
      </w:pPr>
      <w:r>
        <w:t xml:space="preserve">Le système AFP a fonctionné pendant trois décennies sans contestation majeure. Les premiers retraités servis à partir des années 2000-2010 sont des cohortes mixtes - qui ont cotisé partie en répartition, partie en AFP - et leurs pensions, même médiocres, restaient soutenables. À partir de 2010-2015, les cohortes qui n’ont connu que les AFP commencent à liquider leurs droits. La réalité éclate : la promesse de 70 % était fausse.</w:t>
      </w:r>
    </w:p>
    <w:p>
      <w:pPr>
        <w:pStyle w:val="BodyText"/>
      </w:pPr>
      <w:r>
        <w:t xml:space="preserve">Le mouvement social</w:t>
      </w:r>
      <w:r>
        <w:t xml:space="preserve"> </w:t>
      </w:r>
      <w:r>
        <w:rPr>
          <w:b/>
          <w:bCs/>
          <w:i/>
          <w:iCs/>
        </w:rPr>
        <w:t xml:space="preserve">No+AFP</w:t>
      </w:r>
      <w:r>
        <w:t xml:space="preserve"> </w:t>
      </w:r>
      <w:r>
        <w:t xml:space="preserve">naît en 2014, à l’initiative de Luis Mesina, un syndicaliste bancaire qui devient son visage. Sa première grande mobilisation a lieu le</w:t>
      </w:r>
      <w:r>
        <w:t xml:space="preserve"> </w:t>
      </w:r>
      <w:r>
        <w:rPr>
          <w:b/>
          <w:bCs/>
        </w:rPr>
        <w:t xml:space="preserve">24 juillet 2016</w:t>
      </w:r>
      <w:r>
        <w:t xml:space="preserve"> </w:t>
      </w:r>
      <w:r>
        <w:t xml:space="preserve">: entre 750 000 et 1,5 million de personnes défilent à Santiago, ce qui en fait l’une des plus grandes manifestations de l’histoire du Chili démocratique</w:t>
      </w:r>
      <w:r>
        <w:rPr>
          <w:rStyle w:val="FootnoteReference"/>
        </w:rPr>
        <w:footnoteReference w:id="321"/>
      </w:r>
      <w:r>
        <w:t xml:space="preserve">. Le slogan : «</w:t>
      </w:r>
      <w:r>
        <w:t xml:space="preserve"> </w:t>
      </w:r>
      <w:r>
        <w:rPr>
          <w:i/>
          <w:iCs/>
        </w:rPr>
        <w:t xml:space="preserve">No+AFP</w:t>
      </w:r>
      <w:r>
        <w:t xml:space="preserve"> </w:t>
      </w:r>
      <w:r>
        <w:t xml:space="preserve">», plus d’AFP. Sous-entendu : remettre la retraite dans le domaine public.</w:t>
      </w:r>
    </w:p>
    <w:p>
      <w:pPr>
        <w:pStyle w:val="BodyText"/>
      </w:pPr>
      <w:r>
        <w:t xml:space="preserve">Pendant trois ans, rien ne bouge. Le gouvernement Bachelet, revenu au pouvoir en 2014, mandate la</w:t>
      </w:r>
      <w:r>
        <w:t xml:space="preserve"> </w:t>
      </w:r>
      <w:r>
        <w:rPr>
          <w:b/>
          <w:bCs/>
        </w:rPr>
        <w:t xml:space="preserve">Comisión Bravo</w:t>
      </w:r>
      <w:r>
        <w:t xml:space="preserve"> </w:t>
      </w:r>
      <w:r>
        <w:t xml:space="preserve">- vingt-quatre experts nationaux et internationaux - qui rend en septembre 2015 un rapport sévère sur le système AFP. La droite, majoritaire au Sénat, bloque les recommandations. Le premier gouvernement Sebastián Piñera, élu en 2017, tente des ajustements paramétriques mineurs. Rien ne suffit.</w:t>
      </w:r>
    </w:p>
    <w:p>
      <w:pPr>
        <w:pStyle w:val="BodyText"/>
      </w:pPr>
      <w:r>
        <w:t xml:space="preserve">Le</w:t>
      </w:r>
      <w:r>
        <w:t xml:space="preserve"> </w:t>
      </w:r>
      <w:r>
        <w:rPr>
          <w:b/>
          <w:bCs/>
        </w:rPr>
        <w:t xml:space="preserve">18 octobre 2019</w:t>
      </w:r>
      <w:r>
        <w:t xml:space="preserve">, une hausse de 30 pesos sur le tarif du métro de Santiago déclenche l’</w:t>
      </w:r>
      <w:r>
        <w:rPr>
          <w:b/>
          <w:bCs/>
          <w:i/>
          <w:iCs/>
        </w:rPr>
        <w:t xml:space="preserve">estallido social</w:t>
      </w:r>
      <w:r>
        <w:t xml:space="preserve">. Aucun analyste n’avait prévu l’ampleur de la révolte. Un slogan s’impose en quarante-huit heures : «</w:t>
      </w:r>
      <w:r>
        <w:t xml:space="preserve"> </w:t>
      </w:r>
      <w:r>
        <w:rPr>
          <w:b/>
          <w:bCs/>
          <w:i/>
          <w:iCs/>
        </w:rPr>
        <w:t xml:space="preserve">No son 30 pesos, son 30 años</w:t>
      </w:r>
      <w:r>
        <w:t xml:space="preserve"> </w:t>
      </w:r>
      <w:r>
        <w:t xml:space="preserve">» -</w:t>
      </w:r>
      <w:r>
        <w:t xml:space="preserve"> </w:t>
      </w:r>
      <w:r>
        <w:rPr>
          <w:i/>
          <w:iCs/>
        </w:rPr>
        <w:t xml:space="preserve">ce ne sont pas 30 pesos, ce sont 30 ans</w:t>
      </w:r>
      <w:r>
        <w:t xml:space="preserve">.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pPr>
        <w:pStyle w:val="BodyText"/>
      </w:pPr>
      <w:r>
        <w:t xml:space="preserve">Le</w:t>
      </w:r>
      <w:r>
        <w:t xml:space="preserve"> </w:t>
      </w:r>
      <w:r>
        <w:rPr>
          <w:b/>
          <w:bCs/>
        </w:rPr>
        <w:t xml:space="preserve">25 octobre 2020</w:t>
      </w:r>
      <w:r>
        <w:t xml:space="preserve">, le Chili organise un référendum constitutionnel sur la convocation d’une convention chargée d’écrire une nouvelle constitution. Résultat officiel SERVEL :</w:t>
      </w:r>
      <w:r>
        <w:t xml:space="preserve"> </w:t>
      </w:r>
      <w:r>
        <w:rPr>
          <w:b/>
          <w:bCs/>
        </w:rPr>
        <w:t xml:space="preserve">78,27 % de</w:t>
      </w:r>
      <w:r>
        <w:t xml:space="preserve"> </w:t>
      </w:r>
      <w:r>
        <w:rPr>
          <w:b/>
          <w:bCs/>
          <w:i/>
          <w:iCs/>
        </w:rPr>
        <w:t xml:space="preserve">Apruebo</w:t>
      </w:r>
      <w:r>
        <w:rPr>
          <w:rStyle w:val="FootnoteReference"/>
        </w:rPr>
        <w:footnoteReference w:id="322"/>
      </w:r>
      <w:r>
        <w:t xml:space="preserve">. La constitution Pinochet, qui avait tenu quarante ans, est désavouée. Le texte de remplacement, écrit en 2021-2022 par une convention élue à dominante très à gauche, sera lui-même rejeté à 62 % en septembre 2022 - un second texte plus modéré sera également rejeté fin 2023. Le Chili reste donc avec sa constitution de 1980. Mais entre-temps, le rapport de force politique a basculé.</w:t>
      </w:r>
    </w:p>
    <w:p>
      <w:pPr>
        <w:pStyle w:val="BodyText"/>
      </w:pPr>
      <w:r>
        <w:t xml:space="preserve">Et entre 2020 et 2022, le système AFP subit son coup le plus matériel. Sous la pression conjuguée de la pandémie et de l’opinion, le Congrès chilien vote</w:t>
      </w:r>
      <w:r>
        <w:t xml:space="preserve"> </w:t>
      </w:r>
      <w:r>
        <w:rPr>
          <w:b/>
          <w:bCs/>
        </w:rPr>
        <w:t xml:space="preserve">trois autorisations exceptionnelles de retrait des fonds individuels</w:t>
      </w:r>
      <w:r>
        <w:t xml:space="preserve"> </w:t>
      </w:r>
      <w:r>
        <w:t xml:space="preserve">- 10 % du solde par vague. Total ponctionné sur les comptes AFP, additionné par la Banque centrale du Chili dans son working paper 991 et confirmé par la BIS :</w:t>
      </w:r>
      <w:r>
        <w:t xml:space="preserve"> </w:t>
      </w:r>
      <w:r>
        <w:rPr>
          <w:b/>
          <w:bCs/>
        </w:rPr>
        <w:t xml:space="preserve">55,8 milliards de dollars américains</w:t>
      </w:r>
      <w:r>
        <w:t xml:space="preserve"> </w:t>
      </w:r>
      <w:r>
        <w:t xml:space="preserve">- soit 20,3 + 19,2 + 16,3 milliards sur les trois retraits successifs</w:t>
      </w:r>
      <w:r>
        <w:rPr>
          <w:rStyle w:val="FootnoteReference"/>
        </w:rPr>
        <w:footnoteReference w:id="323"/>
      </w:r>
      <w:r>
        <w:t xml:space="preserve">. C’est l’équivalent d’environ</w:t>
      </w:r>
      <w:r>
        <w:t xml:space="preserve"> </w:t>
      </w:r>
      <w:r>
        <w:rPr>
          <w:b/>
          <w:bCs/>
        </w:rPr>
        <w:t xml:space="preserve">20 % du PIB chilien</w:t>
      </w:r>
      <w:r>
        <w:t xml:space="preserve">. Pour près de 30 % des affiliés, le compte AFP est intégralement vidé. La capitalisation, dans la perception collective, est devenue caisse d’urgence - exactement le contraire de ce pour quoi elle avait été créée.</w:t>
      </w:r>
    </w:p>
    <w:p>
      <w:pPr>
        <w:pStyle w:val="BodyText"/>
      </w:pPr>
      <w:r>
        <w:t xml:space="preserve">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pPr>
        <w:pStyle w:val="BodyText"/>
      </w:pPr>
      <w:r>
        <w:t xml:space="preserve">Boric et la loi 21735 : le demi-tour officiel</w:t>
      </w:r>
    </w:p>
    <w:p>
      <w:pPr>
        <w:pStyle w:val="BodyText"/>
      </w:pPr>
      <w:r>
        <w:t xml:space="preserve">La présidentielle de 2021 se joue dans ce climat. Premier tour,</w:t>
      </w:r>
      <w:r>
        <w:t xml:space="preserve"> </w:t>
      </w:r>
      <w:r>
        <w:rPr>
          <w:b/>
          <w:bCs/>
        </w:rPr>
        <w:t xml:space="preserve">21 novembre 2021</w:t>
      </w:r>
      <w:r>
        <w:t xml:space="preserve"> </w:t>
      </w:r>
      <w:r>
        <w:t xml:space="preserve">: José Antonio Kast, candidat de la droite radicale, arrive en tête avec 27,9 % des voix ; Gabriel Boric, ancien leader étudiant devenu député, ancien visage du</w:t>
      </w:r>
      <w:r>
        <w:t xml:space="preserve"> </w:t>
      </w:r>
      <w:r>
        <w:rPr>
          <w:i/>
          <w:iCs/>
        </w:rPr>
        <w:t xml:space="preserve">Frente Amplio</w:t>
      </w:r>
      <w:r>
        <w:t xml:space="preserve">, arrive deuxième avec 25,8 %</w:t>
      </w:r>
      <w:r>
        <w:rPr>
          <w:rStyle w:val="FootnoteReference"/>
        </w:rPr>
        <w:footnoteReference w:id="324"/>
      </w:r>
      <w:r>
        <w:t xml:space="preserve">. Second tour,</w:t>
      </w:r>
      <w:r>
        <w:t xml:space="preserve"> </w:t>
      </w:r>
      <w:r>
        <w:rPr>
          <w:b/>
          <w:bCs/>
        </w:rPr>
        <w:t xml:space="preserve">19 décembre 2021</w:t>
      </w:r>
      <w:r>
        <w:t xml:space="preserve"> </w:t>
      </w:r>
      <w:r>
        <w:t xml:space="preserve">: Boric l’emporte avec</w:t>
      </w:r>
      <w:r>
        <w:t xml:space="preserve"> </w:t>
      </w:r>
      <w:r>
        <w:rPr>
          <w:b/>
          <w:bCs/>
        </w:rPr>
        <w:t xml:space="preserve">55,87 % contre 44,13 %</w:t>
      </w:r>
      <w:r>
        <w:t xml:space="preserve"> </w:t>
      </w:r>
      <w:r>
        <w:t xml:space="preserve">à Kast. Trente-cinq ans, plus jeune président de l’histoire chilienne. Investiture le 11 mars 2022. Programme : refonte du système de retraite.</w:t>
      </w:r>
    </w:p>
    <w:p>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w:t>
      </w:r>
      <w:r>
        <w:t xml:space="preserve"> </w:t>
      </w:r>
      <w:r>
        <w:rPr>
          <w:b/>
          <w:bCs/>
        </w:rPr>
        <w:t xml:space="preserve">29 janvier 2025</w:t>
      </w:r>
      <w:r>
        <w:t xml:space="preserve">, le projet est adopté en lecture finale par</w:t>
      </w:r>
      <w:r>
        <w:t xml:space="preserve"> </w:t>
      </w:r>
      <w:r>
        <w:rPr>
          <w:b/>
          <w:bCs/>
        </w:rPr>
        <w:t xml:space="preserve">110 voix pour, 38 contre</w:t>
      </w:r>
      <w:r>
        <w:t xml:space="preserve"> </w:t>
      </w:r>
      <w:r>
        <w:t xml:space="preserve">- un score qui surprend tout le monde, y compris au sein du gouvernement</w:t>
      </w:r>
      <w:r>
        <w:rPr>
          <w:rStyle w:val="FootnoteReference"/>
        </w:rPr>
        <w:footnoteReference w:id="325"/>
      </w:r>
      <w:r>
        <w:t xml:space="preserve">. La</w:t>
      </w:r>
      <w:r>
        <w:t xml:space="preserve"> </w:t>
      </w:r>
      <w:r>
        <w:rPr>
          <w:b/>
          <w:bCs/>
        </w:rPr>
        <w:t xml:space="preserve">Loi n° 21735</w:t>
      </w:r>
      <w:r>
        <w:t xml:space="preserve"> </w:t>
      </w:r>
      <w:r>
        <w:t xml:space="preserve">est promulguée et publiée au</w:t>
      </w:r>
      <w:r>
        <w:t xml:space="preserve"> </w:t>
      </w:r>
      <w:r>
        <w:rPr>
          <w:i/>
          <w:iCs/>
        </w:rPr>
        <w:t xml:space="preserve">Diario Oficial</w:t>
      </w:r>
      <w:r>
        <w:t xml:space="preserve"> </w:t>
      </w:r>
      <w:r>
        <w:t xml:space="preserve">en mars 2025.</w:t>
      </w:r>
    </w:p>
    <w:p>
      <w:pPr>
        <w:pStyle w:val="BodyText"/>
      </w:pPr>
      <w:r>
        <w:t xml:space="preserve">Ce que change la loi 21735 mérite d’être lu lentement, parce que c’est l’aveu, par le législateur chilien lui-même, des limites de la capitalisation pure.</w:t>
      </w:r>
    </w:p>
    <w:p>
      <w:pPr>
        <w:pStyle w:val="BodyText"/>
      </w:pPr>
      <w:r>
        <w:t xml:space="preserve">Premier changement :</w:t>
      </w:r>
      <w:r>
        <w:t xml:space="preserve"> </w:t>
      </w:r>
      <w:r>
        <w:rPr>
          <w:b/>
          <w:bCs/>
        </w:rPr>
        <w:t xml:space="preserve">introduction d’une cotisation patronale, montant progressivement à 8,5 % à l’horizon 2035</w:t>
      </w:r>
      <w:r>
        <w:t xml:space="preserve">, contre</w:t>
      </w:r>
      <w:r>
        <w:t xml:space="preserve"> </w:t>
      </w:r>
      <w:r>
        <w:rPr>
          <w:b/>
          <w:bCs/>
        </w:rPr>
        <w:t xml:space="preserve">zéro depuis 1981</w:t>
      </w:r>
      <w:r>
        <w:rPr>
          <w:rStyle w:val="FootnoteReference"/>
        </w:rPr>
        <w:footnoteReference w:id="326"/>
      </w:r>
      <w:r>
        <w:t xml:space="preserve">. La décomposition de ces 8,5 % est instructive : 4,5 points vont alimenter le compte AFP individuel du salarié ; 1,5 point alimente un mécanisme de prêt remboursable individuel via un nouveau fonds public, le</w:t>
      </w:r>
      <w:r>
        <w:t xml:space="preserve"> </w:t>
      </w:r>
      <w:r>
        <w:rPr>
          <w:b/>
          <w:bCs/>
        </w:rPr>
        <w:t xml:space="preserve">FAPP</w:t>
      </w:r>
      <w:r>
        <w:t xml:space="preserve"> </w:t>
      </w:r>
      <w:r>
        <w:t xml:space="preserve">(</w:t>
      </w:r>
      <w:r>
        <w:rPr>
          <w:i/>
          <w:iCs/>
        </w:rPr>
        <w:t xml:space="preserve">Fondo Autónomo de Protección Previsional</w:t>
      </w:r>
      <w:r>
        <w:t xml:space="preserve">) ; 2,5 points alimentent une composante intergénérationnelle et de genre du même FAPP, qui n’est pas remboursée et qui sert à compenser les écarts entre cohortes et entre hommes et femmes.</w:t>
      </w:r>
    </w:p>
    <w:p>
      <w:pPr>
        <w:pStyle w:val="BodyText"/>
      </w:pPr>
      <w:r>
        <w:t xml:space="preserve">C’est ce</w:t>
      </w:r>
      <w:r>
        <w:t xml:space="preserve"> </w:t>
      </w:r>
      <w:r>
        <w:rPr>
          <w:b/>
          <w:bCs/>
        </w:rPr>
        <w:t xml:space="preserve">FAPP</w:t>
      </w:r>
      <w:r>
        <w:t xml:space="preserve"> </w:t>
      </w:r>
      <w:r>
        <w:t xml:space="preserve">qui constitue la rupture structurelle. Pour la première fois depuis 1981, le système chilien réintroduit un</w:t>
      </w:r>
      <w:r>
        <w:t xml:space="preserve"> </w:t>
      </w:r>
      <w:r>
        <w:rPr>
          <w:b/>
          <w:bCs/>
        </w:rPr>
        <w:t xml:space="preserve">pilier solidaire géré publiquement</w:t>
      </w:r>
      <w:r>
        <w:t xml:space="preserve">, financé en partie par une cotisation patronale obligatoire - c’est-à-dire, fonctionnellement, un pilier de répartition. Le FAPP n’est pas un fonds AFP. Il n’est pas en concurrence. Il est public, mutualisé, à logique solidaire. Exactement ce que José Piñera avait passé sa vie à refuser.</w:t>
      </w:r>
    </w:p>
    <w:p>
      <w:pPr>
        <w:pStyle w:val="BodyText"/>
      </w:pPr>
      <w:r>
        <w:t xml:space="preserve">Deuxième changement :</w:t>
      </w:r>
      <w:r>
        <w:t xml:space="preserve"> </w:t>
      </w:r>
      <w:r>
        <w:rPr>
          <w:b/>
          <w:bCs/>
        </w:rPr>
        <w:t xml:space="preserve">renforcement de la PGU</w:t>
      </w:r>
      <w:r>
        <w:t xml:space="preserve">,</w:t>
      </w:r>
      <w:r>
        <w:t xml:space="preserve"> </w:t>
      </w:r>
      <w:r>
        <w:rPr>
          <w:i/>
          <w:iCs/>
        </w:rPr>
        <w:t xml:space="preserve">Pensión Garantizada Universal</w:t>
      </w:r>
      <w:r>
        <w:t xml:space="preserve">.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pPr>
        <w:pStyle w:val="BodyText"/>
      </w:pPr>
      <w:r>
        <w:t xml:space="preserve">Troisième changement :</w:t>
      </w:r>
      <w:r>
        <w:t xml:space="preserve"> </w:t>
      </w:r>
      <w:r>
        <w:rPr>
          <w:b/>
          <w:bCs/>
        </w:rPr>
        <w:t xml:space="preserve">encadrement renforcé des frais AFP</w:t>
      </w:r>
      <w:r>
        <w:t xml:space="preserve">, avec mécanisme de licitation publique compétitive, et</w:t>
      </w:r>
      <w:r>
        <w:t xml:space="preserve"> </w:t>
      </w:r>
      <w:r>
        <w:rPr>
          <w:b/>
          <w:bCs/>
        </w:rPr>
        <w:t xml:space="preserve">séparation effective de la collecte du SIS</w:t>
      </w:r>
      <w:r>
        <w:t xml:space="preserve"> </w:t>
      </w:r>
      <w:r>
        <w:t xml:space="preserve">des comptes administratifs des AFP, pour casser les marges d’oligopole.</w:t>
      </w:r>
    </w:p>
    <w:p>
      <w:pPr>
        <w:pStyle w:val="BodyText"/>
      </w:pPr>
      <w:r>
        <w:t xml:space="preserve">Projection OCDE de novembre 2025 : à terme, une fois la réforme pleinement déployée, le taux de remplacement net médian devrait passer de</w:t>
      </w:r>
      <w:r>
        <w:t xml:space="preserve"> </w:t>
      </w:r>
      <w:r>
        <w:rPr>
          <w:b/>
          <w:bCs/>
        </w:rPr>
        <w:t xml:space="preserve">38,5 % / 35,4 % (cohorte historique sans PGU)</w:t>
      </w:r>
      <w:r>
        <w:t xml:space="preserve"> </w:t>
      </w:r>
      <w:r>
        <w:t xml:space="preserve">à environ</w:t>
      </w:r>
      <w:r>
        <w:t xml:space="preserve"> </w:t>
      </w:r>
      <w:r>
        <w:rPr>
          <w:b/>
          <w:bCs/>
        </w:rPr>
        <w:t xml:space="preserve">61,3 % pour les hommes et 61,1 % pour les femmes</w:t>
      </w:r>
      <w:r>
        <w:rPr>
          <w:rStyle w:val="FootnoteReference"/>
        </w:rPr>
        <w:footnoteReference w:id="327"/>
      </w:r>
      <w:r>
        <w:t xml:space="preserve">. Premier pas vers la moyenne OCDE. Pas encore le standard suédois ou hollandais, mais une convergence.</w:t>
      </w:r>
    </w:p>
    <w:p>
      <w:pPr>
        <w:pStyle w:val="BodyText"/>
      </w:pPr>
      <w:r>
        <w:t xml:space="preserve">Le Chili</w:t>
      </w:r>
      <w:r>
        <w:t xml:space="preserve"> </w:t>
      </w:r>
      <w:r>
        <w:rPr>
          <w:b/>
          <w:bCs/>
        </w:rPr>
        <w:t xml:space="preserve">n’abolit pas les AFP</w:t>
      </w:r>
      <w:r>
        <w:t xml:space="preserve">. Elles continuent d’exister, elles continuent de gérer la part individuelle de l’épargne retraite. Mais le pays vient officiellement, à 110 voix contre 38,</w:t>
      </w:r>
      <w:r>
        <w:t xml:space="preserve"> </w:t>
      </w:r>
      <w:r>
        <w:rPr>
          <w:b/>
          <w:bCs/>
        </w:rPr>
        <w:t xml:space="preserve">de réintégrer dans son système une cotisation patronale, un pilier solidaire public, et un plancher universel</w:t>
      </w:r>
      <w:r>
        <w:t xml:space="preserve">. Trois des quatre invariants identifiés dans les trois sections précédentes du chapitre. C’est, au fond, l’aveu législatif d’un pays entier : la capitalisation pure ne tient pas socialement.</w:t>
      </w:r>
    </w:p>
    <w:p>
      <w:pPr>
        <w:pStyle w:val="BodyText"/>
      </w:pPr>
      <w:r>
        <w:t xml:space="preserve">Leçon française</w:t>
      </w:r>
    </w:p>
    <w:p>
      <w:pPr>
        <w:pStyle w:val="BodyText"/>
      </w:pPr>
      <w:r>
        <w:t xml:space="preserve">Il faut dire ce que le cas chilien prouve, et aussi ce qu’il ne prouve pas.</w:t>
      </w:r>
    </w:p>
    <w:p>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problème est</w:t>
      </w:r>
      <w:r>
        <w:t xml:space="preserve"> </w:t>
      </w:r>
      <w:r>
        <w:rPr>
          <w:b/>
          <w:bCs/>
        </w:rPr>
        <w:t xml:space="preserve">la capitalisation seule, sans paritarisme, sans cotisation employeur, sans plancher universel, sans pilier répartition complémentaire</w:t>
      </w:r>
      <w:r>
        <w:t xml:space="preserve">.</w:t>
      </w:r>
    </w:p>
    <w:p>
      <w:pPr>
        <w:pStyle w:val="BodyText"/>
      </w:pPr>
      <w:r>
        <w:t xml:space="preserve">Il prouve, en revanche, qu’un système de retraite construit sur un seul pilier - quel qu’il soit - finit par échouer. La France, depuis 1945, parie sur un seul pilier en répartition ; le Chili, depuis 1981, a parié sur un seul pilier en capitalisation. Les deux extrêmes échouent à leur manière. La France échoue par insoutenabilité budgétaire - le chapitre 1 l’a documenté. Le Chili a échoué par insuffisance des prestations et par perte de confiance - la révolte d’octobre 2019 et les retraits COVID le matérialisent. Aucun système monolithique ne tient quarante ans.</w:t>
      </w:r>
    </w:p>
    <w:p>
      <w:pPr>
        <w:pStyle w:val="BodyText"/>
      </w:pPr>
      <w:r>
        <w:t xml:space="preserve">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pPr>
        <w:pStyle w:val="BodyText"/>
      </w:pPr>
      <w:r>
        <w:t xml:space="preserve">C’est précisément la position défendue depuis l’avant-propos de ce livre :</w:t>
      </w:r>
      <w:r>
        <w:t xml:space="preserve"> </w:t>
      </w:r>
      <w:r>
        <w:rPr>
          <w:i/>
          <w:iCs/>
        </w:rPr>
        <w:t xml:space="preserve">la capitalisation française doit être un complément à la répartition, pas un substitut</w:t>
      </w:r>
      <w:r>
        <w:t xml:space="preserve">.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pPr>
        <w:pStyle w:val="BodyText"/>
      </w:pPr>
      <w:r>
        <w:t xml:space="preserve">Reste à en tirer les conséquences. C’est précisément l’objet de la section qui suit.</w:t>
      </w:r>
    </w:p>
    <w:bookmarkEnd w:id="328"/>
    <w:bookmarkStart w:id="329" w:name="quatre-leçons-pour-la-france"/>
    <w:p>
      <w:pPr>
        <w:pStyle w:val="Heading3"/>
      </w:pPr>
      <w:r>
        <w:t xml:space="preserve">Quatre leçons pour la France</w:t>
      </w:r>
    </w:p>
    <w:p>
      <w:pPr>
        <w:pStyle w:val="FirstParagraph"/>
      </w:pPr>
      <w:r>
        <w:t xml:space="preserve">Quatre pays, quatre histoires, et finalement une boussole assez nette. Si l’on cherche, par-delà les modulations nationales, ce que ces quatre cas ont en commun - y compris le Chili, par défaut -, on tombe sur quatre invariants. Ils ne se discutent pas ; ce sont les conditions sans lesquelles une réforme de capitalisation ne tient pas dans la durée.</w:t>
      </w:r>
    </w:p>
    <w:p>
      <w:pPr>
        <w:pStyle w:val="BodyText"/>
      </w:pPr>
      <w:r>
        <w:rPr>
          <w:b/>
          <w:bCs/>
        </w:rPr>
        <w:t xml:space="preserve">Premier invariant : la cotisation patronale obligatoire.</w:t>
      </w:r>
      <w:r>
        <w:t xml:space="preserve"> </w:t>
      </w:r>
      <w:r>
        <w:t xml:space="preserve">L’Australie l’a au cœur - 12 % de cotisation versée par l’employeur. La Suède l’a sous une forme légèrement différente - les régimes professionnels paritaires ITP et SAF-LO, à 4-5 % du salaire, négociés par convention collective et obligatoires</w:t>
      </w:r>
      <w:r>
        <w:t xml:space="preserve"> </w:t>
      </w:r>
      <w:r>
        <w:rPr>
          <w:i/>
          <w:iCs/>
        </w:rPr>
        <w:t xml:space="preserve">de facto</w:t>
      </w:r>
      <w:r>
        <w:t xml:space="preserve">. Singapour l’a aussi - 17 % patronal, 20 % salarié sous les 55 ans. Et le Chili, qui ne l’avait pas, vient de se résoudre à l’introduire à 7 % en dix ans, après quarante-cinq ans de blocage. Quatre pays sur quatre,</w:t>
      </w:r>
      <w:r>
        <w:t xml:space="preserve"> </w:t>
      </w:r>
      <w:r>
        <w:rPr>
          <w:i/>
          <w:iCs/>
        </w:rPr>
        <w:t xml:space="preserve">au final</w:t>
      </w:r>
      <w:r>
        <w:t xml:space="preserve">,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pPr>
        <w:pStyle w:val="BodyText"/>
      </w:pPr>
      <w:r>
        <w:rPr>
          <w:b/>
          <w:bCs/>
        </w:rPr>
        <w:t xml:space="preserve">Deuxième invariant : le plancher universel.</w:t>
      </w:r>
      <w:r>
        <w:t xml:space="preserve"> </w:t>
      </w:r>
      <w:r>
        <w:t xml:space="preserve">Suède :</w:t>
      </w:r>
      <w:r>
        <w:t xml:space="preserve"> </w:t>
      </w:r>
      <w:r>
        <w:rPr>
          <w:i/>
          <w:iCs/>
        </w:rPr>
        <w:t xml:space="preserve">garantipension</w:t>
      </w:r>
      <w:r>
        <w:t xml:space="preserve">, 1,2 million de bénéficiaires. Australie :</w:t>
      </w:r>
      <w:r>
        <w:t xml:space="preserve"> </w:t>
      </w:r>
      <w:r>
        <w:rPr>
          <w:i/>
          <w:iCs/>
        </w:rPr>
        <w:t xml:space="preserve">Age Pension</w:t>
      </w:r>
      <w:r>
        <w:t xml:space="preserve">, qui couvre encore une majorité de retraités au-dessus d’un seuil de moyens. Singapour :</w:t>
      </w:r>
      <w:r>
        <w:t xml:space="preserve"> </w:t>
      </w:r>
      <w:r>
        <w:rPr>
          <w:i/>
          <w:iCs/>
        </w:rPr>
        <w:t xml:space="preserve">Silver Support Scheme</w:t>
      </w:r>
      <w:r>
        <w:t xml:space="preserve">, qui assure un revenu minimum aux 20-30 % les plus modestes. Chili :</w:t>
      </w:r>
      <w:r>
        <w:t xml:space="preserve"> </w:t>
      </w:r>
      <w:r>
        <w:rPr>
          <w:i/>
          <w:iCs/>
        </w:rPr>
        <w:t xml:space="preserve">Pensión Garantizada Universal</w:t>
      </w:r>
      <w:r>
        <w:t xml:space="preserve">,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pPr>
        <w:pStyle w:val="BodyText"/>
      </w:pPr>
      <w:r>
        <w:rPr>
          <w:b/>
          <w:bCs/>
        </w:rPr>
        <w:t xml:space="preserve">Troisième invariant : le fonds par défaut bien conçu.</w:t>
      </w:r>
      <w:r>
        <w:t xml:space="preserve"> </w:t>
      </w:r>
      <w:r>
        <w:t xml:space="preserve">AP7 Såfa en Suède, MySuper en Australie, le CPF lui-même à Singapour fonctionnent tous selon le même principe.</w:t>
      </w:r>
      <w:r>
        <w:t xml:space="preserve"> </w:t>
      </w:r>
      <w:r>
        <w:rPr>
          <w:i/>
          <w:iCs/>
        </w:rPr>
        <w:t xml:space="preserve">Le cotisant qui ne choisit rien doit se retrouver automatiquement dans un produit honnête, peu coûteux, géré par un acteur public ou para-public, avec une gestion en cycle de vie pour amortir le risque à l’approche de la retraite.</w:t>
      </w:r>
      <w:r>
        <w:t xml:space="preserve"> </w:t>
      </w:r>
      <w:r>
        <w:t xml:space="preserve">C’est ce qui désarme l’argument culturel français :</w:t>
      </w:r>
      <w:r>
        <w:t xml:space="preserve"> </w:t>
      </w:r>
      <w:r>
        <w:rPr>
          <w:i/>
          <w:iCs/>
        </w:rPr>
        <w:t xml:space="preserve">« les Français ne savent pas investir »</w:t>
      </w:r>
      <w:r>
        <w:t xml:space="preserve">. Personne, dans un système bien conçu, ne</w:t>
      </w:r>
      <w:r>
        <w:t xml:space="preserve"> </w:t>
      </w:r>
      <w:r>
        <w:rPr>
          <w:i/>
          <w:iCs/>
        </w:rPr>
        <w:t xml:space="preserve">doit</w:t>
      </w:r>
      <w:r>
        <w:t xml:space="preserve"> </w:t>
      </w:r>
      <w:r>
        <w:t xml:space="preserve">savoir investir. C’est le défaut qui fait le travail. AP7 a 40 % des cotisants suédois, MySuper plus de 80 % des Australiens. L’inverse du PER français, ses centaines de supports, ses frais opaques, ses contrats commerciaux distribués comme des Tupperware.</w:t>
      </w:r>
    </w:p>
    <w:p>
      <w:pPr>
        <w:pStyle w:val="BodyText"/>
      </w:pPr>
      <w:r>
        <w:rPr>
          <w:b/>
          <w:bCs/>
        </w:rPr>
        <w:t xml:space="preserve">Quatrième invariant : le pacte politique transpartisan.</w:t>
      </w:r>
      <w:r>
        <w:t xml:space="preserve"> </w:t>
      </w:r>
      <w:r>
        <w:t xml:space="preserve">Suède 1994 - 85 % du Parlement. Australie 1985 - accord Hawke-Keating-ACTU, ratifié par tous les gouvernements suivants y compris ceux de la Coalition. Singapour - soixante-dix ans de continuité institutionnelle, le PAP au pouvoir sans discontinuer mais avec une opposition modérée qui n’a jamais remis en cause le CPF. Et</w:t>
      </w:r>
      <w:r>
        <w:t xml:space="preserve"> </w:t>
      </w:r>
      <w:r>
        <w:rPr>
          <w:i/>
          <w:iCs/>
        </w:rPr>
        <w:t xml:space="preserve">a contrario</w:t>
      </w:r>
      <w:r>
        <w:t xml:space="preserve">,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pPr>
        <w:pStyle w:val="BodyText"/>
      </w:pPr>
      <w:r>
        <w:t xml:space="preserve">Quatre invariants, donc, et pas un de plus. La France peut imaginer toutes les configurations qu’elle voudra autour de ces quatre repères -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pPr>
        <w:pStyle w:val="BodyText"/>
      </w:pPr>
      <w:r>
        <w:t xml:space="preserve">La question qui reste, après ces quatre histoires, est</w:t>
      </w:r>
      <w:r>
        <w:t xml:space="preserve"> </w:t>
      </w:r>
      <w:r>
        <w:rPr>
          <w:i/>
          <w:iCs/>
        </w:rPr>
        <w:t xml:space="preserve">qui</w:t>
      </w:r>
      <w:r>
        <w:t xml:space="preserve">. Qui en France peut tenir le rôle d’Ingvar Carlsson et de Carl Bildt - un Premier ministre social-démocrate et un chef de l’opposition conservatrice acceptant de négocier ensemble une réforme générationnelle ? Qui peut tenir le rôle de Bill Kelty - un dirigeant syndical national assez puissant et assez visionnaire pour échanger de la modération salariale contre du capital différé ? Qui peut tenir le rôle de Lee Kuan Yew et Goh Keng Swee - un binôme politico-technique avec assez de durée pour faire mûrir l’instrument sur trente ans ?</w:t>
      </w:r>
    </w:p>
    <w:p>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r>
        <w:t xml:space="preserve"> </w:t>
      </w:r>
      <w:r>
        <w:rPr>
          <w:i/>
          <w:iCs/>
        </w:rPr>
        <w:t xml:space="preserve">« le double paiement est insurmontable »</w:t>
      </w:r>
      <w:r>
        <w:t xml:space="preserve"> </w:t>
      </w:r>
      <w:r>
        <w:t xml:space="preserve">- exige un développement particulier. C’est elle qui empêche, en France, le pacte qui ailleurs a tenu. C’est par elle qu’il faudra commencer.</w:t>
      </w:r>
    </w:p>
    <w:p>
      <w:pPr>
        <w:pStyle w:val="BodyText"/>
      </w:pPr>
      <w:r>
        <w:t xml:space="preserve">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bookmarkEnd w:id="329"/>
    <w:bookmarkEnd w:id="330"/>
    <w:bookmarkStart w:id="357" w:name="les-enjeux-à-arbitrer"/>
    <w:p>
      <w:pPr>
        <w:pStyle w:val="Heading2"/>
      </w:pPr>
      <w:r>
        <w:t xml:space="preserve">Les enjeux à arbitrer</w:t>
      </w:r>
    </w:p>
    <w:p>
      <w:pPr>
        <w:pStyle w:val="FirstParagraph"/>
      </w:pPr>
      <w:r>
        <w:t xml:space="preserve">Cesser de raconter pourquoi c’est impossible. Regarder ce que d’autres ont fait. Tracer la route, sur vingt-cinq ans, qui mène d’ici à un système robuste. Cette partie y répond, sans détours : les modèles utiles, ceux à éviter, et la trajectoire opérationnelle pour la France.</w:t>
      </w:r>
    </w:p>
    <w:p>
      <w:pPr>
        <w:pStyle w:val="BodyText"/>
      </w:pPr>
      <w:r>
        <w:t xml:space="preserve">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pPr>
        <w:pStyle w:val="BodyText"/>
      </w:pPr>
      <w:r>
        <w:t xml:space="preserve">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pPr>
        <w:pStyle w:val="BodyText"/>
      </w:pPr>
      <w:r>
        <w:t xml:space="preserve">Le chapitre répond donc à une triple question. Quels sont les enjeux structurels à arbitrer ? Quelle méthode politique pour les arbitrer ? Quel calendrier opérationnel sur vingt-cinq ans ? Trois questions, trois sections. Les enjeux. La méthode. L’agenda.</w:t>
      </w:r>
    </w:p>
    <w:p>
      <w:pPr>
        <w:pStyle w:val="BodyText"/>
      </w:pPr>
      <w:r>
        <w:t xml:space="preserve">5.1 L’enjeu de la temporalité</w:t>
      </w:r>
    </w:p>
    <w:p>
      <w:pPr>
        <w:pStyle w:val="BodyText"/>
      </w:pPr>
      <w:r>
        <w:t xml:space="preserve">La première équation n’est pas financière. Elle est temporelle.</w:t>
      </w:r>
    </w:p>
    <w:p>
      <w:pPr>
        <w:pStyle w:val="BodyText"/>
      </w:pPr>
      <w:r>
        <w:t xml:space="preserve">Le débat français oscille depuis trente ans entre deux mirages.</w:t>
      </w:r>
      <w:r>
        <w:t xml:space="preserve"> </w:t>
      </w:r>
      <w:r>
        <w:rPr>
          <w:i/>
          <w:iCs/>
        </w:rPr>
        <w:t xml:space="preserve">« Tout, tout de suite »</w:t>
      </w:r>
      <w:r>
        <w:t xml:space="preserve"> </w:t>
      </w:r>
      <w:r>
        <w:t xml:space="preserve">- la version idéaliste, qui imagine qu’une réforme structurelle peut entrer en vigueur à cent pour cent dans un mandat présidentiel.</w:t>
      </w:r>
      <w:r>
        <w:t xml:space="preserve"> </w:t>
      </w:r>
      <w:r>
        <w:rPr>
          <w:i/>
          <w:iCs/>
        </w:rPr>
        <w:t xml:space="preserve">« Ce sera trop long, donc inutile »</w:t>
      </w:r>
      <w:r>
        <w:t xml:space="preserve"> </w:t>
      </w:r>
      <w:r>
        <w:t xml:space="preserve">- la version résignée, qui justifie l’inaction par la durée. Les cas étrangers tranchent net. Suède : trois ans de négociation, cinq ans de loi, seize ans de cohortes. Royaume-Uni : six ans de Pensions Commission, sept ans de</w:t>
      </w:r>
      <w:r>
        <w:t xml:space="preserve"> </w:t>
      </w:r>
      <w:r>
        <w:rPr>
          <w:i/>
          <w:iCs/>
        </w:rPr>
        <w:t xml:space="preserve">staging</w:t>
      </w:r>
      <w:r>
        <w:t xml:space="preserve">. Canada : un an d’accord fédéral-provinces, cinq ans de hausse paramétrique. Australie : sept ans entre l’Accord Hawke-Kelty et le vote, trente-trois ans pour atteindre les 12 %</w:t>
      </w:r>
      <w:r>
        <w:rPr>
          <w:rStyle w:val="FootnoteReference"/>
        </w:rPr>
        <w:footnoteReference w:id="331"/>
      </w:r>
      <w:r>
        <w:t xml:space="preserve">. Aucun pays comparable n’a fait moins de cinq ans sur la séquence accord-loi-déploiement. Aucun n’a fait moins de vingt-cinq ans sur la séquence loi-maturité.</w:t>
      </w:r>
    </w:p>
    <w:p>
      <w:pPr>
        <w:pStyle w:val="BodyText"/>
      </w:pPr>
      <w:r>
        <w:t xml:space="preserve">La démographie française interdit le luxe d’attendre. Indicateur conjoncturel de fécondité 2025 : 1,56 enfant par femme, plus bas depuis 1915 hors guerres</w:t>
      </w:r>
      <w:r>
        <w:rPr>
          <w:rStyle w:val="FootnoteReference"/>
        </w:rPr>
        <w:footnoteReference w:id="332"/>
      </w:r>
      <w:r>
        <w:t xml:space="preserve">. Ratio cotisants-retraités projeté par le COR : 1,79 aujourd’hui, 1,41 en 2070</w:t>
      </w:r>
      <w:r>
        <w:rPr>
          <w:rStyle w:val="FootnoteReference"/>
        </w:rPr>
        <w:footnoteReference w:id="333"/>
      </w:r>
      <w:r>
        <w:t xml:space="preserve">. Si nous voulons que les 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pPr>
        <w:pStyle w:val="BodyText"/>
      </w:pPr>
      <w:r>
        <w:t xml:space="preserve">Une dernière leçon, et pas la moindre. Dans tous les cas étrangers qui ont</w:t>
      </w:r>
      <w:r>
        <w:t xml:space="preserve"> </w:t>
      </w:r>
      <w:r>
        <w:rPr>
          <w:b/>
          <w:bCs/>
        </w:rPr>
        <w:t xml:space="preserve">tenu</w:t>
      </w:r>
      <w:r>
        <w:t xml:space="preserve">, les hausses futures de cotisation sont</w:t>
      </w:r>
      <w:r>
        <w:t xml:space="preserve"> </w:t>
      </w:r>
      <w:r>
        <w:rPr>
          <w:b/>
          <w:bCs/>
        </w:rPr>
        <w:t xml:space="preserve">inscrites dans la loi</w:t>
      </w:r>
      <w:r>
        <w:t xml:space="preserve">, pas dans une feuille de route. L’Australie en a fait l’amère expérience : Howard a gelé le</w:t>
      </w:r>
      <w:r>
        <w:t xml:space="preserve"> </w:t>
      </w:r>
      <w:r>
        <w:rPr>
          <w:i/>
          <w:iCs/>
        </w:rPr>
        <w:t xml:space="preserve">Superannuation Guarantee</w:t>
      </w:r>
      <w:r>
        <w:t xml:space="preserve"> </w:t>
      </w:r>
      <w:r>
        <w:t xml:space="preserve">à 9 % en 2002, Abbott l’a regelé en 2014</w:t>
      </w:r>
      <w:r>
        <w:rPr>
          <w:rStyle w:val="FootnoteReference"/>
        </w:rPr>
        <w:footnoteReference w:id="334"/>
      </w:r>
      <w:r>
        <w:t xml:space="preserve">.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pPr>
        <w:pStyle w:val="BodyText"/>
      </w:pPr>
      <w:r>
        <w:t xml:space="preserve">5.2 L’enjeu du double paiement</w:t>
      </w:r>
    </w:p>
    <w:p>
      <w:pPr>
        <w:pStyle w:val="BodyText"/>
      </w:pPr>
      <w:r>
        <w:t xml:space="preserve">C’est ici que le débat français déraille depuis trente ans. Le</w:t>
      </w:r>
      <w:r>
        <w:t xml:space="preserve"> </w:t>
      </w:r>
      <w:r>
        <w:rPr>
          <w:i/>
          <w:iCs/>
        </w:rPr>
        <w:t xml:space="preserve">double paiement</w:t>
      </w:r>
      <w:r>
        <w:t xml:space="preserve">, présenté comme un mur, est en réalité une équation à plusieurs inconnues. Aucun pays comparable ne l’a résolue par l’impôt général.</w:t>
      </w:r>
    </w:p>
    <w:p>
      <w:pPr>
        <w:pStyle w:val="BodyText"/>
      </w:pPr>
      <w:r>
        <w:t xml:space="preserve">L’équation, d’abord. Dans toute transition de la répartition pure vers un système mixte, les actifs financent simultanément deux choses. Les retraités d’aujourd’hui, via les cotisations existantes -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w:t>
      </w:r>
      <w:r>
        <w:t xml:space="preserve"> </w:t>
      </w:r>
      <w:r>
        <w:rPr>
          <w:b/>
          <w:bCs/>
        </w:rPr>
        <w:t xml:space="preserve">qui</w:t>
      </w:r>
      <w:r>
        <w:t xml:space="preserve"> </w:t>
      </w:r>
      <w:r>
        <w:t xml:space="preserve">l’absorbe.</w:t>
      </w:r>
    </w:p>
    <w:p>
      <w:pPr>
        <w:pStyle w:val="BodyText"/>
      </w:pPr>
      <w:r>
        <w:t xml:space="preserve">Six leviers documentés, chiffrés, mobilisables. Le FRR d’abord, 20,4 Md€ d’encours fin 2024, mobilisables en dotation initiale unique</w:t>
      </w:r>
      <w:r>
        <w:rPr>
          <w:rStyle w:val="FootnoteReference"/>
        </w:rPr>
        <w:footnoteReference w:id="335"/>
      </w:r>
      <w:r>
        <w:t xml:space="preserve">. Les eurobonds retraite, à hauteur de 50 Md€ d’amorçage, soit ~2 Md€/an d’intérêts pour 1,7 point de dette publique brute</w:t>
      </w:r>
      <w:r>
        <w:rPr>
          <w:rStyle w:val="FootnoteReference"/>
        </w:rPr>
        <w:footnoteReference w:id="336"/>
      </w:r>
      <w:r>
        <w:t xml:space="preserve">. La CSG, dont chaque point représente 16-17 Md€/an de flux pérenne, en conflit politique avec le financement de la santé</w:t>
      </w:r>
      <w:r>
        <w:rPr>
          <w:rStyle w:val="FootnoteReference"/>
        </w:rPr>
        <w:footnoteReference w:id="337"/>
      </w:r>
      <w:r>
        <w:t xml:space="preserve">. Le redéploiement progressif d’un point d’AGIRC-ARRCO (8-10 Md€/an), à condition d’un accord paritaire. La sous-indexation des pensions de 1 point sous l’inflation (~1,4 Md€/an d’économie). Et surtout la cotisation patronale nouvelle, qui rapporte ~11 Md€/an par point, soit ~22 Md€/an à 2 points sur la masse salariale française</w:t>
      </w:r>
      <w:r>
        <w:rPr>
          <w:rStyle w:val="FootnoteReference"/>
        </w:rPr>
        <w:footnoteReference w:id="338"/>
      </w:r>
      <w:r>
        <w:t xml:space="preserve">.</w:t>
      </w:r>
    </w:p>
    <w:p>
      <w:pPr>
        <w:pStyle w:val="BodyText"/>
      </w:pPr>
      <w:r>
        <w:t xml:space="preserve">L’épaisseur du trou à combler éclaire l’arbitrage. Le COR projette un déficit annuel du système de retraites de -5 Md€ en 2025, -6,6 Md€ en 2030,</w:t>
      </w:r>
      <w:r>
        <w:t xml:space="preserve"> </w:t>
      </w:r>
      <w:r>
        <w:rPr>
          <w:b/>
          <w:bCs/>
        </w:rPr>
        <w:t xml:space="preserve">-45 Md€ en 2070</w:t>
      </w:r>
      <w:r>
        <w:rPr>
          <w:rStyle w:val="FootnoteReference"/>
        </w:rPr>
        <w:footnoteReference w:id="339"/>
      </w:r>
      <w:r>
        <w:t xml:space="preserve">. Au-dessus, le passif implicite mesuré par la Commission européenne :</w:t>
      </w:r>
      <w:r>
        <w:t xml:space="preserve"> </w:t>
      </w:r>
      <w:r>
        <w:rPr>
          <w:b/>
          <w:bCs/>
        </w:rPr>
        <w:t xml:space="preserve">~417 % du PIB</w:t>
      </w:r>
      <w:r>
        <w:t xml:space="preserve">, les promesses déjà actualisées</w:t>
      </w:r>
      <w:r>
        <w:rPr>
          <w:rStyle w:val="FootnoteReference"/>
        </w:rPr>
        <w:footnoteReference w:id="340"/>
      </w:r>
      <w:r>
        <w:t xml:space="preserve">. Ce chiffre ne signifie pas qu’il faille payer 417 % du PIB demain. Il signifie que la France a déjà</w:t>
      </w:r>
      <w:r>
        <w:t xml:space="preserve"> </w:t>
      </w:r>
      <w:r>
        <w:rPr>
          <w:i/>
          <w:iCs/>
        </w:rPr>
        <w:t xml:space="preserve">promis</w:t>
      </w:r>
      <w:r>
        <w:t xml:space="preserve"> </w:t>
      </w:r>
      <w:r>
        <w:t xml:space="preserve">l’équivalent. La capitalisation ne résorbe pas ce passif. Elle évite seulement de le creuser pour les générations à venir.</w:t>
      </w:r>
    </w:p>
    <w:p>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 aucun, j’insiste, n’a poussé un levier à son maximum.</w:t>
      </w:r>
    </w:p>
    <w:p>
      <w:pPr>
        <w:pStyle w:val="BodyText"/>
      </w:pPr>
      <w:r>
        <w:t xml:space="preserve">5.3 L’enjeu de la segmentation</w:t>
      </w:r>
    </w:p>
    <w:p>
      <w:pPr>
        <w:pStyle w:val="BodyText"/>
      </w:pPr>
      <w:r>
        <w:t xml:space="preserve">Tous les actifs en même temps ? Ou par étapes ? Personne, à l’étranger, n’a fait</w:t>
      </w:r>
      <w:r>
        <w:t xml:space="preserve"> </w:t>
      </w:r>
      <w:r>
        <w:rPr>
          <w:i/>
          <w:iCs/>
        </w:rPr>
        <w:t xml:space="preserve">« tous en même temps »</w:t>
      </w:r>
      <w:r>
        <w:t xml:space="preserve">. C’est techniquement impossible et politiquement explosif. Tout le monde a segmenté.</w:t>
      </w:r>
    </w:p>
    <w:p>
      <w:pPr>
        <w:pStyle w:val="BodyText"/>
      </w:pPr>
      <w:r>
        <w:t xml:space="preserve">Trois pistes structurent le terrain. La</w:t>
      </w:r>
      <w:r>
        <w:t xml:space="preserve"> </w:t>
      </w:r>
      <w:r>
        <w:rPr>
          <w:b/>
          <w:bCs/>
        </w:rPr>
        <w:t xml:space="preserve">cohorte d’âge</w:t>
      </w:r>
      <w:r>
        <w:t xml:space="preserve">, modèle suédois 1938-1954 et polonais post-1969. C’est le levier le plus puissant techniquement, parce que les jeunes générations captent intégralement le rendement composé sur quarante ans</w:t>
      </w:r>
      <w:r>
        <w:rPr>
          <w:rStyle w:val="FootnoteReference"/>
        </w:rPr>
        <w:footnoteReference w:id="341"/>
      </w:r>
      <w:r>
        <w:t xml:space="preserve">. C’est aussi le plus exposé au contentieux : l’article 14 de la Convention européenne admet les différences par âge si elles sont objectivement justifiées (jurisprudence</w:t>
      </w:r>
      <w:r>
        <w:t xml:space="preserve"> </w:t>
      </w:r>
      <w:r>
        <w:rPr>
          <w:i/>
          <w:iCs/>
        </w:rPr>
        <w:t xml:space="preserve">Stec</w:t>
      </w:r>
      <w:r>
        <w:t xml:space="preserve"> </w:t>
      </w:r>
      <w:r>
        <w:t xml:space="preserve">2006), mais une rupture binaire entre les nés ≥ 2000 (capitalisation totale) et les nés ≤ 1979 (répartition totale) heurterait frontalement. Mitigation : transition progressive avec paliers annuels, et minimum garanti pour les cohortes intermédiaires.</w:t>
      </w:r>
    </w:p>
    <w:p>
      <w:pPr>
        <w:pStyle w:val="BodyText"/>
      </w:pPr>
      <w:r>
        <w:t xml:space="preserve">La</w:t>
      </w:r>
      <w:r>
        <w:t xml:space="preserve"> </w:t>
      </w:r>
      <w:r>
        <w:rPr>
          <w:b/>
          <w:bCs/>
        </w:rPr>
        <w:t xml:space="preserve">taille d’entreprise</w:t>
      </w:r>
      <w:r>
        <w:t xml:space="preserve">, ensuite, modèle UK</w:t>
      </w:r>
      <w:r>
        <w:t xml:space="preserve"> </w:t>
      </w:r>
      <w:r>
        <w:rPr>
          <w:i/>
          <w:iCs/>
        </w:rPr>
        <w:t xml:space="preserve">staging</w:t>
      </w:r>
      <w:r>
        <w:t xml:space="preserve"> </w:t>
      </w:r>
      <w:r>
        <w:t xml:space="preserve">2012-2018. Six ans pour déployer un auto-enrolment universel, en commençant par les très grandes entreprises (octobre 2012, plus de 50 000 salariés) et en finissant par les TPE (avril 2018). Au 6 avril 2019, taux de cotisation à 8 % et couverture estimée à 80 % des éligibles</w:t>
      </w:r>
      <w:r>
        <w:rPr>
          <w:rStyle w:val="FootnoteReference"/>
        </w:rPr>
        <w:footnoteReference w:id="342"/>
      </w:r>
      <w:r>
        <w:t xml:space="preserve">. Le tier juridique français est faible : la jurisprudence sur les seuils d’entreprise est large. C’est la voie la plus pragmatique pour ouvrir un terrain, et c’est celle que retient l’agenda en Section C.</w:t>
      </w:r>
    </w:p>
    <w:p>
      <w:pPr>
        <w:pStyle w:val="BodyText"/>
      </w:pPr>
      <w:r>
        <w:t xml:space="preserve">L’</w:t>
      </w:r>
      <w:r>
        <w:rPr>
          <w:b/>
          <w:bCs/>
        </w:rPr>
        <w:t xml:space="preserve">opt-in volontaire</w:t>
      </w:r>
      <w:r>
        <w:t xml:space="preserve"> </w:t>
      </w:r>
      <w:r>
        <w:t xml:space="preserve">seul, enfin, mérite une mise en garde. C’est juridiquement parfait - zéro contrainte, donc zéro contentieux. C’est aussi le plus visiblement échoué. Le Riester allemand plafonne à ~9,7 millions d’actifs en 2024 pour un potentiel de 35 millions</w:t>
      </w:r>
      <w:r>
        <w:rPr>
          <w:rStyle w:val="FootnoteReference"/>
        </w:rPr>
        <w:footnoteReference w:id="343"/>
      </w:r>
      <w:r>
        <w:t xml:space="preserve">. Le PER français affiche 11 millions de contrats, mais l’encours moyen est de ~3 400 € : il sert d’optimisation fiscale aux CSP+, pas de système retraite collectif</w:t>
      </w:r>
      <w:r>
        <w:rPr>
          <w:rStyle w:val="FootnoteReference"/>
        </w:rPr>
        <w:footnoteReference w:id="344"/>
      </w:r>
      <w:r>
        <w:t xml:space="preserve">. Sans obligation ou auto-enrolment, le volontariat ne touche que les déjà-épargnants.</w:t>
      </w:r>
    </w:p>
    <w:p>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 la cohorte radicale ne l’est pas.</w:t>
      </w:r>
    </w:p>
    <w:p>
      <w:pPr>
        <w:pStyle w:val="BodyText"/>
      </w:pPr>
      <w:r>
        <w:t xml:space="preserve">5.4 L’enjeu de l’acceptabilité sociale</w:t>
      </w:r>
    </w:p>
    <w:p>
      <w:pPr>
        <w:pStyle w:val="BodyText"/>
      </w:pPr>
      <w:r>
        <w:t xml:space="preserve">Le rapport de force de 2026 n’est plus celui de 1997, ni celui de 2010. L’opinion a basculé.</w:t>
      </w:r>
    </w:p>
    <w:p>
      <w:pPr>
        <w:pStyle w:val="BodyText"/>
      </w:pPr>
      <w:r>
        <w:t xml:space="preserve">Le sondage</w:t>
      </w:r>
      <w:r>
        <w:t xml:space="preserve"> </w:t>
      </w:r>
      <w:r>
        <w:rPr>
          <w:b/>
          <w:bCs/>
        </w:rPr>
        <w:t xml:space="preserve">Odoxa-Groupama de novembre 2025</w:t>
      </w:r>
      <w:r>
        <w:t xml:space="preserve"> </w:t>
      </w:r>
      <w:r>
        <w:t xml:space="preserve">mesure que</w:t>
      </w:r>
      <w:r>
        <w:t xml:space="preserve"> </w:t>
      </w:r>
      <w:r>
        <w:rPr>
          <w:b/>
          <w:bCs/>
        </w:rPr>
        <w:t xml:space="preserve">57 % des Français se déclarent favorables à un système mixte</w:t>
      </w:r>
      <w:r>
        <w:t xml:space="preserve"> </w:t>
      </w:r>
      <w:r>
        <w:t xml:space="preserve">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345"/>
      </w:r>
      <w:r>
        <w:t xml:space="preserve">. Ce sont des chiffres qu’on n’a jamais vus depuis qu’on les mesure. Le baromètre AMF d’octobre 2024, sur 2 044 répondants, confirme : 58 % des Français inquiets pour leur retraite, 66 % chez les non-retraités</w:t>
      </w:r>
      <w:r>
        <w:rPr>
          <w:rStyle w:val="FootnoteReference"/>
        </w:rPr>
        <w:footnoteReference w:id="346"/>
      </w:r>
      <w:r>
        <w:t xml:space="preserve">.</w:t>
      </w:r>
    </w:p>
    <w:p>
      <w:pPr>
        <w:pStyle w:val="BodyText"/>
      </w:pPr>
      <w:r>
        <w:t xml:space="preserve">Le rapport de force syndical est plus contrasté. La CGT, FO et l’UNSA refusent par principe. La CFDT s’ouvre prudemment, sous condition d’équité et de généralisation - c’est la position publique de Marylise Léon. La CFE-CGC, sous la présidence de Christelle Thieffine, est favorable explicite, conditionnée à la préservation du socle répartition</w:t>
      </w:r>
      <w:r>
        <w:rPr>
          <w:rStyle w:val="FootnoteReference"/>
        </w:rPr>
        <w:footnoteReference w:id="347"/>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w:t>
      </w:r>
      <w:r>
        <w:t xml:space="preserve"> </w:t>
      </w:r>
      <w:r>
        <w:rPr>
          <w:i/>
          <w:iCs/>
        </w:rPr>
        <w:t xml:space="preserve">Pensioenakkoord</w:t>
      </w:r>
      <w:r>
        <w:t xml:space="preserve">.</w:t>
      </w:r>
    </w:p>
    <w:p>
      <w:pPr>
        <w:pStyle w:val="BodyText"/>
      </w:pPr>
      <w:r>
        <w:t xml:space="preserve">L’histoire récente des blocages français mérite d’être posée sans euphémisme.</w:t>
      </w:r>
      <w:r>
        <w:t xml:space="preserve"> </w:t>
      </w:r>
      <w:r>
        <w:rPr>
          <w:b/>
          <w:bCs/>
        </w:rPr>
        <w:t xml:space="preserve">1997</w:t>
      </w:r>
      <w:r>
        <w:t xml:space="preserve"> </w:t>
      </w:r>
      <w:r>
        <w:rPr>
          <w:b/>
          <w:bCs/>
        </w:rPr>
        <w:t xml:space="preserve">- Loi Thomas.</w:t>
      </w:r>
      <w:r>
        <w:t xml:space="preserve"> </w:t>
      </w:r>
      <w:r>
        <w:t xml:space="preserve">Votée par majorité Juppé sans accord d’opposition. Décrets jamais signés par Jospin après la dissolution de juin 1997. Abrogée en 2002</w:t>
      </w:r>
      <w:r>
        <w:rPr>
          <w:rStyle w:val="FootnoteReference"/>
        </w:rPr>
        <w:footnoteReference w:id="348"/>
      </w:r>
      <w:r>
        <w:t xml:space="preserve">.</w:t>
      </w:r>
      <w:r>
        <w:t xml:space="preserve"> </w:t>
      </w:r>
      <w:r>
        <w:rPr>
          <w:b/>
          <w:bCs/>
        </w:rPr>
        <w:t xml:space="preserve">2019</w:t>
      </w:r>
      <w:r>
        <w:t xml:space="preserve"> </w:t>
      </w:r>
      <w:r>
        <w:rPr>
          <w:b/>
          <w:bCs/>
        </w:rPr>
        <w:t xml:space="preserve">- Réforme Delevoye.</w:t>
      </w:r>
      <w:r>
        <w:t xml:space="preserve"> </w:t>
      </w:r>
      <w:r>
        <w:t xml:space="preserve">Système universel à points, négocié dans un esprit technocratique sans accord syndical formel. Grèves RATP-SNCF de décembre 2019 à janvier 2020. La pandémie enterre la suite</w:t>
      </w:r>
      <w:r>
        <w:rPr>
          <w:rStyle w:val="FootnoteReference"/>
        </w:rPr>
        <w:footnoteReference w:id="349"/>
      </w:r>
      <w:r>
        <w:t xml:space="preserve">.</w:t>
      </w:r>
      <w:r>
        <w:t xml:space="preserve"> </w:t>
      </w:r>
      <w:r>
        <w:rPr>
          <w:b/>
          <w:bCs/>
        </w:rPr>
        <w:t xml:space="preserve">2023</w:t>
      </w:r>
      <w:r>
        <w:t xml:space="preserve"> </w:t>
      </w:r>
      <w:r>
        <w:rPr>
          <w:b/>
          <w:bCs/>
        </w:rPr>
        <w:t xml:space="preserve">- Réforme Borne.</w:t>
      </w:r>
      <w:r>
        <w:t xml:space="preserve"> </w:t>
      </w:r>
      <w:r>
        <w:t xml:space="preserve">Recul à 64 ans validé par 49.3, sans accord syndical ni parlementaire formel. Coût politique massif. Suspension partielle dans la LFSS 2026</w:t>
      </w:r>
      <w:r>
        <w:rPr>
          <w:rStyle w:val="FootnoteReference"/>
        </w:rPr>
        <w:footnoteReference w:id="350"/>
      </w:r>
      <w:r>
        <w:t xml:space="preserve">.</w:t>
      </w:r>
    </w:p>
    <w:p>
      <w:pPr>
        <w:pStyle w:val="BodyText"/>
      </w:pPr>
      <w:r>
        <w:t xml:space="preserve">Trois échecs, une même cause : aucun de ces textes n’avait été précédé d’un accord pluripartite formalisé. Inversement, partout où le pacte préalable a été signé - Suède 1994, Australie 1985, Royaume-Uni 2002-2008, Pays-Bas 2019-2023 - la réforme a tenu vingt ou trente ans. L’opinion est mûre. Le rapport syndical est négociable. Reste à savoir si le politique saura, cette fois, négocier avant de voter.</w:t>
      </w:r>
    </w:p>
    <w:p>
      <w:pPr>
        <w:pStyle w:val="BodyText"/>
      </w:pPr>
      <w:r>
        <w:t xml:space="preserve">5.5 L’enjeu juridique et constitutionnel</w:t>
      </w:r>
    </w:p>
    <w:p>
      <w:pPr>
        <w:pStyle w:val="BodyText"/>
      </w:pPr>
      <w:r>
        <w:t xml:space="preserve">Voici le verrou le plus surestimé du débat français.</w:t>
      </w:r>
      <w:r>
        <w:t xml:space="preserve"> </w:t>
      </w:r>
      <w:r>
        <w:rPr>
          <w:b/>
          <w:bCs/>
        </w:rPr>
        <w:t xml:space="preserve">Aucune révision constitutionnelle n’est nécessaire</w:t>
      </w:r>
      <w:r>
        <w:t xml:space="preserve"> </w:t>
      </w:r>
      <w:r>
        <w:t xml:space="preserve">pour introduire un pilier capitalisé représentant jusqu’à 30 % des cotisations retraite. La Constitution n’impose pas la répartition. Elle impose la sécurité matérielle des vieux travailleurs. Ce n’est pas la même chose.</w:t>
      </w:r>
    </w:p>
    <w:p>
      <w:pPr>
        <w:pStyle w:val="BodyText"/>
      </w:pPr>
      <w:r>
        <w:t xml:space="preserve">L’</w:t>
      </w:r>
      <w:r>
        <w:rPr>
          <w:b/>
          <w:bCs/>
        </w:rPr>
        <w:t xml:space="preserve">alinéa 11 du Préambule de 1946</w:t>
      </w:r>
      <w:r>
        <w:t xml:space="preserve"> </w:t>
      </w:r>
      <w:r>
        <w:t xml:space="preserve">garantit à tous</w:t>
      </w:r>
      <w:r>
        <w:t xml:space="preserve"> </w:t>
      </w:r>
      <w:r>
        <w:rPr>
          <w:i/>
          <w:iCs/>
        </w:rPr>
        <w:t xml:space="preserve">« la protection de la santé, la sécurité matérielle, le repos et les loisirs »</w:t>
      </w:r>
      <w:r>
        <w:t xml:space="preserve">. C’est une obligation de</w:t>
      </w:r>
      <w:r>
        <w:t xml:space="preserve"> </w:t>
      </w:r>
      <w:r>
        <w:rPr>
          <w:b/>
          <w:bCs/>
        </w:rPr>
        <w:t xml:space="preserve">résultat de solidarité</w:t>
      </w:r>
      <w:r>
        <w:t xml:space="preserve">, pas une obligation de</w:t>
      </w:r>
      <w:r>
        <w:t xml:space="preserve"> </w:t>
      </w:r>
      <w:r>
        <w:rPr>
          <w:b/>
          <w:bCs/>
        </w:rPr>
        <w:t xml:space="preserve">forme</w:t>
      </w:r>
      <w:r>
        <w:t xml:space="preserve">. Le Conseil constitutionnel n’a jamais déduit de cet alinéa que la répartition était le seul instrument constitutionnellement admissible. L’</w:t>
      </w:r>
      <w:r>
        <w:rPr>
          <w:b/>
          <w:bCs/>
        </w:rPr>
        <w:t xml:space="preserve">article 34 de la Constitution</w:t>
      </w:r>
      <w:r>
        <w:t xml:space="preserve"> </w:t>
      </w:r>
      <w:r>
        <w:t xml:space="preserve">réserve à la loi la fixation des principes fondamentaux de la sécurité sociale -</w:t>
      </w:r>
      <w:r>
        <w:t xml:space="preserve"> </w:t>
      </w:r>
      <w:r>
        <w:rPr>
          <w:b/>
          <w:bCs/>
        </w:rPr>
        <w:t xml:space="preserve">loi ordinaire suffit</w:t>
      </w:r>
      <w:r>
        <w:t xml:space="preserve"> </w:t>
      </w:r>
      <w:r>
        <w:t xml:space="preserve">pour créer un fonds capitalisé public. La Cinquième République ne demande pas de révision pour cela.</w:t>
      </w:r>
    </w:p>
    <w:p>
      <w:pPr>
        <w:pStyle w:val="BodyText"/>
      </w:pPr>
      <w:r>
        <w:t xml:space="preserve">Au-dessus, quatre décisions du Conseil constitutionnel structurent l’espace possible. La</w:t>
      </w:r>
      <w:r>
        <w:t xml:space="preserve"> </w:t>
      </w:r>
      <w:r>
        <w:rPr>
          <w:b/>
          <w:bCs/>
        </w:rPr>
        <w:t xml:space="preserve">DC 2003-483</w:t>
      </w:r>
      <w:r>
        <w:t xml:space="preserve"> </w:t>
      </w:r>
      <w:r>
        <w:t xml:space="preserve">du 14 août 2003 (loi Fillon) pose que le législateur est libre des paramètres dès lors que les droits acquis sont préservés</w:t>
      </w:r>
      <w:r>
        <w:rPr>
          <w:rStyle w:val="FootnoteReference"/>
        </w:rPr>
        <w:footnoteReference w:id="351"/>
      </w:r>
      <w:r>
        <w:t xml:space="preserve">. La</w:t>
      </w:r>
      <w:r>
        <w:t xml:space="preserve"> </w:t>
      </w:r>
      <w:r>
        <w:rPr>
          <w:b/>
          <w:bCs/>
        </w:rPr>
        <w:t xml:space="preserve">DC 2010-617</w:t>
      </w:r>
      <w:r>
        <w:t xml:space="preserve"> </w:t>
      </w:r>
      <w:r>
        <w:t xml:space="preserve">du 9 novembre 2010 (loi Woerth) valide le recul de l’âge légal et les modifications paramétriques profondes. La</w:t>
      </w:r>
      <w:r>
        <w:t xml:space="preserve"> </w:t>
      </w:r>
      <w:r>
        <w:rPr>
          <w:b/>
          <w:bCs/>
        </w:rPr>
        <w:t xml:space="preserve">DC 2014-698</w:t>
      </w:r>
      <w:r>
        <w:t xml:space="preserve"> </w:t>
      </w:r>
      <w:r>
        <w:t xml:space="preserve">du 6 août 2014 (loi Touraine) censure une rupture d’égalité ponctuelle mais valide la convergence générationnelle progressive</w:t>
      </w:r>
      <w:r>
        <w:rPr>
          <w:rStyle w:val="FootnoteReference"/>
        </w:rPr>
        <w:footnoteReference w:id="352"/>
      </w:r>
      <w:r>
        <w:t xml:space="preserve">. La</w:t>
      </w:r>
      <w:r>
        <w:t xml:space="preserve"> </w:t>
      </w:r>
      <w:r>
        <w:rPr>
          <w:b/>
          <w:bCs/>
        </w:rPr>
        <w:t xml:space="preserve">DC 2023-849</w:t>
      </w:r>
      <w:r>
        <w:t xml:space="preserve"> </w:t>
      </w:r>
      <w:r>
        <w:t xml:space="preserve">du 14 avril 2023 (loi Borne) confirme que les asymétries générationnelles sont admises si elles sont justifiées par la viabilité financière du système. La marge est étroite - elle n’est pas nulle.</w:t>
      </w:r>
    </w:p>
    <w:p>
      <w:pPr>
        <w:pStyle w:val="BodyText"/>
      </w:pPr>
      <w:r>
        <w:t xml:space="preserve">Au-dessus encore, la</w:t>
      </w:r>
      <w:r>
        <w:t xml:space="preserve"> </w:t>
      </w:r>
      <w:r>
        <w:rPr>
          <w:b/>
          <w:bCs/>
        </w:rPr>
        <w:t xml:space="preserve">CEDH</w:t>
      </w:r>
      <w:r>
        <w:t xml:space="preserve">.</w:t>
      </w:r>
      <w:r>
        <w:t xml:space="preserve"> </w:t>
      </w:r>
      <w:r>
        <w:rPr>
          <w:i/>
          <w:iCs/>
        </w:rPr>
        <w:t xml:space="preserve">Apostolakis c. Grèce</w:t>
      </w:r>
      <w:r>
        <w:t xml:space="preserve"> </w:t>
      </w:r>
      <w:r>
        <w:t xml:space="preserve">(2009) : on ne supprime pas rétroactivement les droits à pension acquis</w:t>
      </w:r>
      <w:r>
        <w:rPr>
          <w:rStyle w:val="FootnoteReference"/>
        </w:rPr>
        <w:footnoteReference w:id="353"/>
      </w:r>
      <w:r>
        <w:t xml:space="preserve">.</w:t>
      </w:r>
      <w:r>
        <w:t xml:space="preserve"> </w:t>
      </w:r>
      <w:r>
        <w:rPr>
          <w:i/>
          <w:iCs/>
        </w:rPr>
        <w:t xml:space="preserve">Béláné Nagy c. Hongrie</w:t>
      </w:r>
      <w:r>
        <w:t xml:space="preserve"> </w:t>
      </w:r>
      <w:r>
        <w:t xml:space="preserve">(Grande Chambre 2016) : une pension versée depuis plusieurs années crée une expectative légitime protégée</w:t>
      </w:r>
      <w:r>
        <w:rPr>
          <w:rStyle w:val="FootnoteReference"/>
        </w:rPr>
        <w:footnoteReference w:id="354"/>
      </w:r>
      <w:r>
        <w:t xml:space="preserve">.</w:t>
      </w:r>
      <w:r>
        <w:t xml:space="preserve"> </w:t>
      </w:r>
      <w:r>
        <w:rPr>
          <w:i/>
          <w:iCs/>
        </w:rPr>
        <w:t xml:space="preserve">Stec c. Royaume-Uni</w:t>
      </w:r>
      <w:r>
        <w:t xml:space="preserve"> </w:t>
      </w:r>
      <w:r>
        <w:t xml:space="preserve">(Grande Chambre 2006) : les différences de traitement par âge sont admises si elles sont objectivement justifiées</w:t>
      </w:r>
      <w:r>
        <w:rPr>
          <w:rStyle w:val="FootnoteReference"/>
        </w:rPr>
        <w:footnoteReference w:id="355"/>
      </w:r>
      <w:r>
        <w:t xml:space="preserve">. La synthèse opérationnelle est nette : on ne touche pas aux pensions liquidées ; on peut moduler les paramètres futurs ; on peut segmenter par cohorte si la transition est progressive et la justification documentée.</w:t>
      </w:r>
    </w:p>
    <w:p>
      <w:pPr>
        <w:pStyle w:val="BodyText"/>
      </w:pPr>
      <w:r>
        <w:t xml:space="preserve">Trois bombes sont à désamorcer. La</w:t>
      </w:r>
      <w:r>
        <w:t xml:space="preserve"> </w:t>
      </w:r>
      <w:r>
        <w:rPr>
          <w:b/>
          <w:bCs/>
        </w:rPr>
        <w:t xml:space="preserve">substitution AGIRC-ARRCO</w:t>
      </w:r>
      <w:r>
        <w:t xml:space="preserve"> </w:t>
      </w:r>
      <w:r>
        <w:t xml:space="preserve">sans accord paritaire - réduire les 12,8 % actuels et basculer dix points vers un fonds capitalisé public - déclencherait une QPC quasi-certaine au regard de l’article L.923-1 du Code de la sécurité sociale</w:t>
      </w:r>
      <w:r>
        <w:rPr>
          <w:rStyle w:val="FootnoteReference"/>
        </w:rPr>
        <w:footnoteReference w:id="356"/>
      </w:r>
      <w:r>
        <w:t xml:space="preserve">. La voie sûre est la</w:t>
      </w:r>
      <w:r>
        <w:t xml:space="preserve"> </w:t>
      </w:r>
      <w:r>
        <w:rPr>
          <w:b/>
          <w:bCs/>
        </w:rPr>
        <w:t xml:space="preserve">superposition</w:t>
      </w:r>
      <w:r>
        <w:t xml:space="preserve">, pas la substitution. La</w:t>
      </w:r>
      <w:r>
        <w:t xml:space="preserve"> </w:t>
      </w:r>
      <w:r>
        <w:rPr>
          <w:b/>
          <w:bCs/>
        </w:rPr>
        <w:t xml:space="preserve">suppression de la répartition</w:t>
      </w:r>
      <w:r>
        <w:t xml:space="preserve"> </w:t>
      </w:r>
      <w:r>
        <w:t xml:space="preserve">exigerait une révision constitutionnelle, politiquement impensable. Et la</w:t>
      </w:r>
      <w:r>
        <w:t xml:space="preserve"> </w:t>
      </w:r>
      <w:r>
        <w:rPr>
          <w:b/>
          <w:bCs/>
        </w:rPr>
        <w:t xml:space="preserve">cohorte d’âge avec rupture radicale</w:t>
      </w:r>
      <w:r>
        <w:t xml:space="preserve"> </w:t>
      </w:r>
      <w:r>
        <w:t xml:space="preserve">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bookmarkEnd w:id="357"/>
    <w:bookmarkStart w:id="401" w:name="la-méthode-politique"/>
    <w:p>
      <w:pPr>
        <w:pStyle w:val="Heading2"/>
      </w:pPr>
      <w:r>
        <w:t xml:space="preserve">La méthode politique</w:t>
      </w:r>
    </w:p>
    <w:p>
      <w:pPr>
        <w:pStyle w:val="FirstParagraph"/>
      </w:pPr>
      <w:r>
        <w:t xml:space="preserve">Les enjeux posés, reste à savoir comment les arbitrer politiquement. Les quatre cas étrangers du chapitre précédent ne se distinguent pas par leur architecture financière - paritarisme, fonds public, plancher universel se retrouvent partout. Ils se distinguent par la séquence politique qui a précédé le vote. Cette séquence, en démocratie pluraliste, n’admet que deux variantes durables.</w:t>
      </w:r>
    </w:p>
    <w:p>
      <w:pPr>
        <w:pStyle w:val="BodyText"/>
      </w:pPr>
      <w:r>
        <w:t xml:space="preserve">Avant d’examiner ces deux variantes, une question préalable mérite d’être posée et tranchée. Tous les pays comparables ont fait le pas. La France ne l’a pas fait. Pourquoi ? Si l’on ne nomme pas les verrous, on s’expose à les heurter une cinquième fois. Si on les nomme, on peut les desserrer.</w:t>
      </w:r>
    </w:p>
    <w:p>
      <w:pPr>
        <w:pStyle w:val="BodyText"/>
      </w:pPr>
      <w:r>
        <w:t xml:space="preserve">5.7 Les deux voies viables</w:t>
      </w:r>
    </w:p>
    <w:bookmarkStart w:id="362" w:name="voie-a---la-concertation-longue"/>
    <w:p>
      <w:pPr>
        <w:pStyle w:val="Heading4"/>
      </w:pPr>
      <w:r>
        <w:t xml:space="preserve">Voie A - La concertation longue</w:t>
      </w:r>
    </w:p>
    <w:p>
      <w:pPr>
        <w:pStyle w:val="FirstParagraph"/>
      </w:pPr>
      <w:r>
        <w:t xml:space="preserve">Modèle Suède 1994, Royaume-Uni 2002-2008, Pays-Bas 2019-2023. Trois à sept ans avant le vote, vingt à trente ans de durabilité.</w:t>
      </w:r>
    </w:p>
    <w:p>
      <w:pPr>
        <w:pStyle w:val="BodyText"/>
      </w:pPr>
      <w:r>
        <w:t xml:space="preserve">La concertation longue articule trois temps. Une commission indépendante mandatée par le gouvernement - le</w:t>
      </w:r>
      <w:r>
        <w:t xml:space="preserve"> </w:t>
      </w:r>
      <w:r>
        <w:rPr>
          <w:i/>
          <w:iCs/>
        </w:rPr>
        <w:t xml:space="preserve">Pension Working Group</w:t>
      </w:r>
      <w:r>
        <w:t xml:space="preserve"> </w:t>
      </w:r>
      <w:r>
        <w:t xml:space="preserve">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- 85 % du Parlement - signataires du</w:t>
      </w:r>
      <w:r>
        <w:t xml:space="preserve"> </w:t>
      </w:r>
      <w:r>
        <w:rPr>
          <w:i/>
          <w:iCs/>
        </w:rPr>
        <w:t xml:space="preserve">Pensionsöverenskommelsen</w:t>
      </w:r>
      <w:r>
        <w:rPr>
          <w:rStyle w:val="FootnoteReference"/>
        </w:rPr>
        <w:footnoteReference w:id="358"/>
      </w:r>
      <w:r>
        <w:t xml:space="preserve">. C’est ce que le Royaume-Uni a reproduit en 2008 avec un</w:t>
      </w:r>
      <w:r>
        <w:t xml:space="preserve"> </w:t>
      </w:r>
      <w:r>
        <w:rPr>
          <w:i/>
          <w:iCs/>
        </w:rPr>
        <w:t xml:space="preserve">Pensions Act</w:t>
      </w:r>
      <w:r>
        <w:t xml:space="preserve"> </w:t>
      </w:r>
      <w:r>
        <w:t xml:space="preserve">voté à une majorité quasi-unanime, après trois rapports Turner ratifiés transpartisans entre 2004 et 2006</w:t>
      </w:r>
      <w:r>
        <w:rPr>
          <w:rStyle w:val="FootnoteReference"/>
        </w:rPr>
        <w:footnoteReference w:id="359"/>
      </w:r>
      <w:r>
        <w:t xml:space="preserve">.</w:t>
      </w:r>
    </w:p>
    <w:p>
      <w:pPr>
        <w:pStyle w:val="BodyText"/>
      </w:pPr>
      <w:r>
        <w:t xml:space="preserve">L’avantage est la durabilité maximale. La Suède n’a pas remis en cause sa réforme depuis 1994 - trente ans de stabilité institutionnelle, sous des gouvernements de toutes couleurs</w:t>
      </w:r>
      <w:r>
        <w:rPr>
          <w:rStyle w:val="FootnoteReference"/>
        </w:rPr>
        <w:footnoteReference w:id="360"/>
      </w:r>
      <w:r>
        <w:t xml:space="preserve">. Le Royaume-Uni n’a pas touché à l’auto-enrolment depuis 2008. Les Pays-Bas avancent sur le calendrier prévu de la</w:t>
      </w:r>
      <w:r>
        <w:t xml:space="preserve"> </w:t>
      </w:r>
      <w:r>
        <w:rPr>
          <w:i/>
          <w:iCs/>
        </w:rPr>
        <w:t xml:space="preserve">Wet toekomst pensioenen</w:t>
      </w:r>
      <w:r>
        <w:t xml:space="preserve">, vote du 30 mai 2023 par l’</w:t>
      </w:r>
      <w:r>
        <w:rPr>
          <w:i/>
          <w:iCs/>
        </w:rPr>
        <w:t xml:space="preserve">Eerste Kamer</w:t>
      </w:r>
      <w:r>
        <w:t xml:space="preserve"> </w:t>
      </w:r>
      <w:r>
        <w:t xml:space="preserve">à 46 voix contre 27, bascule des fonds professionnels prévue au 1ᵉʳ janvier 2028</w:t>
      </w:r>
      <w:r>
        <w:rPr>
          <w:rStyle w:val="FootnoteReference"/>
        </w:rPr>
        <w:footnoteReference w:id="361"/>
      </w:r>
      <w:r>
        <w:t xml:space="preserve">. La limite est la lenteur : trois ans en Suède, six au Royaume-Uni, quatre aux Pays-Bas avant le vote, plus la transition par cohortes - seize ans entre la première cohorte concernée à 25 % et la dernière à 100 % en Suède. La condition de succès est sèche : diagnostic public avant l’accord politique, accord politique avant la loi. Sinon, on répète Thomas 1997, Delevoye 2019, Borne 2023.</w:t>
      </w:r>
    </w:p>
    <w:bookmarkEnd w:id="362"/>
    <w:bookmarkStart w:id="366" w:name="voie-b---la-rapidité-négociée"/>
    <w:p>
      <w:pPr>
        <w:pStyle w:val="Heading4"/>
      </w:pPr>
      <w:r>
        <w:t xml:space="preserve">Voie B - La rapidité négociée</w:t>
      </w:r>
    </w:p>
    <w:p>
      <w:pPr>
        <w:pStyle w:val="FirstParagraph"/>
      </w:pPr>
      <w:r>
        <w:t xml:space="preserve">Modèle Australie 1985-1992, Canada 1996-1999. Calendrier serré, démarrage immédiat, pacte ferme avec un acteur majeur.</w:t>
      </w:r>
    </w:p>
    <w:p>
      <w:pPr>
        <w:pStyle w:val="BodyText"/>
      </w:pPr>
      <w:r>
        <w:t xml:space="preserve">La rapidité négociée procède autrement. Au lieu d’attendre l’unanimité parlementaire, elle s’adosse à un acteur central - un grand syndicat, une coalition fédérale-provinciale - qui porte la réforme avec le gouvernement. L’Australie l’a fait avec l’</w:t>
      </w:r>
      <w:r>
        <w:rPr>
          <w:i/>
          <w:iCs/>
        </w:rPr>
        <w:t xml:space="preserve">Accord Prices and Incomes Mark II</w:t>
      </w:r>
      <w:r>
        <w:t xml:space="preserve"> </w:t>
      </w:r>
      <w:r>
        <w:t xml:space="preserve">signé en 1985 entre Bob Hawke, Paul Keating et Bill Kelty, secrétaire général de l’ACTU</w:t>
      </w:r>
      <w:r>
        <w:rPr>
          <w:rStyle w:val="FootnoteReference"/>
        </w:rPr>
        <w:footnoteReference w:id="363"/>
      </w:r>
      <w:r>
        <w:t xml:space="preserve">. Le Canada l’a fait avec son accord fédéral-provinces de 1996, ratifié en un an, ouvrant une hausse paritaire de 5,6 % à 9,9 % entre 1998 et 2003</w:t>
      </w:r>
      <w:r>
        <w:rPr>
          <w:rStyle w:val="FootnoteReference"/>
        </w:rPr>
        <w:footnoteReference w:id="364"/>
      </w:r>
      <w:r>
        <w:t xml:space="preserve">.</w:t>
      </w:r>
    </w:p>
    <w:p>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365"/>
      </w:r>
      <w:r>
        <w:t xml:space="preserve">.</w:t>
      </w:r>
    </w:p>
    <w:bookmarkEnd w:id="366"/>
    <w:bookmarkStart w:id="380" w:name="à-éviter---la-voie-chilienne"/>
    <w:p>
      <w:pPr>
        <w:pStyle w:val="Heading4"/>
      </w:pPr>
      <w:r>
        <w:t xml:space="preserve">À éviter - La voie chilienne</w:t>
      </w:r>
    </w:p>
    <w:p>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w:t>
      </w:r>
      <w:r>
        <w:t xml:space="preserve"> </w:t>
      </w:r>
      <w:r>
        <w:rPr>
          <w:i/>
          <w:iCs/>
        </w:rPr>
        <w:t xml:space="preserve">estallido social</w:t>
      </w:r>
      <w:r>
        <w:t xml:space="preserve"> </w:t>
      </w:r>
      <w:r>
        <w:t xml:space="preserve">d’octobre 2019, et finalement loi 21735 de janvier 2025 qui réintroduit cotisation patronale et pilier solidaire après quarante-quatre ans, votée à 110 voix contre 38 par le Congrès chilien</w:t>
      </w:r>
      <w:r>
        <w:rPr>
          <w:rStyle w:val="FootnoteReference"/>
        </w:rPr>
        <w:footnoteReference w:id="367"/>
      </w:r>
      <w:r>
        <w:t xml:space="preserve">. La France n’est ni en régime autoritaire ni pressée par un coup d’État. Cette voie n’est pas seulement inacceptable politiquement. Elle ne marche pas.</w:t>
      </w:r>
    </w:p>
    <w:p>
      <w:pPr>
        <w:pStyle w:val="BodyText"/>
      </w:pPr>
      <w:r>
        <w:t xml:space="preserve">5.7 La gouvernance institutionnelle</w:t>
      </w:r>
    </w:p>
    <w:p>
      <w:pPr>
        <w:pStyle w:val="BodyText"/>
      </w:pPr>
      <w:r>
        <w:t xml:space="preserve">Quelle que soit la voie choisie, cinq fondations institutionnelles sont non négociables. Elles structurent l’architecture du véhicule, son capital, sa gouvernance, son fléchage et sa transparence.</w:t>
      </w:r>
    </w:p>
    <w:p>
      <w:pPr>
        <w:pStyle w:val="BodyText"/>
      </w:pPr>
      <w:r>
        <w:rPr>
          <w:b/>
          <w:bCs/>
        </w:rPr>
        <w:t xml:space="preserve">Le Fonds Français de Capitalisation (FFC).</w:t>
      </w:r>
      <w:r>
        <w:t xml:space="preserve"> </w:t>
      </w:r>
      <w:r>
        <w:t xml:space="preserve">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368"/>
      </w:r>
      <w:r>
        <w:t xml:space="preserve">. Direction des investissements indépendante, recrutée sur appel d’offres international à l’image de la CDPQ ou de NBIM Norvège. Le PER privé reste en pilier 3 volontaire - il ne disparaît pas - mais cesse d’être le seul instrument capitalisé du pays.</w:t>
      </w:r>
    </w:p>
    <w:p>
      <w:pPr>
        <w:pStyle w:val="BodyText"/>
      </w:pPr>
      <w:r>
        <w:rPr>
          <w:b/>
          <w:bCs/>
        </w:rPr>
        <w:t xml:space="preserve">Le paritarisme 1/3 État - 1/3 syndicats - 1/3 patronat.</w:t>
      </w:r>
      <w:r>
        <w:t xml:space="preserve"> </w:t>
      </w:r>
      <w:r>
        <w:t xml:space="preserve">Modèles AGIRC-ARRCO et ABP néerlandais</w:t>
      </w:r>
      <w:r>
        <w:rPr>
          <w:rStyle w:val="FootnoteReference"/>
        </w:rPr>
        <w:footnoteReference w:id="369"/>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 c’est, paradoxalement, la pièce la plus stable de l’architecture sociale française.</w:t>
      </w:r>
    </w:p>
    <w:p>
      <w:pPr>
        <w:pStyle w:val="BodyText"/>
      </w:pPr>
      <w:r>
        <w:rPr>
          <w:b/>
          <w:bCs/>
        </w:rPr>
        <w:t xml:space="preserve">Une autorité prudentielle indépendante.</w:t>
      </w:r>
      <w:r>
        <w:t xml:space="preserve"> </w:t>
      </w:r>
      <w:r>
        <w:t xml:space="preserve">Modèle APRA en Australie, DNB aux Pays-Bas,</w:t>
      </w:r>
      <w:r>
        <w:t xml:space="preserve"> </w:t>
      </w:r>
      <w:r>
        <w:rPr>
          <w:i/>
          <w:iCs/>
        </w:rPr>
        <w:t xml:space="preserve">Pensions Regulator</w:t>
      </w:r>
      <w:r>
        <w:t xml:space="preserve"> </w:t>
      </w:r>
      <w:r>
        <w:t xml:space="preserve">au Royaume-Uni</w:t>
      </w:r>
      <w:r>
        <w:rPr>
          <w:rStyle w:val="FootnoteReference"/>
        </w:rPr>
        <w:footnoteReference w:id="370"/>
      </w:r>
      <w:r>
        <w:t xml:space="preserve">.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371"/>
      </w:r>
      <w:r>
        <w:t xml:space="preserve">. L’expérience australienne du</w:t>
      </w:r>
      <w:r>
        <w:t xml:space="preserve"> </w:t>
      </w:r>
      <w:r>
        <w:rPr>
          <w:i/>
          <w:iCs/>
        </w:rPr>
        <w:t xml:space="preserve">MySuper Performance Test</w:t>
      </w:r>
      <w:r>
        <w:t xml:space="preserve"> </w:t>
      </w:r>
      <w:r>
        <w:t xml:space="preserve">mérite d’être étudiée : en 2021, 52 produits MySuper avaient échoué au test annuel et ~1 million de membres avaient été affectés ; en 2025, le test enregistre zéro échec sur 52 produits évalués</w:t>
      </w:r>
      <w:r>
        <w:rPr>
          <w:rStyle w:val="FootnoteReference"/>
        </w:rPr>
        <w:footnoteReference w:id="372"/>
      </w:r>
      <w:r>
        <w:t xml:space="preserve">. Une régulation prudentielle stricte ne tue pas l’industrie. Elle l’assainit.</w:t>
      </w:r>
    </w:p>
    <w:p>
      <w:pPr>
        <w:pStyle w:val="BodyText"/>
      </w:pPr>
      <w:r>
        <w:rPr>
          <w:b/>
          <w:bCs/>
        </w:rPr>
        <w:t xml:space="preserve">Le fléchage souverain</w:t>
      </w:r>
      <w:r>
        <w:t xml:space="preserve"> </w:t>
      </w:r>
      <w:r>
        <w:rPr>
          <w:b/>
          <w:bCs/>
        </w:rPr>
        <w:t xml:space="preserve">- 25 % minimum sur PME et ETI françaises.</w:t>
      </w:r>
      <w:r>
        <w:t xml:space="preserve"> </w:t>
      </w:r>
      <w:r>
        <w:t xml:space="preserve">Sans contrainte, les fonds de pension de marché reproduisent un</w:t>
      </w:r>
      <w:r>
        <w:t xml:space="preserve"> </w:t>
      </w:r>
      <w:r>
        <w:rPr>
          <w:i/>
          <w:iCs/>
        </w:rPr>
        <w:t xml:space="preserve">home bias</w:t>
      </w:r>
      <w:r>
        <w:t xml:space="preserve"> </w:t>
      </w:r>
      <w:r>
        <w:t xml:space="preserve">documenté de 10 à 25 % - insuffisant pour la souveraineté économique</w:t>
      </w:r>
      <w:r>
        <w:rPr>
          <w:rStyle w:val="FootnoteReference"/>
        </w:rPr>
        <w:footnoteReference w:id="373"/>
      </w:r>
      <w:r>
        <w:t xml:space="preserve">.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74"/>
      </w:r>
      <w:r>
        <w:t xml:space="preserve">. Le capital étranger reste bienvenu ; il ne doit plus être le seul à pouvoir reprendre nos entreprises familiales - c’est la mâchoire à 240 000 entreprises sans repreneur sur dix ans documentée au chapitre 3.</w:t>
      </w:r>
    </w:p>
    <w:p>
      <w:pPr>
        <w:pStyle w:val="BodyText"/>
      </w:pPr>
      <w:r>
        <w:rPr>
          <w:b/>
          <w:bCs/>
        </w:rPr>
        <w:t xml:space="preserve">La transparence radicale.</w:t>
      </w:r>
      <w:r>
        <w:t xml:space="preserve"> </w:t>
      </w:r>
      <w:r>
        <w:t xml:space="preserve">Modèle CPPIB Canada : tout est public, des frais aux votes en assemblée d’actionnaires</w:t>
      </w:r>
      <w:r>
        <w:rPr>
          <w:rStyle w:val="FootnoteReference"/>
        </w:rPr>
        <w:footnoteReference w:id="375"/>
      </w:r>
      <w:r>
        <w:t xml:space="preserve">. Le FFC publie chaque année un rapport actuariel détaillé, un rapport d’investissement par classe d’actifs, un rapport ESG voté par l’assemblée des cotisants. La Cour des comptes audite en continu. Les bases sont ouvertes en</w:t>
      </w:r>
      <w:r>
        <w:t xml:space="preserve"> </w:t>
      </w:r>
      <w:r>
        <w:rPr>
          <w:i/>
          <w:iCs/>
        </w:rPr>
        <w:t xml:space="preserve">open data</w:t>
      </w:r>
      <w:r>
        <w:t xml:space="preserve">. Le cotisant français doit pouvoir, à tout moment, savoir où va son euro. C’est la condition du pacte de confiance que l’opacité des fonds en euros et la complexité du PER ont, depuis vingt ans, abîmé</w:t>
      </w:r>
      <w:r>
        <w:rPr>
          <w:rStyle w:val="FootnoteReference"/>
        </w:rPr>
        <w:footnoteReference w:id="376"/>
      </w:r>
      <w:r>
        <w:t xml:space="preserve">.</w:t>
      </w:r>
    </w:p>
    <w:p>
      <w:pPr>
        <w:pStyle w:val="BodyText"/>
      </w:pPr>
      <w:r>
        <w:t xml:space="preserve">5.8 Les conditions de réussite politique</w:t>
      </w:r>
    </w:p>
    <w:p>
      <w:pPr>
        <w:pStyle w:val="BodyText"/>
      </w:pPr>
      <w:r>
        <w:t xml:space="preserve">Quelle que soit la voie A ou B, trois conditions transversales conditionnent la réussite.</w:t>
      </w:r>
    </w:p>
    <w:p>
      <w:pPr>
        <w:pStyle w:val="BodyText"/>
      </w:pPr>
      <w:r>
        <w:t xml:space="preserve">D’abord,</w:t>
      </w:r>
      <w:r>
        <w:t xml:space="preserve"> </w:t>
      </w:r>
      <w:r>
        <w:rPr>
          <w:b/>
          <w:bCs/>
        </w:rPr>
        <w:t xml:space="preserve">une commission indépendante préalable</w:t>
      </w:r>
      <w:r>
        <w:t xml:space="preserve"> </w:t>
      </w:r>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377"/>
      </w:r>
      <w:r>
        <w:t xml:space="preserve">. Sans cette étape, la discussion bute sur des chiffres contestés et sur des projections concurrentes, et l’opinion ne peut pas arbitrer.</w:t>
      </w:r>
    </w:p>
    <w:p>
      <w:pPr>
        <w:pStyle w:val="BodyText"/>
      </w:pPr>
      <w:r>
        <w:t xml:space="preserve">Ensuite,</w:t>
      </w:r>
      <w:r>
        <w:t xml:space="preserve"> </w:t>
      </w:r>
      <w:r>
        <w:rPr>
          <w:b/>
          <w:bCs/>
        </w:rPr>
        <w:t xml:space="preserve">un pacte syndical</w:t>
      </w:r>
      <w:r>
        <w:t xml:space="preserve"> </w:t>
      </w:r>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 xml:space="preserve">Accord Prices and Incomes Mark II</w:t>
      </w:r>
      <w:r>
        <w:t xml:space="preserve">, puis traduite en SG Act sept ans plus tard</w:t>
      </w:r>
      <w:r>
        <w:rPr>
          <w:rStyle w:val="FootnoteReference"/>
        </w:rPr>
        <w:footnoteReference w:id="378"/>
      </w:r>
      <w:r>
        <w:t xml:space="preserve">. C’est ce que la France n’a su faire à aucune des trois tentatives de 1997, 2019 et 2023.</w:t>
      </w:r>
    </w:p>
    <w:p>
      <w:pPr>
        <w:pStyle w:val="BodyText"/>
      </w:pPr>
      <w:r>
        <w:t xml:space="preserve">Enfin,</w:t>
      </w:r>
      <w:r>
        <w:t xml:space="preserve"> </w:t>
      </w:r>
      <w:r>
        <w:rPr>
          <w:b/>
          <w:bCs/>
        </w:rPr>
        <w:t xml:space="preserve">une communication massive sur dix-huit mois minimum</w:t>
      </w:r>
      <w:r>
        <w:t xml:space="preserve">, martelant trois messages simples. Les retraites des retraités actuels ne baissent pas. La répartition est préservée. Le pilier nouveau est un complément qui se construit pour les actifs</w:t>
      </w:r>
      <w:r>
        <w:rPr>
          <w:rStyle w:val="FootnoteReference"/>
        </w:rPr>
        <w:footnoteReference w:id="379"/>
      </w:r>
      <w:r>
        <w:t xml:space="preserve">. La présidentielle de 2027 est, à cet égard, le moment d’arbitrage politique le plus naturel -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bookmarkEnd w:id="380"/>
    <w:bookmarkStart w:id="394" w:name="lagenda-2027-2052-en-quatre-phases"/>
    <w:p>
      <w:pPr>
        <w:pStyle w:val="Heading3"/>
      </w:pPr>
      <w:r>
        <w:t xml:space="preserve">L’agenda 2027-2052 en quatre phases</w:t>
      </w:r>
    </w:p>
    <w:p>
      <w:pPr>
        <w:pStyle w:val="FirstParagraph"/>
      </w:pPr>
      <w:r>
        <w:t xml:space="preserve">Les enjeux structurels arbitrés et la méthode politique choisie, l’agenda devient lisible. Vingt-cinq ans articulés en quatre phases - préparation, lancement, déploiement, maturation - qui absorbent douze propositions concrètes. Le calendrier ci-dessous suppose l’horizon haut de la voie A. La voie B compresse la phase 1 à six mois et démarre la cotisation patronale dès 2028 ; les piliers de fond restent identiques.</w:t>
      </w:r>
    </w:p>
    <w:p>
      <w:pPr>
        <w:pStyle w:val="BodyText"/>
      </w:pPr>
      <w:r>
        <w:t xml:space="preserve">Phase 1 - Préparation (2027-2028)</w:t>
      </w:r>
    </w:p>
    <w:bookmarkStart w:id="381" w:name="X94e292f3322492d18827ac546d68170ecafaa9f"/>
    <w:p>
      <w:pPr>
        <w:pStyle w:val="Heading4"/>
      </w:pPr>
      <w:r>
        <w:t xml:space="preserve">Proposition 1 - Une Commission indépendante transpartisane, mandatée dès 2027</w:t>
      </w:r>
    </w:p>
    <w:p>
      <w:pPr>
        <w:pStyle w:val="BlockText"/>
      </w:pPr>
      <w:r>
        <w:rPr>
          <w:i/>
          <w:iCs/>
        </w:rPr>
        <w:t xml:space="preserve">« Diagnostic d’abord, vote ensuite. C’est la seule séquence qui ait jamais tenu trente ans. »</w:t>
      </w:r>
    </w:p>
    <w:p>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2006. Ces rapports britanniques ont été ratifiés par Travaillistes et Conservateurs avant le</w:t>
      </w:r>
      <w:r>
        <w:t xml:space="preserve"> </w:t>
      </w:r>
      <w:r>
        <w:rPr>
          <w:i/>
          <w:iCs/>
        </w:rPr>
        <w:t xml:space="preserve">Pensions Act 2008</w:t>
      </w:r>
      <w:r>
        <w:t xml:space="preserve"> </w:t>
      </w:r>
      <w:r>
        <w:t xml:space="preserve">- c’est cette ratification, et elle seule, qui explique la durabilité du dispositif. Pour la voie B, la durée est compressée à six mois et la Commission est doublée d’un mandat de négociation syndicale parallèle, sur le modèle Hawke-Kelty.</w:t>
      </w:r>
    </w:p>
    <w:bookmarkEnd w:id="381"/>
    <w:bookmarkStart w:id="382" w:name="X663cee22184df2f0955e7cc663b28f65afc7737"/>
    <w:p>
      <w:pPr>
        <w:pStyle w:val="Heading4"/>
      </w:pPr>
      <w:r>
        <w:t xml:space="preserve">Proposition 2 - Une loi-cadre votée à majorité qualifiée des trois cinquièmes</w:t>
      </w:r>
    </w:p>
    <w:p>
      <w:pPr>
        <w:pStyle w:val="BlockText"/>
      </w:pPr>
      <w:r>
        <w:rPr>
          <w:i/>
          <w:iCs/>
        </w:rPr>
        <w:t xml:space="preserve">« Loi Thomas 1997, abrogée en 2002. Cinq ans pour rien. À ne pas répéter. »</w:t>
      </w:r>
    </w:p>
    <w:p>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 cotisation patronale, plancher universel, fonds par défaut public, gouvernance paritaire -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 c’est ce qu’Howard et Abbott n’avaient pas en Australie.</w:t>
      </w:r>
    </w:p>
    <w:bookmarkEnd w:id="382"/>
    <w:bookmarkStart w:id="384" w:name="X273843a900e97f90e375a9d8622ff58cb1b823d"/>
    <w:p>
      <w:pPr>
        <w:pStyle w:val="Heading4"/>
      </w:pPr>
      <w:r>
        <w:t xml:space="preserve">Proposition 3 - Redéploiement intégral du FRR vers le FFC, 1ᵉʳ janvier 2028</w:t>
      </w:r>
    </w:p>
    <w:p>
      <w:pPr>
        <w:pStyle w:val="BlockText"/>
      </w:pPr>
      <w:r>
        <w:rPr>
          <w:i/>
          <w:iCs/>
        </w:rPr>
        <w:t xml:space="preserve">« 20,4 milliards qui dorment depuis quinze ans, mis enfin au travail. »</w:t>
      </w:r>
    </w:p>
    <w:p>
      <w:pPr>
        <w:pStyle w:val="FirstParagraph"/>
      </w:pPr>
      <w:r>
        <w:t xml:space="preserve">Le FRR a été créé en 1999 par la loi n° 2001-624 du 17 juillet 2001 pour absorber le choc démographique des années 2020</w:t>
      </w:r>
      <w:r>
        <w:rPr>
          <w:rStyle w:val="FootnoteReference"/>
        </w:rPr>
        <w:footnoteReference w:id="383"/>
      </w:r>
      <w:r>
        <w:t xml:space="preserve">. Il sert aujourd’hui à colmater les trous annuels de la CADES (versements de ~2,1 Md€/an depuis 2011), ce qui n’était pas son objet. Sa réaffectation intégrale au FFC est un geste politique visible - « vingt milliards qui changent de table » - et un capital immédiatement productif. Rendement annualisé 2003-2024 : 4,1 % réel net, comparable aux meilleurs fonds souverains européens. Pas d’argent neuf demandé. Du capital existant, mieux employé.</w:t>
      </w:r>
    </w:p>
    <w:p>
      <w:pPr>
        <w:pStyle w:val="BodyText"/>
      </w:pPr>
      <w:r>
        <w:t xml:space="preserve">Phase 2 - Lancement (2029-2032)</w:t>
      </w:r>
    </w:p>
    <w:bookmarkEnd w:id="384"/>
    <w:bookmarkStart w:id="385" w:name="X808494d934248d6a6ba9bd731406804674ccc90"/>
    <w:p>
      <w:pPr>
        <w:pStyle w:val="Heading4"/>
      </w:pPr>
      <w:r>
        <w:t xml:space="preserve">Proposition 4 - Création du Fonds Français de Capitalisation</w:t>
      </w:r>
    </w:p>
    <w:p>
      <w:pPr>
        <w:pStyle w:val="BlockText"/>
      </w:pPr>
      <w:r>
        <w:rPr>
          <w:i/>
          <w:iCs/>
        </w:rPr>
        <w:t xml:space="preserve">« Une seule entité publique-paritaire. Modèle CDPQ Québec, 473 milliards d’encours, indépendance professionnelle, légitimité paritaire. »</w:t>
      </w:r>
    </w:p>
    <w:p>
      <w:pPr>
        <w:pStyle w:val="FirstParagraph"/>
      </w:pPr>
      <w:r>
        <w:t xml:space="preserve">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bookmarkEnd w:id="385"/>
    <w:bookmarkStart w:id="386" w:name="Xb7973ed50583f7e134bacafccd15f6ddf3a30c0"/>
    <w:p>
      <w:pPr>
        <w:pStyle w:val="Heading4"/>
      </w:pPr>
      <w:r>
        <w:t xml:space="preserve">Proposition 5 - Gouvernance paritaire 1/3 - 1/3 - 1/3 mise en place</w:t>
      </w:r>
    </w:p>
    <w:p>
      <w:pPr>
        <w:pStyle w:val="BlockText"/>
      </w:pPr>
      <w:r>
        <w:rPr>
          <w:i/>
          <w:iCs/>
        </w:rPr>
        <w:t xml:space="preserve">« Ce qui n’est pas négocié ne tient pas. »</w:t>
      </w:r>
    </w:p>
    <w:p>
      <w:pPr>
        <w:pStyle w:val="FirstParagraph"/>
      </w:pPr>
      <w:r>
        <w:t xml:space="preserve">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bookmarkEnd w:id="386"/>
    <w:bookmarkStart w:id="387" w:name="X76e302d83acc29ce05930b3ae43731431941793"/>
    <w:p>
      <w:pPr>
        <w:pStyle w:val="Heading4"/>
      </w:pPr>
      <w:r>
        <w:t xml:space="preserve">Proposition 6 - Cotisation patronale, 0,5 % au lancement, 4 % en 2035 (voie B) ou 2042 (voie A)</w:t>
      </w:r>
    </w:p>
    <w:p>
      <w:pPr>
        <w:pStyle w:val="BlockText"/>
      </w:pPr>
      <w:r>
        <w:rPr>
          <w:i/>
          <w:iCs/>
        </w:rPr>
        <w:t xml:space="preserve">« La cotisation patronale a porté l’Australie de 3 à 12 %. Elle peut porter la France de 0 à 4. »</w:t>
      </w:r>
    </w:p>
    <w:p>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 soit, à comparaison, l’équivalent du déficit COR projeté en 2070. La leçon australienne est rude : sans paliers légaux, le gel intervient. Les paliers annuels doivent être opposables. L’incidence salariale partielle - c’est-à-dire la part absorbée par modération salariale négociée - est documentée à 70-80 % sur le long terme en Australie ; elle reste comparable au modèle social français quand elle est négociée avec les organisations syndicales en amont, à la suédoise ou à l’australienne.</w:t>
      </w:r>
    </w:p>
    <w:bookmarkEnd w:id="387"/>
    <w:bookmarkStart w:id="388" w:name="X2758ab877f4047caa7f1ec6f3b12794d21adfe4"/>
    <w:p>
      <w:pPr>
        <w:pStyle w:val="Heading4"/>
      </w:pPr>
      <w:r>
        <w:t xml:space="preserve">Proposition 7 - Émission d’eurobonds retraite dédiés, 50 Md€ étalés 2030-2034</w:t>
      </w:r>
    </w:p>
    <w:p>
      <w:pPr>
        <w:pStyle w:val="BlockText"/>
      </w:pPr>
      <w:r>
        <w:rPr>
          <w:i/>
          <w:iCs/>
        </w:rPr>
        <w:t xml:space="preserve">« Précédent NextGenerationEU : 800 milliards levés en commun, sans crise. »</w:t>
      </w:r>
    </w:p>
    <w:p>
      <w:pPr>
        <w:pStyle w:val="FirstParagraph"/>
      </w:pPr>
      <w:r>
        <w:t xml:space="preserve">L’objection française du « double paiement » n’est pas une fatalité - c’est une équation. Aucun pays comparable ne l’a financée par l’impôt général. La France peut, dans le cadre de l’Union, émettre des eurobonds dédiés à la transition retraite - instruments à 30-50 ans, garantie conjointe -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pPr>
        <w:pStyle w:val="BodyText"/>
      </w:pPr>
      <w:r>
        <w:t xml:space="preserve">Phase 3 - Déploiement (2033-2042)</w:t>
      </w:r>
    </w:p>
    <w:bookmarkEnd w:id="388"/>
    <w:bookmarkStart w:id="390" w:name="Xa71331c7ecf8bfbfda4c9601a3e95f93bba7bed"/>
    <w:p>
      <w:pPr>
        <w:pStyle w:val="Heading4"/>
      </w:pPr>
      <w:r>
        <w:t xml:space="preserve">Proposition 8 - Auto-enrolment universel, déployé par taille d’entreprise</w:t>
      </w:r>
    </w:p>
    <w:p>
      <w:pPr>
        <w:pStyle w:val="BlockText"/>
      </w:pPr>
      <w:r>
        <w:rPr>
          <w:i/>
          <w:iCs/>
        </w:rPr>
        <w:t xml:space="preserve">« Modèle NEST UK : 13 millions de membres, 80 % de couverture en sept ans. »</w:t>
      </w:r>
    </w:p>
    <w:p>
      <w:pPr>
        <w:pStyle w:val="FirstParagraph"/>
      </w:pPr>
      <w:r>
        <w:t xml:space="preserve">Tout employeur inscrit automatiquement ses salariés au FFC. L’opt-out reste légal - c’est la condition de constitutionnalité - mais l’inertie comportementale fait le travail : au Royaume-Uni, le taux d’opt-out observé entre octobre 2012 et octobre 2022 oscille entre 8 % et 12 % selon les années, jamais supérieur à 25 % même dans les TPE</w:t>
      </w:r>
      <w:r>
        <w:rPr>
          <w:rStyle w:val="FootnoteReference"/>
        </w:rPr>
        <w:footnoteReference w:id="389"/>
      </w:r>
      <w:r>
        <w:t xml:space="preserve">. Déploiement</w:t>
      </w:r>
      <w:r>
        <w:t xml:space="preserve"> </w:t>
      </w:r>
      <w:r>
        <w:rPr>
          <w:i/>
          <w:iCs/>
        </w:rPr>
        <w:t xml:space="preserve">staging</w:t>
      </w:r>
      <w:r>
        <w:t xml:space="preserve"> </w:t>
      </w:r>
      <w:r>
        <w:t xml:space="preserve">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bookmarkEnd w:id="390"/>
    <w:bookmarkStart w:id="391" w:name="X17c1a02cd59e1b61f0726da0a772ddf4a96d8aa"/>
    <w:p>
      <w:pPr>
        <w:pStyle w:val="Heading4"/>
      </w:pPr>
      <w:r>
        <w:t xml:space="preserve">Proposition 9 - Fléchage souverain : 25 % minimum sur PME et ETI françaises</w:t>
      </w:r>
    </w:p>
    <w:p>
      <w:pPr>
        <w:pStyle w:val="BlockText"/>
      </w:pPr>
      <w:r>
        <w:rPr>
          <w:i/>
          <w:iCs/>
        </w:rPr>
        <w:t xml:space="preserve">« 240 000 entreprises sans repreneur sur dix ans. Trois millions d’emplois en jeu. »</w:t>
      </w:r>
    </w:p>
    <w:p>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w:t>
      </w:r>
      <w:r>
        <w:t xml:space="preserve"> </w:t>
      </w:r>
      <w:r>
        <w:rPr>
          <w:i/>
          <w:iCs/>
        </w:rPr>
        <w:t xml:space="preserve">home bias</w:t>
      </w:r>
      <w:r>
        <w:t xml:space="preserve"> </w:t>
      </w:r>
      <w:r>
        <w:t xml:space="preserve">de 10 à 25 % -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bookmarkEnd w:id="391"/>
    <w:bookmarkStart w:id="393" w:name="Xcaae3db4ef8c3e1e8d977d471aa1bb2e712cfbe"/>
    <w:p>
      <w:pPr>
        <w:pStyle w:val="Heading4"/>
      </w:pPr>
      <w:r>
        <w:t xml:space="preserve">Proposition 10 - Garantie publique de rendement plancher : inflation + 1 %</w:t>
      </w:r>
    </w:p>
    <w:p>
      <w:pPr>
        <w:pStyle w:val="BlockText"/>
      </w:pPr>
      <w:r>
        <w:rPr>
          <w:i/>
          <w:iCs/>
        </w:rPr>
        <w:t xml:space="preserve">« Le risque, ce n’est pas la volatilité d’une année. C’est de ne pas pouvoir manger à 75 ans. »</w:t>
      </w:r>
    </w:p>
    <w:p>
      <w:pPr>
        <w:pStyle w:val="FirstParagraph"/>
      </w:pPr>
      <w:r>
        <w:t xml:space="preserve">L’État garantit un rendement réel plancher de 1 % par an sur la part capitalisée, calculé sur fenêtres glissantes de dix ans. C’est l’objection « casino » désarmée. Précédents :</w:t>
      </w:r>
      <w:r>
        <w:t xml:space="preserve"> </w:t>
      </w:r>
      <w:r>
        <w:rPr>
          <w:i/>
          <w:iCs/>
        </w:rPr>
        <w:t xml:space="preserve">Garantipension</w:t>
      </w:r>
      <w:r>
        <w:t xml:space="preserve"> </w:t>
      </w:r>
      <w:r>
        <w:t xml:space="preserve">suédoise,</w:t>
      </w:r>
      <w:r>
        <w:t xml:space="preserve"> </w:t>
      </w:r>
      <w:r>
        <w:rPr>
          <w:i/>
          <w:iCs/>
        </w:rPr>
        <w:t xml:space="preserve">Pension Protection Fund</w:t>
      </w:r>
      <w:r>
        <w:t xml:space="preserve"> </w:t>
      </w:r>
      <w:r>
        <w:t xml:space="preserve">britannique,</w:t>
      </w:r>
      <w:r>
        <w:t xml:space="preserve"> </w:t>
      </w:r>
      <w:r>
        <w:rPr>
          <w:i/>
          <w:iCs/>
        </w:rPr>
        <w:t xml:space="preserve">funding ratio</w:t>
      </w:r>
      <w:r>
        <w:t xml:space="preserve"> </w:t>
      </w:r>
      <w:r>
        <w:t xml:space="preserve">minimum de 105 % imposé par la DNB néerlandaise</w:t>
      </w:r>
      <w:r>
        <w:rPr>
          <w:rStyle w:val="FootnoteReference"/>
        </w:rPr>
        <w:footnoteReference w:id="392"/>
      </w:r>
      <w:r>
        <w:t xml:space="preserve">.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bookmarkEnd w:id="393"/>
    <w:bookmarkEnd w:id="394"/>
    <w:bookmarkStart w:id="398" w:name="phase-4---maturation-2043-2052"/>
    <w:p>
      <w:pPr>
        <w:pStyle w:val="Heading3"/>
      </w:pPr>
      <w:r>
        <w:t xml:space="preserve">Phase 4 - Maturation (2043-2052)</w:t>
      </w:r>
    </w:p>
    <w:bookmarkStart w:id="395" w:name="X7462520e63f957598d436f008141f808d7de55f"/>
    <w:p>
      <w:pPr>
        <w:pStyle w:val="Heading4"/>
      </w:pPr>
      <w:r>
        <w:t xml:space="preserve">Proposition 11 - Transparence radicale institutionnalisée</w:t>
      </w:r>
    </w:p>
    <w:p>
      <w:pPr>
        <w:pStyle w:val="BlockText"/>
      </w:pPr>
      <w:r>
        <w:rPr>
          <w:i/>
          <w:iCs/>
        </w:rPr>
        <w:t xml:space="preserve">« Modèle CPPIB Canada : tout est public, des frais aux votes en assemblée d’actionnaires. »</w:t>
      </w:r>
    </w:p>
    <w:p>
      <w:pPr>
        <w:pStyle w:val="FirstParagraph"/>
      </w:pPr>
      <w:r>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w:t>
      </w:r>
      <w:r>
        <w:t xml:space="preserve"> </w:t>
      </w:r>
      <w:r>
        <w:rPr>
          <w:i/>
          <w:iCs/>
        </w:rPr>
        <w:t xml:space="preserve">open data</w:t>
      </w:r>
      <w:r>
        <w:t xml:space="preserve">. Cette transparence est la condition de durée du pacte de confiance - c’est elle qui, en Suède et au Canada, désarme les attaques périodiques contre les fonds publics. La France a ici une longueur d’avance institutionnelle : la Cour des comptes, l’ACPR et l’AMF disposent déjà des compétences. Reste à les mobiliser.</w:t>
      </w:r>
    </w:p>
    <w:bookmarkEnd w:id="395"/>
    <w:bookmarkStart w:id="397" w:name="Xf7ed174290b26a13821f4cd155724dedf16eda2"/>
    <w:p>
      <w:pPr>
        <w:pStyle w:val="Heading4"/>
      </w:pPr>
      <w:r>
        <w:t xml:space="preserve">Proposition 12 - Pacte intergénérationnel : sous-indexation des pensions 1 % sous l’inflation, dix ans</w:t>
      </w:r>
    </w:p>
    <w:p>
      <w:pPr>
        <w:pStyle w:val="BlockText"/>
      </w:pPr>
      <w:r>
        <w:rPr>
          <w:i/>
          <w:iCs/>
        </w:rPr>
        <w:t xml:space="preserve">« Les retraités d’aujourd’hui ont bénéficié d’un TRI de 5,8 % par an du système. La génération suivante en attendra 1,5 %. »</w:t>
      </w:r>
    </w:p>
    <w:p>
      <w:pPr>
        <w:pStyle w:val="FirstParagraph"/>
      </w:pPr>
      <w:r>
        <w:t xml:space="preserve">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396"/>
      </w:r>
      <w:r>
        <w:t xml:space="preserve">. Modération appliquée au-dessus du minimum vieillesse, intégralement préservé. Expressément temporaire : retour à indexation pleine en 2053. L’équité intergénérationnelle ne se décrète pas. Elle se finance.</w:t>
      </w:r>
    </w:p>
    <w:bookmarkEnd w:id="397"/>
    <w:bookmarkEnd w:id="398"/>
    <w:bookmarkStart w:id="400" w:name="ce-que-le-système-atteint-en-2052"/>
    <w:p>
      <w:pPr>
        <w:pStyle w:val="Heading3"/>
      </w:pPr>
      <w:r>
        <w:t xml:space="preserve">Ce que le système atteint en 2052</w:t>
      </w:r>
    </w:p>
    <w:p>
      <w:pPr>
        <w:pStyle w:val="FirstParagraph"/>
      </w:pPr>
      <w:r>
        <w:t xml:space="preserve">À cet horizon, et selon la modélisation Python validée du scénario D, l’encours capitalisé français approche</w:t>
      </w:r>
      <w:r>
        <w:t xml:space="preserve"> </w:t>
      </w:r>
      <w:r>
        <w:rPr>
          <w:b/>
          <w:bCs/>
        </w:rPr>
        <w:t xml:space="preserve">2 700 à 3 000 Md€</w:t>
      </w:r>
      <w:r>
        <w:t xml:space="preserve"> </w:t>
      </w:r>
      <w:r>
        <w:t xml:space="preserve">en euros constants 2026, soit environ 69 % du PIB</w:t>
      </w:r>
      <w:r>
        <w:rPr>
          <w:rStyle w:val="FootnoteReference"/>
        </w:rPr>
        <w:footnoteReference w:id="399"/>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 quasiment résorbé.</w:t>
      </w:r>
    </w:p>
    <w:p>
      <w:pPr>
        <w:pStyle w:val="BodyText"/>
      </w:pPr>
      <w:r>
        <w:t xml:space="preserve">Comparaison internationale, pour situer l’ordre de grandeur. L’Australie, en 2025, affiche un encours de l’ordre de 160 % du PIB après trente-trois ans à 12 % de cotisation. Le Canada CPPIB gère ~25 % du PIB canadien après vingt-huit ans. Les Pays-Bas dépassent 200 %. La France à 69 % en 2052 ne rattrape pas le sommet. Elle comble la moitié de son retard, et c’est exactement ce que vingt-cinq ans permettent de faire - ni plus, ni moins.</w:t>
      </w:r>
    </w:p>
    <w:bookmarkEnd w:id="400"/>
    <w:bookmarkEnd w:id="401"/>
    <w:bookmarkStart w:id="422" w:name="la-transition"/>
    <w:p>
      <w:pPr>
        <w:pStyle w:val="Heading2"/>
      </w:pPr>
      <w:r>
        <w:t xml:space="preserve">La transition</w:t>
      </w:r>
    </w:p>
    <w:p>
      <w:pPr>
        <w:pStyle w:val="FirstParagraph"/>
      </w:pPr>
      <w:r>
        <w:t xml:space="preserve">Reste l’objection technique la plus sérieuse — celle qui, contrairement aux verrous historiques traités en conclusion, n’est pas dissoluble par un simple changement de récit. La transition d’un système de répartition pure vers un système mixte exige un dispositif d’amortissement spécifique. Ce dispositif a un nom — le fonds de transition — et il fait l’objet de cette dernière section.</w:t>
      </w:r>
    </w:p>
    <w:p>
      <w:pPr>
        <w:pStyle w:val="BodyText"/>
      </w:pPr>
      <w:r>
        <w:t xml:space="preserve">Reste l’objection technique la plus sérieuse — celle qui, contrairement aux quatre verrous historiques, n’est pas dissoluble par un simple changement de récit. Le passage de la répartition pure à un système mixte exige, pendant une période d’environ vingt-cinq ans, que les actifs financent simultanément deux choses : les pensions des retraités actuels — qu’il n’est pas question de baisser, c’est la promesse non négociable — et une fraction de leur propre retraite future, via la cotisation capitalisée nouvelle. C’est ce qu’on appelle, dans la littérature de transition, le double paiement</w:t>
      </w:r>
      <w:r>
        <w:rPr>
          <w:rStyle w:val="FootnoteReference"/>
        </w:rPr>
        <w:footnoteReference w:id="402"/>
      </w:r>
      <w:r>
        <w:t xml:space="preserve">. Sans dispositif d’amortissement, la charge sur les actifs en transition est, simplement, insupportable politiquement. Tous les pays qui sont passés à un système mixte ont eu à résoudre cette équation. Aucun n’a trouvé qu’elle était insurmontable. La méthode mérite d’être nommée. Elle s’appelle un</w:t>
      </w:r>
      <w:r>
        <w:t xml:space="preserve"> </w:t>
      </w:r>
      <w:r>
        <w:rPr>
          <w:i/>
          <w:iCs/>
        </w:rPr>
        <w:t xml:space="preserve">fonds de transition</w:t>
      </w:r>
      <w:r>
        <w:t xml:space="preserve">.</w:t>
      </w:r>
    </w:p>
    <w:p>
      <w:pPr>
        <w:pStyle w:val="BodyText"/>
      </w:pPr>
      <w:r>
        <w:t xml:space="preserve">La Suède l’a fait avec une élégance que l’histoire des politiques publiques européennes du XXᵉ siècle compte parmi les plus efficaces. Au moment de la réforme de 1994, le pays disposait depuis 1960 de quatre fonds de réserve — les</w:t>
      </w:r>
      <w:r>
        <w:t xml:space="preserve"> </w:t>
      </w:r>
      <w:r>
        <w:rPr>
          <w:i/>
          <w:iCs/>
        </w:rPr>
        <w:t xml:space="preserve">Allmänna Pensionsfonden</w:t>
      </w:r>
      <w:r>
        <w:t xml:space="preserve">, AP1 à AP4 — constitués progressivement sur la base des excédents structurels accumulés par le régime ATP entre 1960 et 1990, période pendant laquelle les cotisations excédaient massivement les prestations à servir. Au moment de l’entrée en vigueur de la réforme en 1999, ces fonds représentaient l’équivalent d’environ 40 % du produit intérieur brut suédois — soit cinq années de prestations de retraite</w:t>
      </w:r>
      <w:r>
        <w:rPr>
          <w:rStyle w:val="FootnoteReference"/>
        </w:rPr>
        <w:footnoteReference w:id="403"/>
      </w:r>
      <w:r>
        <w:t xml:space="preserve">. La réforme Lindbeck-Persson, votée en juin 1994 et entrée en vigueur en 1999, a redéfini leur mission : ils ne sont plus simplement réserve conjoncturelle, ils deviennent réserve structurelle de la transition. Mécanisme technique central : la Suède n’a pas créé de cotisation nouvelle. Elle a</w:t>
      </w:r>
      <w:r>
        <w:t xml:space="preserve"> </w:t>
      </w:r>
      <w:r>
        <w:rPr>
          <w:i/>
          <w:iCs/>
        </w:rPr>
        <w:t xml:space="preserve">redirigé</w:t>
      </w:r>
      <w:r>
        <w:t xml:space="preserve"> </w:t>
      </w:r>
      <w:r>
        <w:t xml:space="preserve">une fraction des 18,5 % de cotisations existantes vers le pilier capitalisé Premium Pension (2,5 %), le reste alimentant le compte notionnel par répartition (16 %). Les fonds AP jouent le rôle de stabilisateur automatique : ils prennent à leur charge la fraction des pensions servies aux retraités existants qui aurait dû, sans cette intervention, déclencher le mécanisme d’ajustement automatique appelé</w:t>
      </w:r>
      <w:r>
        <w:t xml:space="preserve"> </w:t>
      </w:r>
      <w:r>
        <w:rPr>
          <w:i/>
          <w:iCs/>
        </w:rPr>
        <w:t xml:space="preserve">bromsen</w:t>
      </w:r>
      <w:r>
        <w:t xml:space="preserve">. Résultat : la transition s’est faite</w:t>
      </w:r>
      <w:r>
        <w:t xml:space="preserve"> </w:t>
      </w:r>
      <w:r>
        <w:rPr>
          <w:i/>
          <w:iCs/>
        </w:rPr>
        <w:t xml:space="preserve">sans hausse de cotisation</w:t>
      </w:r>
      <w:r>
        <w:t xml:space="preserve">, sans baisse de pension des retraités courants, sans choc politique. À fin 2024, les fonds AP1-AP4 cumulent 2 053 milliards de couronnes suédoises d’encours, soit environ 182 milliards d’euros, ont dégagé un rendement de 9,6 % sur l’année 2024 et de 7,6 % annualisé sur dix ans, pour des frais de gestion contenus à 0,07 % des actifs sous gestion</w:t>
      </w:r>
      <w:r>
        <w:rPr>
          <w:rStyle w:val="FootnoteReference"/>
        </w:rPr>
        <w:footnoteReference w:id="406"/>
      </w:r>
      <w:r>
        <w:t xml:space="preserve">. Le mécanisme a tenu trente ans, sous des gouvernements de toutes couleurs. Il a fait ses preuves.</w:t>
      </w:r>
    </w:p>
    <w:p>
      <w:pPr>
        <w:pStyle w:val="BodyText"/>
      </w:pPr>
      <w:r>
        <w:t xml:space="preserve">La France a, en 1999, copié l’idée. Et l’a abandonnée onze ans plus tard. Le Fonds de réserve pour les retraites (FRR) a été institué par la loi n° 2001-624 du 17 juillet 2001, sous gouvernement Jospin, avec exactement la mission qu’ont les fonds AP suédois : « lisser, par capitalisation, le pic démographique des années 2020-2040 » selon les termes mêmes du projet de loi</w:t>
      </w:r>
      <w:r>
        <w:rPr>
          <w:rStyle w:val="FootnoteReference"/>
        </w:rPr>
        <w:footnoteReference w:id="409"/>
      </w:r>
      <w:r>
        <w:t xml:space="preserve">. La trajectoire de dotation prévoyait initialement un objectif de 150 milliards d’euros à l’horizon 2020. Sur la décennie qui a suivi sa création, le FRR n’a reçu que 28 milliards d’euros de dotations effectives — moins d’un cinquième de l’objectif. Mais à partir de la loi du 9 novembre 2010 portant réforme des retraites, dite « loi Woerth », et confirmée par la loi n° 2010-1594 de financement de la sécurité sociale pour 2011, le FRR a été détourné de sa mission initiale : ses ressources ont été réaffectées au remboursement de la dette sociale via la Caisse d’amortissement de la dette sociale (CADES), à hauteur d’environ 2,1 milliards d’euros versés chaque année jusqu’en 2024, puis 1,45 milliard par an de 2025 à 2033</w:t>
      </w:r>
      <w:r>
        <w:rPr>
          <w:rStyle w:val="FootnoteReference"/>
        </w:rPr>
        <w:footnoteReference w:id="410"/>
      </w:r>
      <w:r>
        <w:t xml:space="preserve">. Au 31 décembre 2024, l’encours du FRR n’est plus que de 20,4 milliards d’euros, et le fonds n’a plus de cotisants depuis quinze ans. Une simulation publiée par la commission des affaires sociales du Sénat en 2021 a chiffré ce qui aurait pu être : sans la réaffectation vers la CADES, le FRR aurait disposé fin 2024 d’environ 89 milliards d’euros — soit plus de quatre fois son encours actuel</w:t>
      </w:r>
      <w:r>
        <w:rPr>
          <w:rStyle w:val="FootnoteReference"/>
        </w:rPr>
        <w:footnoteReference w:id="411"/>
      </w:r>
      <w:r>
        <w:t xml:space="preserve">. Le rendement annualisé du FRR depuis sa création est de 3,7 % par an, soit une création de valeur cumulée d’environ 15,6 milliards d’euros au-dessus d’un investissement hypothétique en dette publique française. Autrement dit : l’instrument a parfaitement fait son travail financier. Il a simplement été chargé de combler des trous au lieu d’amortir une transition. La France a eu un fonds de transition. Elle l’a transformé en payeur de la dette sociale courante, et elle l’a laissé maigrir.</w:t>
      </w:r>
    </w:p>
    <w:p>
      <w:pPr>
        <w:pStyle w:val="BodyText"/>
      </w:pPr>
      <w:r>
        <w:t xml:space="preserve">Voici donc l’arithmétique de départ. La France dispose, fin 2024, d’un capital national déjà capitalisé qui n’attend que d’être correctement utilisé : 20,4 milliards d’euros au FRR, 47,8 milliards d’euros au RAFP, et plus de 91 milliards d’euros de réserves financières au régime AGIRC-ARRCO</w:t>
      </w:r>
      <w:r>
        <w:rPr>
          <w:rStyle w:val="FootnoteReference"/>
        </w:rPr>
        <w:footnoteReference w:id="413"/>
      </w:r>
      <w:r>
        <w:t xml:space="preserve">. Soit, à eux trois, près de 160 milliards d’euros — environ 5,5 % du produit intérieur brut. Le RAFP continue, lui, sa mission propre de retraite additionnelle des fonctionnaires : on ne le mobilise pas. Les réserves AGIRC-ARRCO appartiennent aux partenaires sociaux : leur mobilisation suppose un accord paritaire — c’est, précisément, la voie que l’Institut Montaigne et la Fondation pour l’innovation politique ont étudiée en 2025</w:t>
      </w:r>
      <w:r>
        <w:rPr>
          <w:rStyle w:val="FootnoteReference"/>
        </w:rPr>
        <w:footnoteReference w:id="415"/>
      </w:r>
      <w:r>
        <w:t xml:space="preserve">. Le FRR, en revanche, peut basculer dans sa mission initiale dès le 1ᵉʳ janvier 2028 — c’est ce que prévoit la Proposition 3 que la section suivante détaille. Mais 20,4 milliards ne suffisent pas pour amortir vingt-cinq ans de transition. Il faut une montée en charge accélérée.</w:t>
      </w:r>
    </w:p>
    <w:p>
      <w:pPr>
        <w:pStyle w:val="BodyText"/>
      </w:pPr>
      <w:r>
        <w:t xml:space="preserve">Trois leviers, déjà documentés dans les travaux préparatoires français et étrangers, sont mobilisables.</w:t>
      </w:r>
      <w:r>
        <w:t xml:space="preserve"> </w:t>
      </w:r>
      <w:r>
        <w:rPr>
          <w:b/>
          <w:bCs/>
        </w:rPr>
        <w:t xml:space="preserve">Premier levier</w:t>
      </w:r>
      <w:r>
        <w:t xml:space="preserve"> </w:t>
      </w:r>
      <w:r>
        <w:t xml:space="preserve">: des privatisations partielles de participations publiques non stratégiques, ciblées sur les actifs cessibles sans perte de souveraineté — c’est le modèle qu’ont suivi les Pays-Bas en 1996 pour doter partiellement l’ABP au moment de sa privatisation, ou que le Canada a employé en 1997 pour doter le Canada Pension Plan Investment Board</w:t>
      </w:r>
      <w:r>
        <w:rPr>
          <w:rStyle w:val="FootnoteReference"/>
        </w:rPr>
        <w:footnoteReference w:id="418"/>
      </w:r>
      <w:r>
        <w:t xml:space="preserve">.</w:t>
      </w:r>
      <w:r>
        <w:t xml:space="preserve"> </w:t>
      </w:r>
      <w:r>
        <w:rPr>
          <w:b/>
          <w:bCs/>
        </w:rPr>
        <w:t xml:space="preserve">Deuxième levier</w:t>
      </w:r>
      <w:r>
        <w:t xml:space="preserve"> </w:t>
      </w:r>
      <w:r>
        <w:t xml:space="preserve">: un emprunt européen ciblé, sur le modèle technique de l’instrument SURE de 2020, à hauteur de 50 à 100 milliards d’euros, avec garantie communautaire et adossement à des recettes fléchées</w:t>
      </w:r>
      <w:r>
        <w:rPr>
          <w:rStyle w:val="FootnoteReference"/>
        </w:rPr>
        <w:footnoteReference w:id="419"/>
      </w:r>
      <w:r>
        <w:t xml:space="preserve">.</w:t>
      </w:r>
      <w:r>
        <w:t xml:space="preserve"> </w:t>
      </w:r>
      <w:r>
        <w:rPr>
          <w:b/>
          <w:bCs/>
        </w:rPr>
        <w:t xml:space="preserve">Troisième levier</w:t>
      </w:r>
      <w:r>
        <w:t xml:space="preserve"> </w:t>
      </w:r>
      <w:r>
        <w:t xml:space="preserve">: une fraction temporaire de la CSG — un point de CSG représente environ 16 à 17 milliards d’euros annuels de recettes pérennes — réorientée vers le fonds de transition pendant la période d’amortissement</w:t>
      </w:r>
      <w:r>
        <w:rPr>
          <w:rStyle w:val="FootnoteReference"/>
        </w:rPr>
        <w:footnoteReference w:id="421"/>
      </w:r>
      <w:r>
        <w:t xml:space="preserve">. Aucun de ces leviers, isolément, ne suffit. Combinés selon les arbitrages politiques retenus, ils permettent de porter le fonds de transition vers une cible de 100 à 150 milliards d’euros d’encours d’ici 2032, soit 3 à 4 % du PIB — l’ordre de grandeur observé dans les transitions étrangères réussies.</w:t>
      </w:r>
    </w:p>
    <w:p>
      <w:pPr>
        <w:pStyle w:val="BodyText"/>
      </w:pPr>
      <w:r>
        <w:t xml:space="preserve">L’enseignement suédois transposé tient en une phrase. La transition ne se finance pas par les actifs. Elle se finance par un instrument dédié, doté d’un capital initial mobilisé une fois, géré ensuite en autofinancement par le rendement de ses actifs sur vingt-cinq ans. Si la France refait l’erreur de 2010 — utiliser le FRR pour autre chose que ce pour quoi il a été créé —, elle se condamne à répéter le scénario de 1997, 2019 et 2023 : tentative de réforme, blocage social, abandon politique. Si elle accepte au contraire de remettre le FRR à sa mission initiale et de l’abonder selon les trois leviers ci-dessus, elle dispose en 2028 d’un instrument prêt à amortir le choc de transition. La capitalisation devient alors politiquement faisable parce qu’elle est techniquement amortie. Vingt-cinq ans, à partir de 2027. C’est exactement le calendrier qui suit.</w:t>
      </w:r>
    </w:p>
    <w:bookmarkEnd w:id="422"/>
    <w:bookmarkEnd w:id="423"/>
    <w:bookmarkStart w:id="446" w:name="conclusion-choisir-enfin"/>
    <w:p>
      <w:pPr>
        <w:pStyle w:val="Heading1"/>
      </w:pPr>
      <w:r>
        <w:t xml:space="preserve">Conclusion — Choisir, enfin</w:t>
      </w:r>
    </w:p>
    <w:p>
      <w:pPr>
        <w:pStyle w:val="FirstParagraph"/>
      </w:pPr>
      <w:r>
        <w:t xml:space="preserve">Le travail théorique du livre est, à ce stade, achevé. Trois parties, des dizaines de chiffres, quatre cas étrangers, vingt-cinq ans de feuille de route. La démonstration tient. Reste à comprendre, pour finir, pourquoi la France n’a pas, jusqu’ici, fait ce que tous ses voisins ont fait. Et pourquoi, peut-être, cette fois-ci elle peut.</w:t>
      </w:r>
    </w:p>
    <w:bookmarkStart w:id="442" w:name="X6ff8d63f61e42dfc4edff398ef7c51c2fb8b44a"/>
    <w:p>
      <w:pPr>
        <w:pStyle w:val="Heading2"/>
      </w:pPr>
      <w:r>
        <w:t xml:space="preserve">Pourquoi pas la France ? Les quatre verrous historiques</w:t>
      </w:r>
    </w:p>
    <w:p>
      <w:pPr>
        <w:pStyle w:val="FirstParagraph"/>
      </w:pPr>
      <w:r>
        <w:t xml:space="preserve">Quatre verrous, distincts par leur nature et inégaux par leur dureté, tiennent ensemble le refus français de la capitalisation depuis quatre-vingts ans. Aucun n’est immuable. Aucun n’est isolé. Ils se renforcent mutuellement, et ils se desserrent ensemble pour la même raison : ils s’usent à mesure que la réalité matérielle du système de retraite s’éloigne du contexte qui les avait fondés.</w:t>
      </w:r>
    </w:p>
    <w:p>
      <w:pPr>
        <w:pStyle w:val="BodyText"/>
      </w:pPr>
      <w:r>
        <w:rPr>
          <w:b/>
          <w:bCs/>
        </w:rPr>
        <w:t xml:space="preserve">Premier verrou : l’héritage de 1945.</w:t>
      </w:r>
      <w:r>
        <w:t xml:space="preserve"> </w:t>
      </w:r>
      <w:r>
        <w:t xml:space="preserve">L’ordonnance n° 45-2250 du 4 octobre 1945 fonde la Sécurité sociale et institue un régime obligatoire de retraite par répartition pour les salariés non agricoles</w:t>
      </w:r>
      <w:r>
        <w:rPr>
          <w:rStyle w:val="FootnoteReference"/>
        </w:rPr>
        <w:footnoteReference w:id="424"/>
      </w:r>
      <w:r>
        <w:t xml:space="preserve">. Le choix n’est pas idéologique : il est conjoncturel et politiquement parfaitement explicable. Cinq années d’occupation, deux hyperinflations en vingt-cinq ans (1922-1926 et 1944-1947), l’effondrement des emprunts russes et des rentes 14-18, ont liquidé une part substantielle des dispositifs capitalisés d’avant-guerre</w:t>
      </w:r>
      <w:r>
        <w:rPr>
          <w:rStyle w:val="FootnoteReference"/>
        </w:rPr>
        <w:footnoteReference w:id="426"/>
      </w:r>
      <w:r>
        <w:t xml:space="preserve">. Pierre Laroque, qui pilote la conception du nouveau système, l’explique à sa manière dans plusieurs interventions postérieures : « les bénéficiaires sont des gens pauvres à qui il faut assurer des moyens de subsistance, et quand les allocations seront versées, il ne restera rien à mettre de côté pour un régime de capitalisation</w:t>
      </w:r>
      <w:r>
        <w:rPr>
          <w:rStyle w:val="FootnoteReference"/>
        </w:rPr>
        <w:footnoteReference w:id="428"/>
      </w:r>
      <w:r>
        <w:t xml:space="preserve"> </w:t>
      </w:r>
      <w:r>
        <w:t xml:space="preserve">». L’argument est honnête. Il est, en 1945, vrai. Il n’est plus, en 2026, vrai. Le produit intérieur brut français a été multiplié par dix en valeur réelle depuis 1945, les actifs financiers des ménages dépassent six mille milliards d’euros, et le pays n’a connu, depuis 1953, aucune inflation à deux chiffres durable hors le choc pétrolier de 1974-1982. La condition de pauvreté collective qui justifiait l’absence de capital n’existe plus. Le verrou tient encore parce que la mémoire institutionnelle confond l’argument de 1945 avec un principe atemporel. Ce n’est pas un principe. C’était une circonstance.</w:t>
      </w:r>
    </w:p>
    <w:p>
      <w:pPr>
        <w:pStyle w:val="BodyText"/>
      </w:pPr>
      <w:r>
        <w:rPr>
          <w:b/>
          <w:bCs/>
        </w:rPr>
        <w:t xml:space="preserve">Deuxième verrou : la méfiance culturelle vis-à-vis de la finance.</w:t>
      </w:r>
      <w:r>
        <w:t xml:space="preserve"> </w:t>
      </w:r>
      <w:r>
        <w:t xml:space="preserve">L’argument est connu : les Français se méfient de la bourse, des marchés actions, des produits structurés. Cette méfiance se mesure. Selon les enquêtes de l’AMF, 12,5 % des Français détenaient des actions cotées en direct fin 2024, contre près de 50 % des ménages américains et 22 % des ménages britanniques</w:t>
      </w:r>
      <w:r>
        <w:rPr>
          <w:rStyle w:val="FootnoteReference"/>
        </w:rPr>
        <w:footnoteReference w:id="429"/>
      </w:r>
      <w:r>
        <w:t xml:space="preserve">. Le Baromètre de l’OCDE sur la littératie financière 2023 place la France en milieu de classement des économies avancées, avec un score moyen de 13 sur 21, en retrait notamment des pays nordiques et anglo-saxons</w:t>
      </w:r>
      <w:r>
        <w:rPr>
          <w:rStyle w:val="FootnoteReference"/>
        </w:rPr>
        <w:footnoteReference w:id="430"/>
      </w:r>
      <w:r>
        <w:t xml:space="preserve">. Mais cette méfiance n’est ni essentielle ni stable. Avant 1914, la France était l’un des plus grands marchés actions du monde — la place de Paris pesait alors le double de Wall Street. Les emprunts russes confisqués en 1917, les rentes 14-18 érodées par l’inflation des années 1920, le Crédit Foncier sinistré en 1931, les emprunts du Trésor convertis de force après 1945, ont fabriqué, sur trois générations, une cicatrice durable</w:t>
      </w:r>
      <w:r>
        <w:rPr>
          <w:rStyle w:val="FootnoteReference"/>
        </w:rPr>
        <w:footnoteReference w:id="432"/>
      </w:r>
      <w:r>
        <w:t xml:space="preserve">. Cette cicatrice cicatrise. Les indicateurs récents le montrent : le PEA dépasse sept millions de titulaires en 2024 contre 1,8 million en 1995, le PER dépasse onze millions de titulaires en 2024 alors qu’il n’existait pas en 2018, et la détention d’actions cotées a progressé d’un peu moins de sept points en cinq ans, passée de 6,9 % en 2020 à 12,5 % en 2024</w:t>
      </w:r>
      <w:r>
        <w:rPr>
          <w:rStyle w:val="FootnoteReference"/>
        </w:rPr>
        <w:footnoteReference w:id="433"/>
      </w:r>
      <w:r>
        <w:t xml:space="preserve">. Le tabou financier français n’est plus celui des années 1990-2000. Il n’est pas non plus, encore, celui des Pays-Bas. Il est en mouvement.</w:t>
      </w:r>
    </w:p>
    <w:p>
      <w:pPr>
        <w:pStyle w:val="BodyText"/>
      </w:pPr>
      <w:r>
        <w:rPr>
          <w:b/>
          <w:bCs/>
        </w:rPr>
        <w:t xml:space="preserve">Troisième verrou : le poids syndical.</w:t>
      </w:r>
      <w:r>
        <w:t xml:space="preserve"> </w:t>
      </w:r>
      <w:r>
        <w:t xml:space="preserve">Le système français de relations sociales reconnaît à un petit nombre de centrales syndicales un pouvoir de blocage très supérieur à leur représentativité salariale réelle — taux de syndicalisation en France : 10,1 % des salariés en 2023, l’un des plus faibles de l’OCDE, mais cinq centrales représentatives qui négocient au nom de tous</w:t>
      </w:r>
      <w:r>
        <w:rPr>
          <w:rStyle w:val="FootnoteReference"/>
        </w:rPr>
        <w:footnoteReference w:id="434"/>
      </w:r>
      <w:r>
        <w:t xml:space="preserve">. Sur la capitalisation, la cartographie est connue et stable : la CGT et FO refusent par principe, en cohérence avec leurs positions historiques depuis 1945 ; la CFDT, sous la direction de Marylise Léon, s’ouvre prudemment depuis 2023 à un débat conditionnel sur un complément capitalisé, en posant des verrous d’équité et d’universalité ; la CFE-CGC, sous présidence Christelle Thieffine, est explicitement favorable à un pilier capitalisé obligatoire ; l’UNSA navigue au centre</w:t>
      </w:r>
      <w:r>
        <w:rPr>
          <w:rStyle w:val="FootnoteReference"/>
        </w:rPr>
        <w:footnoteReference w:id="435"/>
      </w:r>
      <w:r>
        <w:t xml:space="preserve">. Côté patronal, MEDEF, CPME et U2P sont globalement favorables. L’arithmétique de signature est claire : un accord CFDT + CFE-CGC + organisations patronales représente plus de 60 % de la représentativité salariale et l’intégralité de la représentativité patronale. Il est constructible. Il l’a été aux Pays-Bas en 2019, avec le</w:t>
      </w:r>
      <w:r>
        <w:t xml:space="preserve"> </w:t>
      </w:r>
      <w:r>
        <w:rPr>
          <w:i/>
          <w:iCs/>
        </w:rPr>
        <w:t xml:space="preserve">Pensioenakkoord</w:t>
      </w:r>
      <w:r>
        <w:t xml:space="preserve"> </w:t>
      </w:r>
      <w:r>
        <w:t xml:space="preserve">signé par FNV, CNV et VCP côté syndical, et VNO-NCW côté patronal</w:t>
      </w:r>
      <w:r>
        <w:rPr>
          <w:rStyle w:val="FootnoteReference"/>
        </w:rPr>
        <w:footnoteReference w:id="438"/>
      </w:r>
      <w:r>
        <w:t xml:space="preserve">. Le verrou syndical n’est pas absolu. Il n’a, en France, jamais été testé sérieusement : à aucun des trois moments — 1997, 2019, 2023 — la capitalisation n’a fait l’objet d’une négociation préalable formalisée avant le dépôt parlementaire.</w:t>
      </w:r>
    </w:p>
    <w:p>
      <w:pPr>
        <w:pStyle w:val="BodyText"/>
      </w:pPr>
      <w:r>
        <w:rPr>
          <w:b/>
          <w:bCs/>
        </w:rPr>
        <w:t xml:space="preserve">Quatrième verrou : la préférence pour les réformes paramétriques.</w:t>
      </w:r>
      <w:r>
        <w:t xml:space="preserve"> </w:t>
      </w:r>
      <w:r>
        <w:t xml:space="preserve">Cinq réformes en trente ans : Balladur 1993 sur les salariés du privé (passage à vingt-cinq meilleures années et durée de cotisation), Fillon 2003 sur l’alignement public-privé, Woerth 2010 sur le recul de l’âge légal de soixante à soixante-deux ans, Touraine 2014 sur la durée de cotisation à quarante-trois annuités pour les générations nées après 1973, Borne 2023 sur le recul à soixante-quatre ans</w:t>
      </w:r>
      <w:r>
        <w:rPr>
          <w:rStyle w:val="FootnoteReference"/>
        </w:rPr>
        <w:footnoteReference w:id="439"/>
      </w:r>
      <w:r>
        <w:t xml:space="preserve">. Toutes ont eu un coût politique élevé : grèves nationales, manifestations massives, recours au 49.3 en 2023. Aucune n’a réglé le déséquilibre structurel. Le rapport annuel du Conseil d’orientation des retraites de juin 2025 maintient une projection de déficit chronique jusqu’en 2070 dans le scénario central, en intégrant pourtant les paramètres issus de la réforme Borne</w:t>
      </w:r>
      <w:r>
        <w:rPr>
          <w:rStyle w:val="FootnoteReference"/>
        </w:rPr>
        <w:footnoteReference w:id="440"/>
      </w:r>
      <w:r>
        <w:t xml:space="preserve">. La logique politique du paramétrique est compréhensible : il ne touche pas à l’architecture, il est techniquement réversible, il permet d’afficher un acte de réforme sans avoir à arbitrer sur le modèle. Sa limite tient en une équation : tant qu’on reste dans la répartition pure, le ratio cotisants-retraités dégradé impose un trilemme à trois inconnues — taux de cotisation, durée de cotisation, niveau des pensions —, chaque levier actionné détériorant la couverture sociale ou la compétitivité fiscale. La capitalisation ouvre, par construction, une quatrième variable : le rendement du capital. C’est la seule manière, mathématiquement, de sortir du trilemme. Les pays qui ont fait le pas l’ont compris à un moment où leur arithmétique démographique ressemblait à celle de la France aujourd’hui. La France n’a pas, jusqu’ici, voulu le comprendre.</w:t>
      </w:r>
    </w:p>
    <w:bookmarkEnd w:id="442"/>
    <w:bookmarkStart w:id="443" w:name="pourquoi-cette-fois-cest-différent"/>
    <w:p>
      <w:pPr>
        <w:pStyle w:val="Heading2"/>
      </w:pPr>
      <w:r>
        <w:t xml:space="preserve">Pourquoi cette fois c’est différent</w:t>
      </w:r>
    </w:p>
    <w:p>
      <w:pPr>
        <w:pStyle w:val="FirstParagraph"/>
      </w:pPr>
      <w:r>
        <w:t xml:space="preserve">Ces quatre verrous tiennent encore ensemble. Mais le premier cesse d’avoir le même sens dès lors que la France n’est plus celle de 1945 — et elle ne l’est plus. Le deuxième s’allège à mesure que les indicateurs d’épargne en actions progressent — et ils progressent. Le troisième admet une majorité de signature possible — qui n’a jamais été essayée. Le quatrième a épuisé son rendement politique — ce que les sondages de 2024-2025 ont confirmé chapitre par chapitre. Les verrous tiennent par défaut, pas par conviction. Ils ne tiendront pas une cinquième tentative menée correctement.</w:t>
      </w:r>
    </w:p>
    <w:p>
      <w:pPr>
        <w:pStyle w:val="BodyText"/>
      </w:pPr>
      <w:r>
        <w:t xml:space="preserve">Quatre faits, par ailleurs, dessinent une configuration que la France n’avait jamais connue jusqu’ici.</w:t>
      </w:r>
      <w:r>
        <w:t xml:space="preserve"> </w:t>
      </w:r>
      <w:r>
        <w:rPr>
          <w:b/>
          <w:bCs/>
        </w:rPr>
        <w:t xml:space="preserve">Premier fait</w:t>
      </w:r>
      <w:r>
        <w:t xml:space="preserve"> </w:t>
      </w:r>
      <w:r>
        <w:t xml:space="preserve">: l’opinion publique a basculé. Le baromètre Odoxa-Groupama de novembre 2025 mesure 57 % de Français favorables à un système mixte et, pour la première fois depuis qu’on les enregistre, davantage de partisans d’une capitalisation seule (22 %) que d’une répartition seule (20 %). Les sondages Elabe, Ipsos-CESI et OpinionWay-Finary de 2025 et début 2026 convergent. Une majorité transpartisane existe — y compris, à un niveau qu’on n’aurait pas attendu, parmi les électeurs de gauche.</w:t>
      </w:r>
      <w:r>
        <w:t xml:space="preserve"> </w:t>
      </w:r>
      <w:r>
        <w:rPr>
          <w:b/>
          <w:bCs/>
        </w:rPr>
        <w:t xml:space="preserve">Deuxième fait</w:t>
      </w:r>
      <w:r>
        <w:t xml:space="preserve"> </w:t>
      </w:r>
      <w:r>
        <w:t xml:space="preserve">: le RAFP a vingt ans. Vingt ans de preuves chiffrées, vingt ans de gouvernance publique fonctionnelle, vingt ans de rendement positif net de frais. Le débat politique ne peut plus, en 2026, raisonner comme si la capitalisation obligatoire publique était une hypothèse exotique. Elle est française, publique, obligatoire, et elle marche.</w:t>
      </w:r>
      <w:r>
        <w:t xml:space="preserve"> </w:t>
      </w:r>
      <w:r>
        <w:rPr>
          <w:b/>
          <w:bCs/>
        </w:rPr>
        <w:t xml:space="preserve">Troisième fait</w:t>
      </w:r>
      <w:r>
        <w:t xml:space="preserve"> </w:t>
      </w:r>
      <w:r>
        <w:t xml:space="preserve">: la trajectoire COR ne laisse plus de marge. Le déficit projeté à 2070 dans le scénario central n’est plus une silhouette lointaine. Il devient l’arrière-plan structurel de toute discussion budgétaire à moyen terme, et il interdit, en pratique, de continuer à compter sur de simples réformes paramétriques pour le contenir.</w:t>
      </w:r>
      <w:r>
        <w:t xml:space="preserve"> </w:t>
      </w:r>
      <w:r>
        <w:rPr>
          <w:b/>
          <w:bCs/>
        </w:rPr>
        <w:t xml:space="preserve">Quatrième fait</w:t>
      </w:r>
      <w:r>
        <w:t xml:space="preserve"> </w:t>
      </w:r>
      <w:r>
        <w:t xml:space="preserve">: la fenêtre démographique. La génération du baby-boom est désormais intégralement en retraite, et les cohortes actives qui doivent la financer sont passées sous deux cotisants pour un retraité. La marge mathématique pour ajuster le système par cotisations ou par durée de cotisation est, à peu de chose près, épuisée. La seule variable encore disponible — le rendement du capital — n’est mobilisable que par la capitalisation.</w:t>
      </w:r>
    </w:p>
    <w:p>
      <w:pPr>
        <w:pStyle w:val="BodyText"/>
      </w:pPr>
      <w:r>
        <w:t xml:space="preserve">Cette configuration n’avait, depuis 1945, jamais existé en France. Les tentatives précédentes — Thomas 1997, Delevoye 2019, Borne 2023 — se sont produites à un moment où, à des degrés divers, l’un ou plusieurs des quatre verrous tenaient encore solidement. En 2026, et à plus forte raison en 2027 si une présidentielle vient sceller le contrat politique, les quatre verrous sont desserrés simultanément. Ce n’est plus la question de la légitimité d’opinion. Ce n’est plus la question de la preuve technique. Ce n’est plus la question de l’arithmétique démographique. Ce n’est plus la question de la cohérence avec les autres pays comparables. C’est la question, désormais isolée, de la décision politique.</w:t>
      </w:r>
    </w:p>
    <w:bookmarkEnd w:id="443"/>
    <w:bookmarkStart w:id="444" w:name="trois-bénéfices-un-seul-mécanisme"/>
    <w:p>
      <w:pPr>
        <w:pStyle w:val="Heading2"/>
      </w:pPr>
      <w:r>
        <w:t xml:space="preserve">Trois bénéfices, un seul mécanisme</w:t>
      </w:r>
    </w:p>
    <w:p>
      <w:pPr>
        <w:pStyle w:val="FirstParagraph"/>
      </w:pPr>
      <w:r>
        <w:t xml:space="preserve">Reprenons en synthèse ce que la capitalisation, à l’échelle d’un pays comme la France, déclencherait comme mouvement.</w:t>
      </w:r>
    </w:p>
    <w:p>
      <w:pPr>
        <w:pStyle w:val="BodyText"/>
      </w:pPr>
      <w:r>
        <w:t xml:space="preserve">— Elle</w:t>
      </w:r>
      <w:r>
        <w:t xml:space="preserve"> </w:t>
      </w:r>
      <w:r>
        <w:rPr>
          <w:b/>
          <w:bCs/>
        </w:rPr>
        <w:t xml:space="preserve">réduit la dépense publique de retraite</w:t>
      </w:r>
      <w:r>
        <w:t xml:space="preserve"> </w:t>
      </w:r>
      <w:r>
        <w:t xml:space="preserve">de plusieurs points de PIB à régime stationnaire, parce qu’une part de l’effort est portée par le capital plutôt que par l’impôt. La Suède est passée de 11 % à 7,2 % du PIB en vingt-cinq ans, sans qu’aucun retraité ne voie sa pension baisser.</w:t>
      </w:r>
    </w:p>
    <w:p>
      <w:pPr>
        <w:pStyle w:val="BodyText"/>
      </w:pPr>
      <w:r>
        <w:t xml:space="preserve">— Elle</w:t>
      </w:r>
      <w:r>
        <w:t xml:space="preserve"> </w:t>
      </w:r>
      <w:r>
        <w:rPr>
          <w:b/>
          <w:bCs/>
        </w:rPr>
        <w:t xml:space="preserve">allège la pression sur les cotisations sociales</w:t>
      </w:r>
      <w:r>
        <w:t xml:space="preserve">, parce que la charge cesse de reposer uniquement sur les actifs et la masse salariale. Une France à régime stationnaire pourrait redescendre vers 24 à 25 % de cotisation totale, contre 28 % aujourd’hui — soit l’équivalent de l’ordre de 90 milliards d’euros par an de pouvoir d’achat redonné aux salariés ou de capacité d’embauche redonnée aux employeurs.</w:t>
      </w:r>
    </w:p>
    <w:p>
      <w:pPr>
        <w:pStyle w:val="BodyText"/>
      </w:pPr>
      <w:r>
        <w:t xml:space="preserve">— Elle</w:t>
      </w:r>
      <w:r>
        <w:t xml:space="preserve"> </w:t>
      </w:r>
      <w:r>
        <w:rPr>
          <w:b/>
          <w:bCs/>
        </w:rPr>
        <w:t xml:space="preserve">augmente les recettes fiscales</w:t>
      </w:r>
      <w:r>
        <w:t xml:space="preserve"> </w:t>
      </w:r>
      <w:r>
        <w:t xml:space="preserve">de plusieurs dizaines de milliards d’euros par an, parce que l’investissement productif des fonds nourrit la croissance et donc l’assiette fiscale.</w:t>
      </w:r>
    </w:p>
    <w:p>
      <w:pPr>
        <w:pStyle w:val="BodyText"/>
      </w:pPr>
      <w:r>
        <w:t xml:space="preserve">— Elle</w:t>
      </w:r>
      <w:r>
        <w:t xml:space="preserve"> </w:t>
      </w:r>
      <w:r>
        <w:rPr>
          <w:b/>
          <w:bCs/>
        </w:rPr>
        <w:t xml:space="preserve">produit de la croissance et des emplois</w:t>
      </w:r>
      <w:r>
        <w:t xml:space="preserve">, parce que l’épargne dormante devient capital productif. Et elle</w:t>
      </w:r>
      <w:r>
        <w:t xml:space="preserve"> </w:t>
      </w:r>
      <w:r>
        <w:rPr>
          <w:b/>
          <w:bCs/>
        </w:rPr>
        <w:t xml:space="preserve">reprend la maîtrise du capital national</w:t>
      </w:r>
      <w:r>
        <w:t xml:space="preserve">, parce que les fonds français rachètent les entreprises françaises au lieu de les laisser glisser sous pavillon étranger transaction par transaction.</w:t>
      </w:r>
    </w:p>
    <w:p>
      <w:pPr>
        <w:pStyle w:val="BodyText"/>
      </w:pPr>
      <w:r>
        <w:t xml:space="preserve">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t>
      </w:r>
    </w:p>
    <w:p>
      <w:pPr>
        <w:pStyle w:val="BodyText"/>
      </w:pPr>
      <w:r>
        <w:t xml:space="preserve">C’est ce que les autres pays comparables ont compris il y a trente ans. C’est ce que la France, pour la première fois depuis 1945, a peut-être enfin l’occasion de faire à son tour.</w:t>
      </w:r>
    </w:p>
    <w:bookmarkEnd w:id="444"/>
    <w:bookmarkStart w:id="445" w:name="choisir-enfin"/>
    <w:p>
      <w:pPr>
        <w:pStyle w:val="Heading2"/>
      </w:pPr>
      <w:r>
        <w:t xml:space="preserve">Choisir, enfin</w:t>
      </w:r>
    </w:p>
    <w:p>
      <w:pPr>
        <w:pStyle w:val="FirstParagraph"/>
      </w:pPr>
      <w:r>
        <w:t xml:space="preserve">Trois parties, vingt-cinq ans de feuille de route, douze propositions, deux voies. Le choix politique fondamental est binaire.</w:t>
      </w:r>
      <w:r>
        <w:t xml:space="preserve"> </w:t>
      </w:r>
      <w:r>
        <w:rPr>
          <w:b/>
          <w:bCs/>
        </w:rPr>
        <w:t xml:space="preserve">Voie A</w:t>
      </w:r>
      <w:r>
        <w:t xml:space="preserve">, la concertation longue à la suédoise : commission indépendante mandatée en 2027, accord pluripartite signé en 2028, loi-cadre à majorité qualifiée, cotisation patronale montée sur quinze ans. Durabilité maximale, démarrage plus lent.</w:t>
      </w:r>
      <w:r>
        <w:t xml:space="preserve"> </w:t>
      </w:r>
      <w:r>
        <w:rPr>
          <w:b/>
          <w:bCs/>
        </w:rPr>
        <w:t xml:space="preserve">Voie B</w:t>
      </w:r>
      <w:r>
        <w:t xml:space="preserve">, la rapidité négociée à l’australienne : auto-enrolment dès 2028, cotisation patronale gravée par paliers annuels, eurobonds dédiés pour lisser la transition, pacte syndical CFDT-CFE-CGC au cœur du dispositif. Calendrier précis, démarrage immédiat, mais fragilité plus grande à l’alternance si le pacte se délite.</w:t>
      </w:r>
    </w:p>
    <w:p>
      <w:pPr>
        <w:pStyle w:val="BodyText"/>
      </w:pPr>
      <w:r>
        <w:t xml:space="preserve">Les deux voies sont accessibles. Aucune n’est facile. Toutes les deux exigent ce que les vingt dernières années n’ont pas su produire : une majorité politique qui assume d’engager une réforme structurelle au lieu d’empiler des ajustements paramétriques, et une majorité sociale qui accepte de signer un accord avant le vote parlementaire au lieu d’attendre la rue.</w:t>
      </w:r>
    </w:p>
    <w:p>
      <w:pPr>
        <w:pStyle w:val="BodyText"/>
      </w:pPr>
      <w:r>
        <w:t xml:space="preserve">Mais la France</w:t>
      </w:r>
      <w:r>
        <w:t xml:space="preserve"> </w:t>
      </w:r>
      <w:r>
        <w:rPr>
          <w:b/>
          <w:bCs/>
        </w:rPr>
        <w:t xml:space="preserve">doit choisir</w:t>
      </w:r>
      <w:r>
        <w:t xml:space="preserve">. La pire option est l’immobilisme — celui qui depuis trente ans laisse le déficit du COR grossir vers 45 milliards d’euros par an en 2070 et plus de 36 milliards d’euros de dividendes du CAC 40 partir chaque année vers les retraites des autres. La deuxième pire est le décret-loi à la chilienne, sans concertation, sans pacte — celle qui a échoué là où elle a été tentée, et que la loi 21735 chilienne de janvier 2025 vient de défaire à 110 voix contre 38 après quarante-quatre ans d’application.</w:t>
      </w:r>
    </w:p>
    <w:p>
      <w:pPr>
        <w:pStyle w:val="BodyText"/>
      </w:pPr>
      <w:r>
        <w:t xml:space="preserve">Toutes les autres options se déclinent à partir des deux voies présentées dans la troisième partie. La France les a sous les yeux. Elle a la matière première — six mille milliards d’euros d’épargne brute. Elle a l’infrastructure technique — le RAFP, le FRR, l’AGIRC-ARRCO, la Caisse des dépôts. Elle a l’opinion — qui a basculé. Elle a la preuve étrangère — Suède, Pays-Bas, Australie, Canada, Royaume-Uni. Et elle a l’urgence — démographique, budgétaire, économique, souveraine. Il manque, en 2026, le seul ingrédient qui ne se trouve pas dans un rapport : la décision.</w:t>
      </w:r>
    </w:p>
    <w:p>
      <w:pPr>
        <w:pStyle w:val="BodyText"/>
      </w:pPr>
      <w:r>
        <w:t xml:space="preserve">Reste à désamorcer, pour finir, les cinq mensonges qui, depuis trente ans, ont empêché que ce choix soit posé. C’est l’objet de l’appendice qui suit. Il n’est pas là pour clore le débat. Il est là pour rendre la conversation suivante possible.</w:t>
      </w:r>
    </w:p>
    <w:bookmarkEnd w:id="445"/>
    <w:bookmarkEnd w:id="446"/>
    <w:bookmarkStart w:id="477" w:name="X305b9a6269842b8ae17de1fe036df9dc028db03"/>
    <w:p>
      <w:pPr>
        <w:pStyle w:val="Heading1"/>
      </w:pPr>
      <w:r>
        <w:t xml:space="preserve">Appendice — Cinq mensonges qui ont coûté trente ans</w:t>
      </w:r>
    </w:p>
    <w:p>
      <w:pPr>
        <w:pStyle w:val="FirstParagraph"/>
      </w:pPr>
      <w:r>
        <w:t xml:space="preserve">Ce qui suit n’est pas un chapitre. C’est un appendice — un argumentaire prêt à l’emploi, à garder sous le coude pour les fois où vous tomberez sur l’une des objections qui ont, pendant trois décennies, anesthésié le débat français sur la capitalisation.</w:t>
      </w:r>
      <w:r>
        <w:t xml:space="preserve"> </w:t>
      </w:r>
      <w:r>
        <w:rPr>
          <w:i/>
          <w:iCs/>
        </w:rPr>
        <w:t xml:space="preserve">« La bourse, c’est le casino. »</w:t>
      </w:r>
      <w:r>
        <w:t xml:space="preserve"> </w:t>
      </w:r>
      <w:r>
        <w:rPr>
          <w:i/>
          <w:iCs/>
        </w:rPr>
        <w:t xml:space="preserve">« Et si tout s’effondre comme Enron ? »</w:t>
      </w:r>
      <w:r>
        <w:t xml:space="preserve"> </w:t>
      </w:r>
      <w:r>
        <w:rPr>
          <w:i/>
          <w:iCs/>
        </w:rPr>
        <w:t xml:space="preserve">« C’est anti-social, ça profite aux riches. »</w:t>
      </w:r>
      <w:r>
        <w:t xml:space="preserve"> </w:t>
      </w:r>
      <w:r>
        <w:rPr>
          <w:i/>
          <w:iCs/>
        </w:rPr>
        <w:t xml:space="preserve">« Le double paiement est insurmontable. »</w:t>
      </w:r>
      <w:r>
        <w:t xml:space="preserve"> </w:t>
      </w:r>
      <w:r>
        <w:rPr>
          <w:i/>
          <w:iCs/>
        </w:rPr>
        <w:t xml:space="preserve">« On a déjà essayé, ça ne marche pas. »</w:t>
      </w:r>
      <w:r>
        <w:t xml:space="preserve"> </w:t>
      </w:r>
      <w:r>
        <w:t xml:space="preserve">Chacune de ces objections a une part de vérité — assez pour expliquer qu’elle ait tenu — et beaucoup d’inexactitudes — assez pour que sa simple répétition ait fini par interdire toute discussion sérieuse.</w:t>
      </w:r>
    </w:p>
    <w:p>
      <w:pPr>
        <w:pStyle w:val="BodyText"/>
      </w:pPr>
      <w:r>
        <w:t xml:space="preserve">Cinq questions, donc, cinq réponses chiffrées et sourcées. Si vous avez lu les six chapitres qui précèdent, vous avez déjà l’essentiel. Cet appendice n’est là que pour outiller la conversation suivante.</w:t>
      </w:r>
    </w:p>
    <w:p>
      <w:pPr>
        <w:pStyle w:val="BodyText"/>
      </w:pPr>
      <w:r>
        <w:t xml:space="preserve">Le Manifeste qui précède pose un programme. Reste à désamorcer les objections qui ont empêché ce programme, depuis trente ans, de devenir une loi.</w:t>
      </w:r>
    </w:p>
    <w:p>
      <w:pPr>
        <w:pStyle w:val="BodyText"/>
      </w:pPr>
      <w:r>
        <w:t xml:space="preserve">Cinq, dit-on. À l’usage, ce sont six, et le sixième - Enron, Madoff, Detroit - vaut d’être traité à part, parce qu’il revient comme un refrain dès qu’on prononce le mot capitalisation dans un dîner français. Les six tiennent en autant de phrases que tout le monde a entendues :</w:t>
      </w:r>
      <w:r>
        <w:t xml:space="preserve"> </w:t>
      </w:r>
      <w:r>
        <w:rPr>
          <w:i/>
          <w:iCs/>
        </w:rPr>
        <w:t xml:space="preserve">La bourse, c’est le casino. Souvenez-vous d’Enron. C’est anti-social. Le double paiement est insurmontable. On a déjà essayé, le PER ne marche pas. La France n’a pas la culture financière.</w:t>
      </w:r>
    </w:p>
    <w:p>
      <w:pPr>
        <w:pStyle w:val="BodyText"/>
      </w:pPr>
      <w:r>
        <w:t xml:space="preserve">Trois mandats présidentiels que ces six phrases bloquent une réforme. Trente ans. Pendant lesquels les Pays-Bas, l’Australie, le Royaume-Uni, le Canada, la Suède, et finalement le Chili lui-même, ont changé d’avis sur la question. La France, pas encore.</w:t>
      </w:r>
    </w:p>
    <w:p>
      <w:pPr>
        <w:pStyle w:val="BodyText"/>
      </w:pPr>
      <w:r>
        <w:t xml:space="preserve">Format Q/R, donc. Six questions, six réponses serrées - trois arguments-clés par objection, chiffrés, qui suffisent à la démonter. Les démonstrations sont dans les chapitres précédents. Ici, on désamorce.</w:t>
      </w:r>
    </w:p>
    <w:bookmarkStart w:id="453" w:name="X0cc9477ad67cc921a1cde575ea7fb52fc5f9ce0"/>
    <w:p>
      <w:pPr>
        <w:pStyle w:val="Heading2"/>
      </w:pPr>
      <w:r>
        <w:t xml:space="preserve">Q.1 - « La bourse, c’est le casino : et si tout s’effondre ? »</w:t>
      </w:r>
    </w:p>
    <w:p>
      <w:pPr>
        <w:pStyle w:val="FirstParagraph"/>
      </w:pPr>
      <w:r>
        <w:t xml:space="preserve">La peur est légitime au niveau du petit porteur isolé. Elle est mal calibrée appliquée à un fonds de pension public.</w:t>
      </w:r>
    </w:p>
    <w:p>
      <w:pPr>
        <w:pStyle w:val="BodyText"/>
      </w:pPr>
      <w:r>
        <w:rPr>
          <w:b/>
          <w:bCs/>
        </w:rPr>
        <w:t xml:space="preserve">Premier argument : le rendement réel sur cent vingt-cinq ans.</w:t>
      </w:r>
      <w:r>
        <w:t xml:space="preserve"> </w:t>
      </w:r>
      <w:r>
        <w:t xml:space="preserve">Le</w:t>
      </w:r>
      <w:r>
        <w:t xml:space="preserve"> </w:t>
      </w:r>
      <w:r>
        <w:rPr>
          <w:i/>
          <w:iCs/>
        </w:rPr>
        <w:t xml:space="preserve">Global Investment Returns Yearbook</w:t>
      </w:r>
      <w:r>
        <w:t xml:space="preserve"> </w:t>
      </w:r>
      <w:r>
        <w:t xml:space="preserve">d’UBS, Dimson, Marsh et Staunton, calcule les rendements réels annualisés des actions monde sur 1900-2024 :</w:t>
      </w:r>
      <w:r>
        <w:t xml:space="preserve"> </w:t>
      </w:r>
      <w:r>
        <w:rPr>
          <w:b/>
          <w:bCs/>
        </w:rPr>
        <w:t xml:space="preserve">5,2 % par an en termes réels</w:t>
      </w:r>
      <w:r>
        <w:rPr>
          <w:rStyle w:val="FootnoteReference"/>
        </w:rPr>
        <w:footnoteReference w:id="447"/>
      </w:r>
      <w:r>
        <w:t xml:space="preserve">. Obligations gouvernementales : 1,7 %. Bons du Trésor : 0,5 %. Ces chiffres incluent les deux guerres mondiales, 1929, la stagflation, 2000, 2008, 2020 et 2022. Comparez au rendement réel net moyen des fonds euros français en 2024 :</w:t>
      </w:r>
      <w:r>
        <w:t xml:space="preserve"> </w:t>
      </w:r>
      <w:r>
        <w:rPr>
          <w:b/>
          <w:bCs/>
        </w:rPr>
        <w:t xml:space="preserve">0,15 %</w:t>
      </w:r>
      <w:r>
        <w:rPr>
          <w:rStyle w:val="FootnoteReference"/>
        </w:rPr>
        <w:footnoteReference w:id="448"/>
      </w:r>
      <w:r>
        <w:t xml:space="preserve">. Soixante-dix fois moins.</w:t>
      </w:r>
    </w:p>
    <w:p>
      <w:pPr>
        <w:pStyle w:val="BodyText"/>
      </w:pPr>
      <w:r>
        <w:rPr>
          <w:b/>
          <w:bCs/>
        </w:rPr>
        <w:t xml:space="preserve">Deuxième argument : le glide path neutralise le risque de séquence.</w:t>
      </w:r>
      <w:r>
        <w:t xml:space="preserve"> </w:t>
      </w:r>
      <w:r>
        <w:t xml:space="preserve">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mécanisme</w:t>
      </w:r>
      <w:r>
        <w:rPr>
          <w:rStyle w:val="FootnoteReference"/>
        </w:rPr>
        <w:footnoteReference w:id="449"/>
      </w:r>
      <w:r>
        <w:t xml:space="preserve">. Un cotisant français qui aurait pris sa retraite début 2009 - au pire moment historique récent - aurait subi, dans la dernière année avant la retraite, environ 3 % de baisse de capital total. À comparer aux 56,8 % du S&amp;P 500. Le glide path absorbe l’essentiel du choc.</w:t>
      </w:r>
    </w:p>
    <w:p>
      <w:pPr>
        <w:pStyle w:val="BodyText"/>
      </w:pPr>
      <w:r>
        <w:rPr>
          <w:b/>
          <w:bCs/>
        </w:rPr>
        <w:t xml:space="preserve">Troisième argument : les garanties publiques de dernier recours.</w:t>
      </w:r>
      <w:r>
        <w:t xml:space="preserve"> </w:t>
      </w:r>
      <w:r>
        <w:t xml:space="preserve">Aux Pays-Bas, la DNB impose un</w:t>
      </w:r>
      <w:r>
        <w:t xml:space="preserve"> </w:t>
      </w:r>
      <w:r>
        <w:rPr>
          <w:i/>
          <w:iCs/>
        </w:rPr>
        <w:t xml:space="preserve">funding ratio</w:t>
      </w:r>
      <w:r>
        <w:t xml:space="preserve"> </w:t>
      </w:r>
      <w:r>
        <w:t xml:space="preserve">minimum de 105 % ; le ratio médian est de 125 %, moins de 0,5 % des fonds passent sous le seuil, aucune faillite de grand fonds depuis trente ans</w:t>
      </w:r>
      <w:r>
        <w:rPr>
          <w:rStyle w:val="FootnoteReference"/>
        </w:rPr>
        <w:footnoteReference w:id="450"/>
      </w:r>
      <w:r>
        <w:t xml:space="preserve">. Au Royaume-Uni, le</w:t>
      </w:r>
      <w:r>
        <w:t xml:space="preserve"> </w:t>
      </w:r>
      <w:r>
        <w:rPr>
          <w:i/>
          <w:iCs/>
        </w:rPr>
        <w:t xml:space="preserve">Pension Protection Fund</w:t>
      </w:r>
      <w:r>
        <w:t xml:space="preserve"> </w:t>
      </w:r>
      <w:r>
        <w:t xml:space="preserve">couvre 8,8 millions de personnes dans 5 000 fonds ; garantie 100 % aux retraités, 90 % aux actifs</w:t>
      </w:r>
      <w:r>
        <w:rPr>
          <w:rStyle w:val="FootnoteReference"/>
        </w:rPr>
        <w:footnoteReference w:id="451"/>
      </w:r>
      <w:r>
        <w:t xml:space="preserve">. En Suède, une</w:t>
      </w:r>
      <w:r>
        <w:t xml:space="preserve"> </w:t>
      </w:r>
      <w:r>
        <w:rPr>
          <w:i/>
          <w:iCs/>
        </w:rPr>
        <w:t xml:space="preserve">garantipension</w:t>
      </w:r>
      <w:r>
        <w:t xml:space="preserve"> </w:t>
      </w:r>
      <w:r>
        <w:t xml:space="preserve">à 11 988 SEK/mois assure le plancher. Et les performances elles-mêmes : le fonds souverain norvégien (GPFG) délivre</w:t>
      </w:r>
      <w:r>
        <w:t xml:space="preserve"> </w:t>
      </w:r>
      <w:r>
        <w:rPr>
          <w:b/>
          <w:bCs/>
        </w:rPr>
        <w:t xml:space="preserve">4,1 % réel net</w:t>
      </w:r>
      <w:r>
        <w:t xml:space="preserve"> </w:t>
      </w:r>
      <w:r>
        <w:t xml:space="preserve">sur 27 ans, CPPIB</w:t>
      </w:r>
      <w:r>
        <w:t xml:space="preserve"> </w:t>
      </w:r>
      <w:r>
        <w:rPr>
          <w:b/>
          <w:bCs/>
        </w:rPr>
        <w:t xml:space="preserve">8,3 % nominal net</w:t>
      </w:r>
      <w:r>
        <w:t xml:space="preserve"> </w:t>
      </w:r>
      <w:r>
        <w:t xml:space="preserve">sur dix ans, AustralianSuper</w:t>
      </w:r>
      <w:r>
        <w:t xml:space="preserve"> </w:t>
      </w:r>
      <w:r>
        <w:rPr>
          <w:b/>
          <w:bCs/>
        </w:rPr>
        <w:t xml:space="preserve">7,94 %</w:t>
      </w:r>
      <w:r>
        <w:t xml:space="preserve">, AP7 Equity</w:t>
      </w:r>
      <w:r>
        <w:t xml:space="preserve"> </w:t>
      </w:r>
      <w:r>
        <w:rPr>
          <w:b/>
          <w:bCs/>
        </w:rPr>
        <w:t xml:space="preserve">~14 % nominal</w:t>
      </w:r>
      <w:r>
        <w:t xml:space="preserve"> </w:t>
      </w:r>
      <w:r>
        <w:t xml:space="preserve">depuis 2010</w:t>
      </w:r>
      <w:r>
        <w:rPr>
          <w:rStyle w:val="FootnoteReference"/>
        </w:rPr>
        <w:footnoteReference w:id="452"/>
      </w:r>
      <w:r>
        <w:t xml:space="preserve">. Aucun n’a fait défaut. Aucun n’est revenu en arrière.</w:t>
      </w:r>
    </w:p>
    <w:p>
      <w:pPr>
        <w:pStyle w:val="BodyText"/>
      </w:pPr>
      <w:r>
        <w:t xml:space="preserve">L’objection « la bourse, c’est le casino » confond trois choses : la mésaventure d’un petit porteur, le comportement d’un krach isolé, et l’architecture d’un fonds de pension public sur quarante ans. Ce n’est pas la même chose. Ce n’est même pas comparable.</w:t>
      </w:r>
    </w:p>
    <w:bookmarkEnd w:id="453"/>
    <w:bookmarkStart w:id="458" w:name="q.2---et-enron-madoff-detroit"/>
    <w:p>
      <w:pPr>
        <w:pStyle w:val="Heading2"/>
      </w:pPr>
      <w:r>
        <w:t xml:space="preserve">Q.2 - « Et Enron, Madoff, Detroit ? »</w:t>
      </w:r>
    </w:p>
    <w:p>
      <w:pPr>
        <w:pStyle w:val="FirstParagraph"/>
      </w:pPr>
      <w:r>
        <w:t xml:space="preserve">C’est l’objection-réflexe. Trois cas, espacés sur quinze ans dans un seul pays, qu’on agite pour condamner soixante-dix ans d’histoire des fonds de pension dans le monde.</w:t>
      </w:r>
    </w:p>
    <w:p>
      <w:pPr>
        <w:pStyle w:val="BodyText"/>
      </w:pPr>
      <w:r>
        <w:rPr>
          <w:b/>
          <w:bCs/>
        </w:rPr>
        <w:t xml:space="preserve">Enron, 2001.</w:t>
      </w:r>
      <w:r>
        <w:t xml:space="preserve"> </w:t>
      </w:r>
      <w:r>
        <w:t xml:space="preserve">Fraude comptable d’une entreprise texane, plans 401(k) concentrés en actions employeur : ~1,2-1,3 Md$ de pertes pour environ 15 000 salariés</w:t>
      </w:r>
      <w:r>
        <w:rPr>
          <w:rStyle w:val="FootnoteReference"/>
        </w:rPr>
        <w:footnoteReference w:id="454"/>
      </w:r>
      <w:r>
        <w:t xml:space="preserve">. Ce qui a permis Enron est-il possible dans un fonds public moderne ? Non. Un fonds public détient 1 500 à 3 000 lignes en direct ; il est soumis à un régulateur indépendant (DNB, TPR, APRA, OSFI) ; sa gouvernance est paritaire ou indépendante ; et le</w:t>
      </w:r>
      <w:r>
        <w:t xml:space="preserve"> </w:t>
      </w:r>
      <w:r>
        <w:rPr>
          <w:i/>
          <w:iCs/>
        </w:rPr>
        <w:t xml:space="preserve">Pension Protection Act</w:t>
      </w:r>
      <w:r>
        <w:t xml:space="preserve"> </w:t>
      </w:r>
      <w:r>
        <w:t xml:space="preserve">de 2006, voté précisément après Enron, a imposé la diversification dans les 401(k) eux-mêmes. La leçon a été apprise. L’architecture moderne - qui n’avait jamais permis cela - l’interdit explicitement depuis vingt ans.</w:t>
      </w:r>
    </w:p>
    <w:p>
      <w:pPr>
        <w:pStyle w:val="BodyText"/>
      </w:pPr>
      <w:r>
        <w:rPr>
          <w:b/>
          <w:bCs/>
        </w:rPr>
        <w:t xml:space="preserve">Madoff, 2008.</w:t>
      </w:r>
      <w:r>
        <w:t xml:space="preserve"> </w:t>
      </w:r>
      <w:r>
        <w:t xml:space="preserve">Ponzi de 18 Md$ de cash réellement investis</w:t>
      </w:r>
      <w:r>
        <w:rPr>
          <w:rStyle w:val="FootnoteReference"/>
        </w:rPr>
        <w:footnoteReference w:id="455"/>
      </w:r>
      <w:r>
        <w:t xml:space="preserve">. Un fonds régulé par ERISA ou IORP II l’aurait-il pu ? Non : audit indépendant obligatoire (Madoff utilisait un cabinet de trois personnes),</w:t>
      </w:r>
      <w:r>
        <w:t xml:space="preserve"> </w:t>
      </w:r>
      <w:r>
        <w:rPr>
          <w:i/>
          <w:iCs/>
        </w:rPr>
        <w:t xml:space="preserve">mark-to-market</w:t>
      </w:r>
      <w:r>
        <w:t xml:space="preserve"> </w:t>
      </w:r>
      <w:r>
        <w:t xml:space="preserve">quotidien (Madoff lissait artificiellement les rendements), ségrégation comptable des actifs (Madoff confondait clients et firme), supervision prudentielle continue (Madoff y échappait). Aucun fonds de pension public n’a fait faillite à cause de Madoff. C’était un</w:t>
      </w:r>
      <w:r>
        <w:t xml:space="preserve"> </w:t>
      </w:r>
      <w:r>
        <w:rPr>
          <w:i/>
          <w:iCs/>
        </w:rPr>
        <w:t xml:space="preserve">hedge fund</w:t>
      </w:r>
      <w:r>
        <w:t xml:space="preserve"> </w:t>
      </w:r>
      <w:r>
        <w:t xml:space="preserve">privé vendu à une clientèle ultra-aisée.</w:t>
      </w:r>
    </w:p>
    <w:p>
      <w:pPr>
        <w:pStyle w:val="BodyText"/>
      </w:pPr>
      <w:r>
        <w:rPr>
          <w:b/>
          <w:bCs/>
        </w:rPr>
        <w:t xml:space="preserve">Detroit, 2013.</w:t>
      </w:r>
      <w:r>
        <w:t xml:space="preserve"> </w:t>
      </w:r>
      <w:r>
        <w:t xml:space="preserve">Faillite municipale, 3,5 Md$ de pensions non financées, réductions de 4 à 17 %</w:t>
      </w:r>
      <w:r>
        <w:rPr>
          <w:rStyle w:val="FootnoteReference"/>
        </w:rPr>
        <w:footnoteReference w:id="456"/>
      </w:r>
      <w:r>
        <w:t xml:space="preserve">. La cause structurelle n’est pas la capitalisation. C’est l’effondrement démographique d’une ville (1,8 million d’habitants en 1950, 700 000 en 2010) couplé à</w:t>
      </w:r>
      <w:r>
        <w:t xml:space="preserve"> </w:t>
      </w:r>
      <w:r>
        <w:rPr>
          <w:b/>
          <w:bCs/>
        </w:rPr>
        <w:t xml:space="preserve">l’absence de funding ratio minimum légal</w:t>
      </w:r>
      <w:r>
        <w:t xml:space="preserve"> </w:t>
      </w:r>
      <w:r>
        <w:t xml:space="preserve">et à</w:t>
      </w:r>
      <w:r>
        <w:t xml:space="preserve"> </w:t>
      </w:r>
      <w:r>
        <w:rPr>
          <w:b/>
          <w:bCs/>
        </w:rPr>
        <w:t xml:space="preserve">l’absence de filet de dernier recours</w:t>
      </w:r>
      <w:r>
        <w:t xml:space="preserve">.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pPr>
        <w:pStyle w:val="BodyText"/>
      </w:pPr>
      <w:r>
        <w:rPr>
          <w:b/>
          <w:bCs/>
        </w:rPr>
        <w:t xml:space="preserve">Le constat qu’on n’agite jamais.</w:t>
      </w:r>
      <w:r>
        <w:t xml:space="preserve"> </w:t>
      </w:r>
      <w:r>
        <w:t xml:space="preserve">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pPr>
        <w:pStyle w:val="BodyText"/>
      </w:pPr>
      <w:r>
        <w:t xml:space="preserve">Et l’inversion à laquelle on échappe rarement : le</w:t>
      </w:r>
      <w:r>
        <w:t xml:space="preserve"> </w:t>
      </w:r>
      <w:r>
        <w:rPr>
          <w:i/>
          <w:iCs/>
        </w:rPr>
        <w:t xml:space="preserve">Mercer CFA Global Pension Index 2025</w:t>
      </w:r>
      <w:r>
        <w:t xml:space="preserve"> </w:t>
      </w:r>
      <w:r>
        <w:t xml:space="preserve">classe la France en grade B, score global</w:t>
      </w:r>
      <w:r>
        <w:t xml:space="preserve"> </w:t>
      </w:r>
      <w:r>
        <w:rPr>
          <w:b/>
          <w:bCs/>
        </w:rPr>
        <w:t xml:space="preserve">70,3</w:t>
      </w:r>
      <w:r>
        <w:t xml:space="preserve">. Mais derrière ce moyenne, deux sous-indices très différents :</w:t>
      </w:r>
      <w:r>
        <w:t xml:space="preserve"> </w:t>
      </w:r>
      <w:r>
        <w:rPr>
          <w:b/>
          <w:bCs/>
        </w:rPr>
        <w:t xml:space="preserve">adéquation 85,2</w:t>
      </w:r>
      <w:r>
        <w:t xml:space="preserve"> </w:t>
      </w:r>
      <w:r>
        <w:t xml:space="preserve">(pensions généreuses) et</w:t>
      </w:r>
      <w:r>
        <w:t xml:space="preserve"> </w:t>
      </w:r>
      <w:r>
        <w:rPr>
          <w:b/>
          <w:bCs/>
        </w:rPr>
        <w:t xml:space="preserve">viabilité 48,6</w:t>
      </w:r>
      <w:r>
        <w:t xml:space="preserve"> </w:t>
      </w:r>
      <w:r>
        <w:t xml:space="preserve">(le système ne tient pas)</w:t>
      </w:r>
      <w:r>
        <w:rPr>
          <w:rStyle w:val="FootnoteReference"/>
        </w:rPr>
        <w:footnoteReference w:id="457"/>
      </w:r>
      <w:r>
        <w:t xml:space="preserve">. Quasiment deux fois moins. La France est notée structurellement plus fragile que la Grèce sur la viabilité. Le risque ne vient pas de Wall Street. Il vient de Paris.</w:t>
      </w:r>
    </w:p>
    <w:bookmarkEnd w:id="458"/>
    <w:bookmarkStart w:id="463" w:name="X924b3f9f0e83b3331951146482c1c09b3801054"/>
    <w:p>
      <w:pPr>
        <w:pStyle w:val="Heading2"/>
      </w:pPr>
      <w:r>
        <w:t xml:space="preserve">Q.3 - « C’est anti-social : ça profite aux riches »</w:t>
      </w:r>
    </w:p>
    <w:p>
      <w:pPr>
        <w:pStyle w:val="FirstParagraph"/>
      </w:pPr>
      <w:r>
        <w:t xml:space="preserve">L’objection a une noblesse - celle d’Henri Sterdyniak, qui la porte depuis trente ans. Elle est cohérente</w:t>
      </w:r>
      <w:r>
        <w:t xml:space="preserve"> </w:t>
      </w:r>
      <w:r>
        <w:rPr>
          <w:i/>
          <w:iCs/>
        </w:rPr>
        <w:t xml:space="preserve">pour un certain type de capitalisation</w:t>
      </w:r>
      <w:r>
        <w:t xml:space="preserve"> </w:t>
      </w:r>
      <w:r>
        <w:t xml:space="preserve">: la capitalisation pure, sans cotisation patronale, sans plancher universel, sans paritarisme. Précisément celle du Chili d’avant 2025, et celle du PER français. Mais ce n’est</w:t>
      </w:r>
      <w:r>
        <w:t xml:space="preserve"> </w:t>
      </w:r>
      <w:r>
        <w:rPr>
          <w:i/>
          <w:iCs/>
        </w:rPr>
        <w:t xml:space="preserve">pas</w:t>
      </w:r>
      <w:r>
        <w:t xml:space="preserve"> </w:t>
      </w:r>
      <w:r>
        <w:t xml:space="preserve">celle des Pays-Bas, de l’Australie, du Royaume-Uni, de la Suède.</w:t>
      </w:r>
    </w:p>
    <w:p>
      <w:pPr>
        <w:pStyle w:val="BodyText"/>
      </w:pPr>
      <w:r>
        <w:rPr>
          <w:b/>
          <w:bCs/>
        </w:rPr>
        <w:t xml:space="preserve">Premier argument : l’obligation patronale renverse l’objection.</w:t>
      </w:r>
      <w:r>
        <w:t xml:space="preserve"> </w:t>
      </w:r>
      <w:r>
        <w:t xml:space="preserve">Une capitalisation obligatoire à cotisation patronale couvre 100 % des salariés, du SMIC au cadre dirigeant. C’est statistiquement plus égalitaire que le PER actuel, dont 70 % des versements proviennent des trois déciles de revenu les plus élevés</w:t>
      </w:r>
      <w:r>
        <w:rPr>
          <w:rStyle w:val="FootnoteReference"/>
        </w:rPr>
        <w:footnoteReference w:id="459"/>
      </w:r>
      <w:r>
        <w:t xml:space="preserve">. La capitalisation universelle n’est pas un produit pour cadres : c’est un produit pour tout le monde, financé en partie par l’employeur. C’est l’inverse du PER.</w:t>
      </w:r>
    </w:p>
    <w:p>
      <w:pPr>
        <w:pStyle w:val="BodyText"/>
      </w:pPr>
      <w:r>
        <w:rPr>
          <w:b/>
          <w:bCs/>
        </w:rPr>
        <w:t xml:space="preserve">Deuxième argument : les femmes y gagnent plus, pas moins.</w:t>
      </w:r>
      <w:r>
        <w:t xml:space="preserve"> </w:t>
      </w:r>
      <w:r>
        <w:t xml:space="preserve">Le</w:t>
      </w:r>
      <w:r>
        <w:t xml:space="preserve"> </w:t>
      </w:r>
      <w:r>
        <w:rPr>
          <w:i/>
          <w:iCs/>
        </w:rPr>
        <w:t xml:space="preserve">Mercer Gender Pension Index 2025</w:t>
      </w:r>
      <w:r>
        <w:t xml:space="preserve"> </w:t>
      </w:r>
      <w:r>
        <w:t xml:space="preserve">mesure l’écart femmes-hommes : 17 % aux Pays-Bas, 25 % en Suède et Australie (en baisse), 28-30 % en France selon la DREES</w:t>
      </w:r>
      <w:r>
        <w:rPr>
          <w:rStyle w:val="FootnoteReference"/>
        </w:rPr>
        <w:footnoteReference w:id="460"/>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 la pension des femmes - dès qu’on regarde les chiffres.</w:t>
      </w:r>
    </w:p>
    <w:p>
      <w:pPr>
        <w:pStyle w:val="BodyText"/>
      </w:pPr>
      <w:r>
        <w:rPr>
          <w:b/>
          <w:bCs/>
        </w:rPr>
        <w:t xml:space="preserve">Troisième argument : le rapport P90/P10, plus égalitaire aux Pays-Bas.</w:t>
      </w:r>
      <w:r>
        <w:t xml:space="preserve"> </w:t>
      </w:r>
      <w:r>
        <w:t xml:space="preserve">Le rapport entre la pension du premier décile et celle du neuvième décile :</w:t>
      </w:r>
      <w:r>
        <w:t xml:space="preserve"> </w:t>
      </w:r>
      <w:r>
        <w:rPr>
          <w:b/>
          <w:bCs/>
        </w:rPr>
        <w:t xml:space="preserve">France ≈ 4,2 ; Pays-Bas ≈ 3,1</w:t>
      </w:r>
      <w:r>
        <w:rPr>
          <w:rStyle w:val="FootnoteReference"/>
        </w:rPr>
        <w:footnoteReference w:id="461"/>
      </w:r>
      <w:r>
        <w:t xml:space="preserve">. Le pilier deux paritaire universel néerlandais couvre 85 % des salariés à un taux de remplacement de 70-80 %, indépendamment du niveau de revenu. Le système français - répartition pure plus PER optionnel - laisse au contraire les hauts revenus accumuler un capital fiscalement subventionné que les bas revenus n’utilisent pas. Le PER français</w:t>
      </w:r>
      <w:r>
        <w:t xml:space="preserve"> </w:t>
      </w:r>
      <w:r>
        <w:rPr>
          <w:i/>
          <w:iCs/>
        </w:rPr>
        <w:t xml:space="preserve">augmente</w:t>
      </w:r>
      <w:r>
        <w:t xml:space="preserve"> </w:t>
      </w:r>
      <w:r>
        <w:t xml:space="preserve">les inégalités de pension. La capitalisation obligatoire universelle les</w:t>
      </w:r>
      <w:r>
        <w:t xml:space="preserve"> </w:t>
      </w:r>
      <w:r>
        <w:rPr>
          <w:i/>
          <w:iCs/>
        </w:rPr>
        <w:t xml:space="preserve">réduit</w:t>
      </w:r>
      <w:r>
        <w:t xml:space="preserve">.</w:t>
      </w:r>
    </w:p>
    <w:p>
      <w:pPr>
        <w:pStyle w:val="BodyText"/>
      </w:pPr>
      <w:r>
        <w:t xml:space="preserve">Sterdyniak pose la question de l’égalité de mécanisme. Les Hollandais et les Suédois ont, eux, posé celle du résultat. Et le sondage Odoxa-Groupama de novembre 2025 - 57 % des Français favorables au système mixte, 22 % à la capitalisation seule contre 20 % à la répartition seule</w:t>
      </w:r>
      <w:r>
        <w:rPr>
          <w:rStyle w:val="FootnoteReference"/>
        </w:rPr>
        <w:footnoteReference w:id="462"/>
      </w:r>
      <w:r>
        <w:t xml:space="preserve"> </w:t>
      </w:r>
      <w:r>
        <w:t xml:space="preserve">- n’est pas le sondage de la France des privilégiés. C’est celui de la France entière.</w:t>
      </w:r>
    </w:p>
    <w:bookmarkEnd w:id="463"/>
    <w:bookmarkStart w:id="471" w:name="X9be9198f89ae1da3bd46da79160e73f5f43b201"/>
    <w:p>
      <w:pPr>
        <w:pStyle w:val="Heading2"/>
      </w:pPr>
      <w:r>
        <w:t xml:space="preserve">Q.4 - « Le double paiement est insurmontable »</w:t>
      </w:r>
    </w:p>
    <w:p>
      <w:pPr>
        <w:pStyle w:val="FirstParagraph"/>
      </w:pPr>
      <w:r>
        <w:t xml:space="preserve">Voici l’objection pivot. Celle qui a tué Thomas 1997, Delevoye 2019, et la version structurelle de Borne 2023.</w:t>
      </w:r>
    </w:p>
    <w:p>
      <w:pPr>
        <w:pStyle w:val="BodyText"/>
      </w:pPr>
      <w:r>
        <w:t xml:space="preserve">Reconnaissons d’abord ce qui est vrai. Dans toute transition d’un système de répartition pure vers un système mixte, les actifs financent simultanément les retraités d’aujourd’hui - promesse non renégociable - et une fraction de leur propre retraite future. La charge totale est, par construction, supérieure à la charge initiale. C’est une équation arithmétique. Le débat ne porte donc pas sur l’existence du double paiement, mais sur</w:t>
      </w:r>
      <w:r>
        <w:t xml:space="preserve"> </w:t>
      </w:r>
      <w:r>
        <w:rPr>
          <w:b/>
          <w:bCs/>
        </w:rPr>
        <w:t xml:space="preserve">qui</w:t>
      </w:r>
      <w:r>
        <w:t xml:space="preserve"> </w:t>
      </w:r>
      <w:r>
        <w:t xml:space="preserve">l’absorbe, et</w:t>
      </w:r>
      <w:r>
        <w:t xml:space="preserve"> </w:t>
      </w:r>
      <w:r>
        <w:rPr>
          <w:b/>
          <w:bCs/>
        </w:rPr>
        <w:t xml:space="preserve">comment</w:t>
      </w:r>
      <w:r>
        <w:t xml:space="preserve">.</w:t>
      </w:r>
    </w:p>
    <w:p>
      <w:pPr>
        <w:pStyle w:val="BodyText"/>
      </w:pPr>
      <w:r>
        <w:rPr>
          <w:b/>
          <w:bCs/>
        </w:rPr>
        <w:t xml:space="preserve">Premier argument : aucun pays comparable n’a effectivement payé un double paiement intégral par l’impôt.</w:t>
      </w:r>
      <w:r>
        <w:t xml:space="preserve"> </w:t>
      </w:r>
      <w:r>
        <w:t xml:space="preserve">C’est le constat empirique le plus dirimant. Australie 1992 : cotisation patronale 3 → 12 %, modération salariale négociée dans l’Accord Hawke-Kelty Mark II, coût pour l’État ≈ 0</w:t>
      </w:r>
      <w:r>
        <w:rPr>
          <w:rStyle w:val="FootnoteReference"/>
        </w:rPr>
        <w:footnoteReference w:id="464"/>
      </w:r>
      <w:r>
        <w:t xml:space="preserve">. Suède 1998 : recyclage de 2,5 points sur les 18,5 % de cotisation existante vers PPM, total inchangé, pas de double paiement net</w:t>
      </w:r>
      <w:r>
        <w:rPr>
          <w:rStyle w:val="FootnoteReference"/>
        </w:rPr>
        <w:footnoteReference w:id="465"/>
      </w:r>
      <w:r>
        <w:t xml:space="preserve">.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pPr>
        <w:pStyle w:val="BodyText"/>
      </w:pPr>
      <w:r>
        <w:t xml:space="preserve">Une seule ligne fait exception : le Chili, qui a financé ses</w:t>
      </w:r>
      <w:r>
        <w:t xml:space="preserve"> </w:t>
      </w:r>
      <w:r>
        <w:rPr>
          <w:i/>
          <w:iCs/>
        </w:rPr>
        <w:t xml:space="preserve">bonos de reconocimiento</w:t>
      </w:r>
      <w:r>
        <w:t xml:space="preserve"> </w:t>
      </w:r>
      <w:r>
        <w:t xml:space="preserve">par l’impôt général à hauteur de</w:t>
      </w:r>
      <w:r>
        <w:t xml:space="preserve"> </w:t>
      </w:r>
      <w:r>
        <w:rPr>
          <w:b/>
          <w:bCs/>
        </w:rPr>
        <w:t xml:space="preserve">30 % du PIB cumulé</w:t>
      </w:r>
      <w:r>
        <w:t xml:space="preserve"> </w:t>
      </w:r>
      <w:r>
        <w:t xml:space="preserve">sur trente ans</w:t>
      </w:r>
      <w:r>
        <w:rPr>
          <w:rStyle w:val="FootnoteReference"/>
        </w:rPr>
        <w:footnoteReference w:id="466"/>
      </w:r>
      <w:r>
        <w:t xml:space="preserve">. C’est précisément ce qui en fait le contre-exemple absolu - et la raison pour laquelle le Chili a dû tout réformer en janvier 2025.</w:t>
      </w:r>
    </w:p>
    <w:p>
      <w:pPr>
        <w:pStyle w:val="BodyText"/>
      </w:pPr>
      <w:r>
        <w:rPr>
          <w:b/>
          <w:bCs/>
        </w:rPr>
        <w:t xml:space="preserve">Deuxième argument : la France dispose de six leviers, et ne demande à aucun d’absorber seul la transition.</w:t>
      </w:r>
      <w:r>
        <w:t xml:space="preserve"> </w:t>
      </w:r>
      <w:r>
        <w:t xml:space="preserve">Les six leviers ont été documentés au chapitre 5. Synthèse :</w:t>
      </w:r>
    </w:p>
    <w:tbl>
      <w:tblPr>
        <w:tblStyle w:val="Table"/>
        <w:tblW w:type="pct" w:w="4897"/>
        <w:tblLayout w:type="fixed"/>
        <w:tblLook w:firstRow="1" w:lastRow="0" w:firstColumn="0" w:lastColumn="0" w:noHBand="0" w:noVBand="0" w:val="0020"/>
      </w:tblPr>
      <w:tblGrid>
        <w:gridCol w:w="4082"/>
        <w:gridCol w:w="3674"/>
      </w:tblGrid>
      <w:tr>
        <w:trPr>
          <w:tblHeader w:val="on"/>
        </w:trPr>
        <w:tc>
          <w:tcPr/>
          <w:p>
            <w:pPr>
              <w:pStyle w:val="Compact"/>
              <w:jc w:val="left"/>
            </w:pPr>
            <w:r>
              <w:t xml:space="preserve">Levier</w:t>
            </w:r>
          </w:p>
        </w:tc>
        <w:tc>
          <w:tcPr/>
          <w:p>
            <w:pPr>
              <w:pStyle w:val="Compact"/>
              <w:jc w:val="left"/>
            </w:pPr>
            <w:r>
              <w:t xml:space="preserve">Montant mobilisable</w:t>
            </w:r>
          </w:p>
        </w:tc>
      </w:tr>
      <w:tr>
        <w:tc>
          <w:tcPr/>
          <w:p>
            <w:pPr>
              <w:pStyle w:val="Compact"/>
              <w:jc w:val="left"/>
            </w:pPr>
            <w:r>
              <w:t xml:space="preserve">FRR - dotation unique</w:t>
            </w:r>
          </w:p>
        </w:tc>
        <w:tc>
          <w:tcPr/>
          <w:p>
            <w:pPr>
              <w:pStyle w:val="Compact"/>
              <w:jc w:val="left"/>
            </w:pPr>
            <w:r>
              <w:t xml:space="preserve">20,4 Md€</w:t>
            </w:r>
            <w:r>
              <w:rPr>
                <w:rStyle w:val="FootnoteReference"/>
              </w:rPr>
              <w:footnoteReference w:id="467"/>
            </w:r>
          </w:p>
        </w:tc>
      </w:tr>
      <w:tr>
        <w:tc>
          <w:tcPr/>
          <w:p>
            <w:pPr>
              <w:pStyle w:val="Compact"/>
              <w:jc w:val="left"/>
            </w:pPr>
            <w:r>
              <w:t xml:space="preserve">Eurobonds retraite dédiés</w:t>
            </w:r>
          </w:p>
        </w:tc>
        <w:tc>
          <w:tcPr/>
          <w:p>
            <w:pPr>
              <w:pStyle w:val="Compact"/>
              <w:jc w:val="left"/>
            </w:pPr>
            <w:r>
              <w:t xml:space="preserve">50-150 Md€ amorçage, ~2 Md€/an d’intérêts</w:t>
            </w:r>
          </w:p>
        </w:tc>
      </w:tr>
      <w:tr>
        <w:tc>
          <w:tcPr/>
          <w:p>
            <w:pPr>
              <w:pStyle w:val="Compact"/>
              <w:jc w:val="left"/>
            </w:pPr>
            <w:r>
              <w:t xml:space="preserve">CSG (1 point)</w:t>
            </w:r>
          </w:p>
        </w:tc>
        <w:tc>
          <w:tcPr/>
          <w:p>
            <w:pPr>
              <w:pStyle w:val="Compact"/>
              <w:jc w:val="left"/>
            </w:pPr>
            <w:r>
              <w:t xml:space="preserve">16-17 Md€/an pérenne</w:t>
            </w:r>
          </w:p>
        </w:tc>
      </w:tr>
      <w:tr>
        <w:tc>
          <w:tcPr/>
          <w:p>
            <w:pPr>
              <w:pStyle w:val="Compact"/>
              <w:jc w:val="left"/>
            </w:pPr>
            <w:r>
              <w:t xml:space="preserve">Redéploiement AGIRC-ARRCO (1 point)</w:t>
            </w:r>
          </w:p>
        </w:tc>
        <w:tc>
          <w:tcPr/>
          <w:p>
            <w:pPr>
              <w:pStyle w:val="Compact"/>
              <w:jc w:val="left"/>
            </w:pPr>
            <w:r>
              <w:t xml:space="preserve">8-10 Md€/an</w:t>
            </w:r>
          </w:p>
        </w:tc>
      </w:tr>
      <w:tr>
        <w:tc>
          <w:tcPr/>
          <w:p>
            <w:pPr>
              <w:pStyle w:val="Compact"/>
              <w:jc w:val="left"/>
            </w:pPr>
            <w:r>
              <w:t xml:space="preserve">Cotisation patronale nouvelle (2 points)</w:t>
            </w:r>
          </w:p>
        </w:tc>
        <w:tc>
          <w:tcPr/>
          <w:p>
            <w:pPr>
              <w:pStyle w:val="Compact"/>
              <w:jc w:val="left"/>
            </w:pPr>
            <w:r>
              <w:t xml:space="preserve">~22 Md€/an</w:t>
            </w:r>
            <w:r>
              <w:rPr>
                <w:rStyle w:val="FootnoteReference"/>
              </w:rPr>
              <w:footnoteReference w:id="468"/>
            </w:r>
          </w:p>
        </w:tc>
      </w:tr>
      <w:tr>
        <w:tc>
          <w:tcPr/>
          <w:p>
            <w:pPr>
              <w:pStyle w:val="Compact"/>
              <w:jc w:val="left"/>
            </w:pPr>
            <w:r>
              <w:t xml:space="preserve">Sous-indexation pensions (-1 pt sous inflation)</w:t>
            </w:r>
          </w:p>
        </w:tc>
        <w:tc>
          <w:tcPr/>
          <w:p>
            <w:pPr>
              <w:pStyle w:val="Compact"/>
              <w:jc w:val="left"/>
            </w:pPr>
            <w:r>
              <w:t xml:space="preserve">~1,4 Md€/an d’économie</w:t>
            </w:r>
          </w:p>
        </w:tc>
      </w:tr>
    </w:tbl>
    <w:p>
      <w:pPr>
        <w:pStyle w:val="BodyText"/>
      </w:pPr>
      <w:r>
        <w:t xml:space="preserve">Aucun, pris isolément, ne ferme l’équation. C’est précisément le sens du tableau. Combinaison réaliste pour la France :</w:t>
      </w:r>
      <w:r>
        <w:t xml:space="preserve"> </w:t>
      </w:r>
      <w:r>
        <w:rPr>
          <w:b/>
          <w:bCs/>
        </w:rPr>
        <w:t xml:space="preserve">FRR + cotisation patronale 2 % + eurobonds limités</w:t>
      </w:r>
      <w:r>
        <w:t xml:space="preserve">. Total ≈ 22 Md€/an de flux pérennes plus deux dotations en capital. Charge nette pour l’État ≈</w:t>
      </w:r>
      <w:r>
        <w:t xml:space="preserve"> </w:t>
      </w:r>
      <w:r>
        <w:rPr>
          <w:b/>
          <w:bCs/>
        </w:rPr>
        <w:t xml:space="preserve">3 à 4 Md€/an, soit 0,1 % du PIB</w:t>
      </w:r>
      <w:r>
        <w:t xml:space="preserve">. Le détail des douze propositions qui précèdent.</w:t>
      </w:r>
    </w:p>
    <w:p>
      <w:pPr>
        <w:pStyle w:val="BodyText"/>
      </w:pPr>
      <w:r>
        <w:rPr>
          <w:b/>
          <w:bCs/>
        </w:rPr>
        <w:t xml:space="preserve">Troisième argument : le coût de l’inaction est dix fois supérieur.</w:t>
      </w:r>
      <w:r>
        <w:t xml:space="preserve"> </w:t>
      </w:r>
      <w:r>
        <w:t xml:space="preserve">Le COR projette un déficit du système de</w:t>
      </w:r>
      <w:r>
        <w:t xml:space="preserve"> </w:t>
      </w:r>
      <w:r>
        <w:rPr>
          <w:b/>
          <w:bCs/>
        </w:rPr>
        <w:t xml:space="preserve">45 Md€/an en 2070</w:t>
      </w:r>
      <w:r>
        <w:t xml:space="preserve">, soit −1,4 % du PIB</w:t>
      </w:r>
      <w:r>
        <w:rPr>
          <w:rStyle w:val="FootnoteReference"/>
        </w:rPr>
        <w:footnoteReference w:id="469"/>
      </w:r>
      <w:r>
        <w:t xml:space="preserve">. La Commission européenne évalue le passif implicite français à</w:t>
      </w:r>
      <w:r>
        <w:t xml:space="preserve"> </w:t>
      </w:r>
      <w:r>
        <w:rPr>
          <w:b/>
          <w:bCs/>
        </w:rPr>
        <w:t xml:space="preserve">417 % du PIB</w:t>
      </w:r>
      <w:r>
        <w:rPr>
          <w:rStyle w:val="FootnoteReference"/>
        </w:rPr>
        <w:footnoteReference w:id="470"/>
      </w:r>
      <w:r>
        <w:t xml:space="preserve">. Le coût de la transition à l’horizon 2052, dans le scénario D du chapitre 5, est de ~88 Md€ cumulés. Le coût de l’inaction sur le même horizon, rien qu’en soldes COR projetés linéairement : au minimum</w:t>
      </w:r>
      <w:r>
        <w:t xml:space="preserve"> </w:t>
      </w:r>
      <w:r>
        <w:rPr>
          <w:b/>
          <w:bCs/>
        </w:rPr>
        <w:t xml:space="preserve">800 Md€ cumulés</w:t>
      </w:r>
      <w:r>
        <w:t xml:space="preserve">. Dix fois plus. L’argument du double paiement, retourné, devient : le double paiement de l’inaction sera, à coup sûr, plusieurs fois plus lourd que celui de la transition.</w:t>
      </w:r>
    </w:p>
    <w:p>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 c’est-à-dire, sans réforme,</w:t>
      </w:r>
      <w:r>
        <w:t xml:space="preserve"> </w:t>
      </w:r>
      <w:r>
        <w:rPr>
          <w:i/>
          <w:iCs/>
        </w:rPr>
        <w:t xml:space="preserve">toutes</w:t>
      </w:r>
      <w:r>
        <w:t xml:space="preserve"> </w:t>
      </w:r>
      <w:r>
        <w:t xml:space="preserve">les cohortes nées après 1985.</w:t>
      </w:r>
    </w:p>
    <w:p>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w:t>
      </w:r>
      <w:r>
        <w:t xml:space="preserve"> </w:t>
      </w:r>
      <w:r>
        <w:rPr>
          <w:i/>
          <w:iCs/>
        </w:rPr>
        <w:t xml:space="preserve">politique</w:t>
      </w:r>
      <w:r>
        <w:t xml:space="preserve">.</w:t>
      </w:r>
    </w:p>
    <w:bookmarkEnd w:id="471"/>
    <w:bookmarkStart w:id="473" w:name="Xea5653001ae243f3ea14c0ae28285fcc13f05a2"/>
    <w:p>
      <w:pPr>
        <w:pStyle w:val="Heading2"/>
      </w:pPr>
      <w:r>
        <w:t xml:space="preserve">Q.5 - « On a déjà essayé : le PER, ça ne marche pas »</w:t>
      </w:r>
    </w:p>
    <w:p>
      <w:pPr>
        <w:pStyle w:val="FirstParagraph"/>
      </w:pPr>
      <w:r>
        <w:t xml:space="preserve">L’argument utilise un échec partiel pour disqualifier un projet plus large. Comme si l’on disait :</w:t>
      </w:r>
      <w:r>
        <w:t xml:space="preserve"> </w:t>
      </w:r>
      <w:r>
        <w:rPr>
          <w:i/>
          <w:iCs/>
        </w:rPr>
        <w:t xml:space="preserve">« la voiture électrique, ça ne marche pas</w:t>
      </w:r>
      <w:r>
        <w:t xml:space="preserve"> </w:t>
      </w:r>
      <w:r>
        <w:rPr>
          <w:i/>
          <w:iCs/>
        </w:rPr>
        <w:t xml:space="preserve">- regardez la Citroën C-Zéro »</w:t>
      </w:r>
      <w:r>
        <w:t xml:space="preserve">.</w:t>
      </w:r>
    </w:p>
    <w:p>
      <w:pPr>
        <w:pStyle w:val="BodyText"/>
      </w:pPr>
      <w:r>
        <w:rPr>
          <w:b/>
          <w:bCs/>
        </w:rPr>
        <w:t xml:space="preserve">Premier argument : le PER n’est pas un fonds de pension, c’est un compte d’épargne fiscal.</w:t>
      </w:r>
      <w:r>
        <w:t xml:space="preserve"> </w:t>
      </w:r>
      <w:r>
        <w:t xml:space="preserve">Créé par la loi PACTE de mai 2019, il compte 11,2 millions de souscripteurs et 118,9 Md€ d’encours fin T3 2024, soit</w:t>
      </w:r>
      <w:r>
        <w:t xml:space="preserve"> </w:t>
      </w:r>
      <w:r>
        <w:rPr>
          <w:b/>
          <w:bCs/>
        </w:rPr>
        <w:t xml:space="preserve">10 600 euros par titulaire</w:t>
      </w:r>
      <w:r>
        <w:t xml:space="preserve"> </w:t>
      </w:r>
      <w:r>
        <w:t xml:space="preserve">- résiduel à l’échelle d’une carrière</w:t>
      </w:r>
      <w:r>
        <w:rPr>
          <w:rStyle w:val="FootnoteReference"/>
        </w:rPr>
        <w:footnoteReference w:id="472"/>
      </w:r>
      <w:r>
        <w:t xml:space="preserve">. À titre de comparaison, un ménage australien à 50 ans détient plus de 150 000 AUD dans son fonds de pension obligatoire. Le PER est l’équivalent du</w:t>
      </w:r>
      <w:r>
        <w:t xml:space="preserve"> </w:t>
      </w:r>
      <w:r>
        <w:rPr>
          <w:i/>
          <w:iCs/>
        </w:rPr>
        <w:t xml:space="preserve">Roth IRA</w:t>
      </w:r>
      <w:r>
        <w:t xml:space="preserve"> </w:t>
      </w:r>
      <w:r>
        <w:t xml:space="preserve">américain ou du</w:t>
      </w:r>
      <w:r>
        <w:t xml:space="preserve"> </w:t>
      </w:r>
      <w:r>
        <w:rPr>
          <w:i/>
          <w:iCs/>
        </w:rPr>
        <w:t xml:space="preserve">SIPP</w:t>
      </w:r>
      <w:r>
        <w:t xml:space="preserve"> </w:t>
      </w:r>
      <w:r>
        <w:t xml:space="preserve">britannique. Ce n’est</w:t>
      </w:r>
      <w:r>
        <w:t xml:space="preserve"> </w:t>
      </w:r>
      <w:r>
        <w:rPr>
          <w:i/>
          <w:iCs/>
        </w:rPr>
        <w:t xml:space="preserve">pas</w:t>
      </w:r>
      <w:r>
        <w:t xml:space="preserve"> </w:t>
      </w:r>
      <w:r>
        <w:t xml:space="preserve">l’équivalent du NEST, de l’ABP, d’AustralianSuper.</w:t>
      </w:r>
    </w:p>
    <w:p>
      <w:pPr>
        <w:pStyle w:val="BodyText"/>
      </w:pPr>
      <w:r>
        <w:rPr>
          <w:b/>
          <w:bCs/>
        </w:rPr>
        <w:t xml:space="preserve">Deuxième argument : volontaire versus obligatoire, et les conséquences statistiques qui en découlent.</w:t>
      </w:r>
      <w:r>
        <w:t xml:space="preserve"> </w:t>
      </w:r>
      <w:r>
        <w:t xml:space="preserve">Un produit volontaire ne touche que les déjà-épargnants, qui sont les déciles supérieurs de revenu. Un produit obligatoire - ou en auto-enrolment avec opt-out - couvre tout le monde : 80 à 92 % de taux de participation observés. Cette différence n’est pas quantitative. Elle est qualitative.</w:t>
      </w:r>
    </w:p>
    <w:p>
      <w:pPr>
        <w:pStyle w:val="BodyText"/>
      </w:pPr>
      <w:r>
        <w:rPr>
          <w:b/>
          <w:bCs/>
        </w:rPr>
        <w:t xml:space="preserve">Troisième argument : la gouvernance et les frais.</w:t>
      </w:r>
      <w:r>
        <w:t xml:space="preserve"> </w:t>
      </w:r>
      <w:r>
        <w:t xml:space="preserve">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w:t>
      </w:r>
      <w:r>
        <w:t xml:space="preserve"> </w:t>
      </w:r>
      <w:r>
        <w:rPr>
          <w:i/>
          <w:iCs/>
        </w:rPr>
        <w:t xml:space="preserve">infrastructure</w:t>
      </w:r>
      <w:r>
        <w:t xml:space="preserve">.</w:t>
      </w:r>
    </w:p>
    <w:p>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 capitalisation obligatoire, paritaire, fléchée, gouvernée - reste intégralement à inventer.</w:t>
      </w:r>
    </w:p>
    <w:bookmarkEnd w:id="473"/>
    <w:bookmarkStart w:id="475" w:name="X70dce6f23b63ba2f04911b73f881d8548bc20d4"/>
    <w:p>
      <w:pPr>
        <w:pStyle w:val="Heading2"/>
      </w:pPr>
      <w:r>
        <w:t xml:space="preserve">Q.6 - « La France n’a pas la culture financière »</w:t>
      </w:r>
    </w:p>
    <w:p>
      <w:pPr>
        <w:pStyle w:val="FirstParagraph"/>
      </w:pPr>
      <w:r>
        <w:t xml:space="preserve">C’est la plus défaitiste des objections. Elle reconnaît implicitement les vertus du système qu’elle refuse, et se replie sur une excuse sociologique.</w:t>
      </w:r>
    </w:p>
    <w:p>
      <w:pPr>
        <w:pStyle w:val="BodyText"/>
      </w:pPr>
      <w:r>
        <w:rPr>
          <w:b/>
          <w:bCs/>
        </w:rPr>
        <w:t xml:space="preserve">Premier argument : la culture financière française a été</w:t>
      </w:r>
      <w:r>
        <w:rPr>
          <w:b/>
          <w:bCs/>
        </w:rPr>
        <w:t xml:space="preserve"> </w:t>
      </w:r>
      <w:r>
        <w:rPr>
          <w:b/>
          <w:bCs/>
          <w:i/>
          <w:iCs/>
        </w:rPr>
        <w:t xml:space="preserve">retirée</w:t>
      </w:r>
      <w:r>
        <w:rPr>
          <w:b/>
          <w:bCs/>
        </w:rPr>
        <w:t xml:space="preserve">, pas absente.</w:t>
      </w:r>
      <w:r>
        <w:t xml:space="preserve"> </w:t>
      </w:r>
      <w:r>
        <w:t xml:space="preserve">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w:t>
      </w:r>
      <w:r>
        <w:t xml:space="preserve"> </w:t>
      </w:r>
      <w:r>
        <w:rPr>
          <w:i/>
          <w:iCs/>
        </w:rPr>
        <w:t xml:space="preserve">remplacé</w:t>
      </w:r>
      <w:r>
        <w:t xml:space="preserve"> </w:t>
      </w:r>
      <w:r>
        <w:t xml:space="preserve">l’épargne individuelle par la solidarité contributive. Quatre-vingt-un ans plus tard, on s’étonne qu’elle ait moins l’habitude d’investir.</w:t>
      </w:r>
    </w:p>
    <w:p>
      <w:pPr>
        <w:pStyle w:val="BodyText"/>
      </w:pPr>
      <w:r>
        <w:rPr>
          <w:b/>
          <w:bCs/>
        </w:rPr>
        <w:t xml:space="preserve">Deuxième argument : la Suède de 1990 ressemblait à la France de 1990.</w:t>
      </w:r>
      <w:r>
        <w:t xml:space="preserve"> </w:t>
      </w:r>
      <w:r>
        <w:t xml:space="preserve">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w:t>
      </w:r>
      <w:r>
        <w:t xml:space="preserve"> </w:t>
      </w:r>
      <w:r>
        <w:rPr>
          <w:i/>
          <w:iCs/>
        </w:rPr>
        <w:t xml:space="preserve">fabriqué</w:t>
      </w:r>
      <w:r>
        <w:t xml:space="preserve"> </w:t>
      </w:r>
      <w:r>
        <w:t xml:space="preserve">une culture financière qui n’existait pas. La culture n’a pas précédé l’instrument ; elle l’a suivi. Et le PEA français suit la même trajectoire : 1,8 million de titulaires en 1995, plus de 7 millions aujourd’hui</w:t>
      </w:r>
      <w:r>
        <w:rPr>
          <w:rStyle w:val="FootnoteReference"/>
        </w:rPr>
        <w:footnoteReference w:id="474"/>
      </w:r>
      <w:r>
        <w:t xml:space="preserve"> </w:t>
      </w:r>
      <w:r>
        <w:t xml:space="preserve">- 12,5 % des ménages détiennent désormais des actions en direct, contre 6,9 % en 2020.</w:t>
      </w:r>
    </w:p>
    <w:p>
      <w:pPr>
        <w:pStyle w:val="BodyText"/>
      </w:pPr>
      <w:r>
        <w:rPr>
          <w:b/>
          <w:bCs/>
        </w:rPr>
        <w:t xml:space="preserve">Troisième argument : la capitalisation moderne ne demande aucune culture financière.</w:t>
      </w:r>
      <w:r>
        <w:t xml:space="preserve"> </w:t>
      </w:r>
      <w:r>
        <w:t xml:space="preserve">Personne, en Suède, n’est savant. Personne, en Australie, ne l’est. Tous bénéficient d’un fonds par défaut bien conçu - AP7 Såfa, MySuper, NEST - qui gère pour eux, avec glide path automatique, frais ultra-bas et transparence radicale. La culture requise est</w:t>
      </w:r>
      <w:r>
        <w:t xml:space="preserve"> </w:t>
      </w:r>
      <w:r>
        <w:rPr>
          <w:i/>
          <w:iCs/>
        </w:rPr>
        <w:t xml:space="preserve">nulle</w:t>
      </w:r>
      <w:r>
        <w:t xml:space="preserve">. Il suffit de ne pas opt-outer. C’est l’inverse du PER, qui exige de chaque épargnant qu’il choisisse parmi des dizaines de supports et qu’il comprenne la fiscalité.</w:t>
      </w:r>
      <w:r>
        <w:t xml:space="preserve"> </w:t>
      </w:r>
      <w:r>
        <w:rPr>
          <w:i/>
          <w:iCs/>
        </w:rPr>
        <w:t xml:space="preserve">Ça</w:t>
      </w:r>
      <w:r>
        <w:t xml:space="preserve">, c’est culturellement exigeant. Un fonds par défaut, non.</w:t>
      </w:r>
    </w:p>
    <w:p>
      <w:pPr>
        <w:pStyle w:val="BodyText"/>
      </w:pPr>
      <w:r>
        <w:t xml:space="preserve">L’argument se retourne en miroir.</w:t>
      </w:r>
      <w:r>
        <w:t xml:space="preserve"> </w:t>
      </w:r>
      <w:r>
        <w:rPr>
          <w:i/>
          <w:iCs/>
        </w:rPr>
        <w:t xml:space="preserve">On ne peut pas demander aux Français de gérer leur retraite eux-mêmes.</w:t>
      </w:r>
      <w:r>
        <w:t xml:space="preserve"> </w:t>
      </w:r>
      <w:r>
        <w:t xml:space="preserve">Exact. C’est précisément pourquoi il faut un fonds par défaut public, transparent et bien géré, qui le fasse à leur place. C’est l’architecture qui fait le travail. Pas la culture.</w:t>
      </w:r>
    </w:p>
    <w:bookmarkEnd w:id="475"/>
    <w:bookmarkStart w:id="476" w:name="conclusion-la-fenêtre-est-ouverte"/>
    <w:p>
      <w:pPr>
        <w:pStyle w:val="Heading2"/>
      </w:pPr>
      <w:r>
        <w:t xml:space="preserve">Conclusion : la fenêtre est ouverte</w:t>
      </w:r>
    </w:p>
    <w:p>
      <w:pPr>
        <w:pStyle w:val="FirstParagraph"/>
      </w:pPr>
      <w:r>
        <w:t xml:space="preserve">Six objections, six réponses. Et, au-delà des six, un livre entier qui tient en quelques phrases.</w:t>
      </w:r>
    </w:p>
    <w:p>
      <w:pPr>
        <w:pStyle w:val="BodyText"/>
      </w:pPr>
      <w:r>
        <w:t xml:space="preserve">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pPr>
        <w:pStyle w:val="BodyText"/>
      </w:pPr>
      <w:r>
        <w:t xml:space="preserve">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pPr>
        <w:pStyle w:val="BodyText"/>
      </w:pPr>
      <w:r>
        <w:t xml:space="preserve">Ce n’est pas qu’un sujet de pension. La même infrastructure qui sécurise les retraites finance les entreprises françaises, les sièges sociaux, les ETI, les scale-up. Le capital absent - les six mille milliards qui dorment dans les livrets et les fonds en euros - est précisément ce qui manque pour empêcher la vague de transmissions 2025-2035 de partir intégralement aux fonds étrangers. Le même capital, deux problèmes, une réponse unique. C’est l’argument du chapitre 3.</w:t>
      </w:r>
    </w:p>
    <w:p>
      <w:pPr>
        <w:pStyle w:val="BodyText"/>
      </w:pPr>
      <w:r>
        <w:t xml:space="preserve">Les autres l’ont fait. Quatre cas - Suède, Australie, Singapour, Chili - quatre architectures différentes, quatre époques, et un même verdict : un pilier capitalisé bien construit est compatible avec la social-démocratie, avec le pragmatisme syndical, avec la continuité asiatique, et l’absence de l’un des quatre invariants - cotisation patronale, plancher universel, fonds par défaut, pacte transpartisan - produit un échec. C’est ce qu’a posé le chapitre 4.</w:t>
      </w:r>
    </w:p>
    <w:p>
      <w:pPr>
        <w:pStyle w:val="BodyText"/>
      </w:pPr>
      <w:r>
        <w:t xml:space="preserve">La transition est possible en vingt-cinq ans. Quatre scénarios crédibles, modélisés et chiffrés. Le scénario D, hybride Canada-Australie, produit 2 744 milliards d’euros d’encours en 2052, soit 69 % du PIB français - comparable à la position du Royaume-Uni aujourd’hui. Coût budgétaire pour l’État : environ 3,5 milliards d’euros par an. Coût comparé de l’inaction : dix fois plus, voire davantage. C’est ce qu’a démontré le chapitre 5.</w:t>
      </w:r>
    </w:p>
    <w:p>
      <w:pPr>
        <w:pStyle w:val="BodyText"/>
      </w:pPr>
      <w:r>
        <w:t xml:space="preserve">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w:t>
      </w:r>
      <w:r>
        <w:t xml:space="preserve"> </w:t>
      </w:r>
      <w:r>
        <w:rPr>
          <w:i/>
          <w:iCs/>
        </w:rPr>
        <w:t xml:space="preserve">plus</w:t>
      </w:r>
      <w:r>
        <w:t xml:space="preserve"> </w:t>
      </w:r>
      <w:r>
        <w:t xml:space="preserve">sociale, pas moins, que le système actuel -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pPr>
        <w:pStyle w:val="BodyText"/>
      </w:pPr>
      <w:r>
        <w:t xml:space="preserve">Tout le travail théorique du livre est, ici, achevé. La fenêtre ouverte par la présidentielle de 2027 ne se rouvrira pas avant 2032 -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pPr>
        <w:pStyle w:val="BodyText"/>
      </w:pPr>
      <w:r>
        <w:t xml:space="preserve">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pPr>
        <w:pStyle w:val="BodyText"/>
      </w:pPr>
      <w:r>
        <w:t xml:space="preserve">Reste à savoir si la prochaine en aura le courage.</w:t>
      </w:r>
    </w:p>
    <w:p>
      <w:pPr>
        <w:pStyle w:val="BodyText"/>
      </w:pPr>
      <w:r>
        <w:rPr>
          <w:i/>
          <w:iCs/>
        </w:rPr>
        <w:t xml:space="preserve">La fenêtre, comme on l’a vu, n’est pas grande. Mais elle est ouverte. La refermer serait, cette fois, en pleine conscience.</w:t>
      </w:r>
    </w:p>
    <w:bookmarkEnd w:id="476"/>
    <w:bookmarkEnd w:id="4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Ministère de l’Économie, des Finances et de la Souveraineté industrielle et numérique, communiqué « L’État obtient les garanties du maintien et du développement d’Opella en France », 21 octobre 2024 (</w:t>
      </w:r>
      <w:hyperlink r:id="rId10">
        <w:r>
          <w:rPr>
            <w:rStyle w:val="Hyperlink"/>
          </w:rPr>
          <w:t xml:space="preserve">https://presse.economie.gouv.fr/letat-obtient-les-garanties-du-maintien-et-du-developpement-dopella-en-france/</w:t>
        </w:r>
      </w:hyperlink>
      <w:r>
        <w:t xml:space="preserve">). Accord tripartite Sanofi-CD&amp;R-État : engagement d’investissement de 70 M€ cumulés sur cinq ans, maintien des volumes minimaux de production en France pour le Doliprane, le Lanzor et l’Aspegic, entrée de Bpifrance au capital à hauteur de 1,8 % avec un siège au conseil d’administration assorti d’un droit de vote.</w:t>
      </w:r>
    </w:p>
  </w:footnote>
  <w:footnote w:id="11">
    <w:p>
      <w:pPr>
        <w:pStyle w:val="FootnoteText"/>
      </w:pPr>
      <w:r>
        <w:rPr>
          <w:rStyle w:val="FootnoteReference"/>
        </w:rPr>
        <w:footnoteRef/>
      </w:r>
      <w:r>
        <w:t xml:space="preserve"> </w:t>
      </w:r>
      <w:r>
        <w:t xml:space="preserve">Ardian,</w:t>
      </w:r>
      <w:r>
        <w:t xml:space="preserve"> </w:t>
      </w:r>
      <w:r>
        <w:rPr>
          <w:i/>
          <w:iCs/>
        </w:rPr>
        <w:t xml:space="preserve">Annual Report 2024</w:t>
      </w:r>
      <w:r>
        <w:t xml:space="preserve">, 2025. À fin 2024, Ardian gérait environ 176 milliards de dollars d’actifs. À titre de comparaison, le seul fonds de pension néerlandais ABP — qui gère les retraites des fonctionnaires des Pays-Bas — administrait environ 533 milliards d’euros au 30 septembre 2024, soit près de trois fois l'encours d'Ardian. Voir Stichting Pensioenfonds ABP, Jaarverslag 2024, 2025 (https://www.abp.nl/over-abp/jaarverslag).</w:t>
      </w:r>
    </w:p>
  </w:footnote>
  <w:footnote w:id="12">
    <w:p>
      <w:pPr>
        <w:pStyle w:val="FootnoteText"/>
      </w:pPr>
      <w:r>
        <w:rPr>
          <w:rStyle w:val="FootnoteReference"/>
        </w:rPr>
        <w:footnoteRef/>
      </w:r>
      <w:r>
        <w:t xml:space="preserve"> </w:t>
      </w:r>
      <w:r>
        <w:t xml:space="preserve">CalPERS (California Public Employees’ Retirement System),</w:t>
      </w:r>
      <w:r>
        <w:t xml:space="preserve"> </w:t>
      </w:r>
      <w:r>
        <w:rPr>
          <w:i/>
          <w:iCs/>
        </w:rPr>
        <w:t xml:space="preserve">Portfolio Partnership Report</w:t>
      </w:r>
      <w:r>
        <w:t xml:space="preserve">, fin 2024 (</w:t>
      </w:r>
      <w:hyperlink r:id="rId13">
        <w:r>
          <w:rPr>
            <w:rStyle w:val="Hyperlink"/>
          </w:rPr>
          <w:t xml:space="preserve">https://www.calpers.ca.gov/documents/calpers-portfolio-partnership-report-as-of-december-31-2024/download?inline=</w:t>
        </w:r>
      </w:hyperlink>
      <w:r>
        <w:t xml:space="preserve">). CalPERS, premier fonds public de pension des États-Unis avec plus de 500 milliards de dollars d’actifs, s’est engagé à hauteur de 500 millions de dollars comme</w:t>
      </w:r>
      <w:r>
        <w:t xml:space="preserve"> </w:t>
      </w:r>
      <w:r>
        <w:rPr>
          <w:i/>
          <w:iCs/>
        </w:rPr>
        <w:t xml:space="preserve">anchor investor</w:t>
      </w:r>
      <w:r>
        <w:t xml:space="preserve"> </w:t>
      </w:r>
      <w:r>
        <w:t xml:space="preserve">dans Clayton, Dubilier &amp; Rice Fund XI L.P. (commitment 2023). La firme CD&amp;R, fondée en 1978, est basée 375 Park Avenue, New York ; son fonds XI a clôturé sa levée en 2024 à plus de 12 milliards de dollars (</w:t>
      </w:r>
      <w:hyperlink r:id="rId14">
        <w:r>
          <w:rPr>
            <w:rStyle w:val="Hyperlink"/>
          </w:rPr>
          <w:t xml:space="preserve">https://www.cdr-inc.com/firm-profile</w:t>
        </w:r>
      </w:hyperlink>
      <w:r>
        <w:t xml:space="preserve">).</w:t>
      </w:r>
    </w:p>
  </w:footnote>
  <w:footnote w:id="15">
    <w:p>
      <w:pPr>
        <w:pStyle w:val="FootnoteText"/>
      </w:pPr>
      <w:r>
        <w:rPr>
          <w:rStyle w:val="FootnoteReference"/>
        </w:rPr>
        <w:footnoteRef/>
      </w:r>
      <w:r>
        <w:t xml:space="preserve"> </w:t>
      </w:r>
      <w:r>
        <w:t xml:space="preserve">Confédération Générale du Travail, La capitalisation : le rêve de la finance, communication 13 mars 2025 (https://www.cgt.fr/actualites/france/retraites/la-capitalisation-le-reve-de-la-finance) — illustration récente d'une position constante de la CGT contre la capitalisation depuis les années 1990.</w:t>
      </w:r>
    </w:p>
  </w:footnote>
  <w:footnote w:id="16">
    <w:p>
      <w:pPr>
        <w:pStyle w:val="FootnoteText"/>
      </w:pPr>
      <w:r>
        <w:rPr>
          <w:rStyle w:val="FootnoteReference"/>
        </w:rPr>
        <w:footnoteRef/>
      </w:r>
      <w:r>
        <w:t xml:space="preserve"> </w:t>
      </w:r>
      <w:r>
        <w:t xml:space="preserve">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par l’article 11 de la loi n° 2002-73 du 17 janvier 2002 de modernisation sociale. Pour un historique détaillé : Charles Descours, Rapport sur la proposition de loi épargne retraite (fonds de pension), Sénat, commission des affaires sociales, rapport n° 8 (1999-2000), 7 octobre 1999 (https://www.senat.fr/rap/l99-008/l99-0085.html).</w:t>
      </w:r>
    </w:p>
  </w:footnote>
  <w:footnote w:id="17">
    <w:p>
      <w:pPr>
        <w:pStyle w:val="FootnoteText"/>
      </w:pPr>
      <w:r>
        <w:rPr>
          <w:rStyle w:val="FootnoteReference"/>
        </w:rPr>
        <w:footnoteRef/>
      </w:r>
      <w:r>
        <w:t xml:space="preserve"> </w:t>
      </w:r>
      <w:r>
        <w:t xml:space="preserve">Sénat, question écrite n° 03449 (24 novembre 2022), Achat de la société industrielle française Exxelia par l'entreprise américaine Heico (https://www.senat.fr/questions/base/2022/qSEQ221003449.html) ; voir également le communiqué Heico, HEICO to Acquire Exxelia (https://passive-components.eu/heico-to-acquire-exxelia/). Acquisition de ~94 % du capital pour 453 M€ cash + reprise d'environ 14 M€ de passif, annoncée le 28 juillet 2022 et finalisée début 2023. Exxelia est un fabricant français de composants électroniques spécialisés (condensateurs, relais militaires) fournissant la défense (sous-marins Barracuda, Rafale, lanceurs Ariane 5 et 6, A320neo, Falcon).</w:t>
      </w:r>
    </w:p>
  </w:footnote>
  <w:footnote w:id="18">
    <w:p>
      <w:pPr>
        <w:pStyle w:val="FootnoteText"/>
      </w:pPr>
      <w:r>
        <w:rPr>
          <w:rStyle w:val="FootnoteReference"/>
        </w:rPr>
        <w:footnoteRef/>
      </w:r>
      <w:r>
        <w:t xml:space="preserve"> </w:t>
      </w:r>
      <w:r>
        <w:t xml:space="preserve">ICI Limousin (France Bleu / Radio France), Brive : Photonis est finalement racheté par un fonds 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 capital — a été orchestré par Bercy après le veto à la cession à l'américain Teledyne (offre ~550 M$).</w:t>
      </w:r>
    </w:p>
  </w:footnote>
  <w:footnote w:id="19">
    <w:p>
      <w:pPr>
        <w:pStyle w:val="FootnoteText"/>
      </w:pPr>
      <w:r>
        <w:rPr>
          <w:rStyle w:val="FootnoteReference"/>
        </w:rPr>
        <w:footnoteRef/>
      </w:r>
      <w:r>
        <w:t xml:space="preserve"> </w:t>
      </w:r>
      <w:r>
        <w:rPr>
          <w:i/>
          <w:iCs/>
        </w:rPr>
        <w:t xml:space="preserve">Usine Nouvelle, La production du moteur d'Ariane 6 transférée de la France à l'Allemagne, 2021 (https://www.usinenouvelle.com/article/la-production-du-moteur-d-ariane-6-transferee-de-la-france-a-l-allemagne.N1143627). Le transfert concerne l'intégration et les essais de réception du moteur Vinci (étage supérieur), du site ArianeGroup de Vernon vers le centre DLR de Lampoldshausen. Premières évocations dans la presse en 2021 ; confirmation officielle par communiqué conjoint ArianeGroup-DLR le 24 octobre 2025 (jusqu’à 12 moteurs Vinci par an assemblés et testés à Lampoldshausen, livrés à Brême pour intégration sur Ariane 6). Le développement et les turbopompes à oxygène liquide (Vinci et Vulcain 2.1) restent à Vernon.</w:t>
      </w:r>
    </w:p>
  </w:footnote>
  <w:footnote w:id="20">
    <w:p>
      <w:pPr>
        <w:pStyle w:val="FootnoteText"/>
      </w:pPr>
      <w:r>
        <w:rPr>
          <w:rStyle w:val="FootnoteReference"/>
        </w:rPr>
        <w:footnoteRef/>
      </w:r>
      <w:r>
        <w:t xml:space="preserve"> </w:t>
      </w:r>
      <w:r>
        <w:t xml:space="preserve">OCDE, Pension Markets in Focus 2025 — Preliminary 2024 Data, juin 2025 (https://www.oecd.org/en/publications/pension-markets-in-focus-2025_b095d0a0-en.html). Encours des fonds de pension et contrats d'assurance retraite, en pourcentage du PIB, fin 2024 : Danemark 204,0 %, Islande 188,4 %, Suisse 164,8 %, Canada 157,6 %, Pays-Bas 150,3 %, États-Unis 146,9 %, Australie 135,1 %, Suède 114,8 %, Royaume-Uni 78,0 %, France 12,9 %, Italie 11,7 %, Allemagne 6,4 %. L'OCDE précise : « data coverall asset-backed pension arrangements in all vehicles, excluding reserves of public pension arrangements(pay-as-you-go) ». Pour la Norvège, le ratio dépasse 280 % du PIB une fois inclus le Government Pension Fund Global (1 700 Md$ fin 2024), techniquement fonds souverain mais explicitement dédié au financement futur des pensions ; voir Norges Bank Investment Management, Government Pension Fund Global — Annual Report 2024, 2025 (https://www.nbim.no). Précision pour la France : le chiffre OCDE additionne tous les véhicules d'épargne retraite individuelle (Plans d'épargne retraite, anciens contrats Madelin, Article 83,</w:t>
      </w:r>
    </w:p>
    <w:p>
      <w:pPr>
        <w:pStyle w:val="FootnoteText"/>
      </w:pPr>
      <w:r>
        <w:t xml:space="preserve">▎ PERP, PERCO), soit environ 380 milliards d'euros fin 2024. Il exclut les réserves techniques des régimes</w:t>
      </w:r>
    </w:p>
    <w:p>
      <w:pPr>
        <w:pStyle w:val="FootnoteText"/>
      </w:pPr>
      <w:r>
        <w:t xml:space="preserve">▎ par répartition AGIRC-ARRCO (86 Md€) et du Fonds de réserve des retraites (21 Md€), qui ne constituent pas</w:t>
      </w:r>
    </w:p>
    <w:p>
      <w:pPr>
        <w:pStyle w:val="FootnoteText"/>
      </w:pPr>
      <w:r>
        <w:t xml:space="preserve">▎ du capital investi mais des matelas de trésorerie d'un système qui demeure de pure répartition. La</w:t>
      </w:r>
    </w:p>
    <w:p>
      <w:pPr>
        <w:pStyle w:val="FootnoteText"/>
      </w:pPr>
      <w:r>
        <w:t xml:space="preserve">▎ comparaison avec les Pays-Bas, la Suisse ou l'Australie est donc faite à périmètre méthodologique</w:t>
      </w:r>
    </w:p>
    <w:p>
      <w:pPr>
        <w:pStyle w:val="FootnoteText"/>
      </w:pPr>
      <w:r>
        <w:t xml:space="preserve">▎ constant.</w:t>
      </w:r>
    </w:p>
  </w:footnote>
  <w:footnote w:id="23">
    <w:p>
      <w:pPr>
        <w:pStyle w:val="FootnoteText"/>
      </w:pPr>
      <w:r>
        <w:rPr>
          <w:rStyle w:val="FootnoteReference"/>
        </w:rPr>
        <w:footnoteRef/>
      </w:r>
      <w:r>
        <w:t xml:space="preserve"> </w:t>
      </w:r>
      <w:r>
        <w:t xml:space="preserve">Odoxa-Groupama,</w:t>
      </w:r>
      <w:r>
        <w:t xml:space="preserve"> </w:t>
      </w:r>
      <w:r>
        <w:rPr>
          <w:i/>
          <w:iCs/>
        </w:rPr>
        <w:t xml:space="preserve">Baromètre Sondage retraite : la réforme des retraites, que veulent et ne veulent plus les Français ?</w:t>
      </w:r>
      <w:r>
        <w:t xml:space="preserve">, novembre 2025 (</w:t>
      </w:r>
      <w:hyperlink r:id="rId24">
        <w:r>
          <w:rPr>
            <w:rStyle w:val="Hyperlink"/>
          </w:rPr>
          <w:t xml:space="preserve">https://presse.groupama.com/actualites/sondage-retraite-odoxa-pour-groupama-reforme-des-retraites-que-veulent-et-ne-veulent-plus-les-francais-3a371-55f34.html</w:t>
        </w:r>
      </w:hyperlink>
      <w:r>
        <w:t xml:space="preserve">). Enquête réalisée auprès de plus de 5 000 répondants. Système mixte : 57 %. Capitalisation seule : 22 %. Répartition seule : 20 %.</w:t>
      </w:r>
    </w:p>
  </w:footnote>
  <w:footnote w:id="25">
    <w:p>
      <w:pPr>
        <w:pStyle w:val="FootnoteText"/>
      </w:pPr>
      <w:r>
        <w:rPr>
          <w:rStyle w:val="FootnoteReference"/>
        </w:rPr>
        <w:footnoteRef/>
      </w:r>
      <w:r>
        <w:t xml:space="preserve"> </w:t>
      </w:r>
      <w:r>
        <w:t xml:space="preserve">Elabe pour BFMTV,</w:t>
      </w:r>
      <w:r>
        <w:t xml:space="preserve"> </w:t>
      </w:r>
      <w:r>
        <w:rPr>
          <w:i/>
          <w:iCs/>
        </w:rPr>
        <w:t xml:space="preserve">Les Français et le système de retraites</w:t>
      </w:r>
      <w:r>
        <w:t xml:space="preserve">, février 2025 (</w:t>
      </w:r>
      <w:hyperlink r:id="rId26">
        <w:r>
          <w:rPr>
            <w:rStyle w:val="Hyperlink"/>
          </w:rPr>
          <w:t xml:space="preserve">https://elabe.fr/systeme-retraite-2025/</w:t>
        </w:r>
      </w:hyperlink>
      <w:r>
        <w:t xml:space="preserve">). 59 % de Français favorables à un modèle où la répartition reste majoritaire mais où une dose de capitalisation s’ajoute ; 40 % attachés à la répartition exclusive ; 47 % des électeurs déclarés du Nouveau Front populaire approuvent l’ajout d’une dose de capitalisation.</w:t>
      </w:r>
    </w:p>
  </w:footnote>
  <w:footnote w:id="27">
    <w:p>
      <w:pPr>
        <w:pStyle w:val="FootnoteText"/>
      </w:pPr>
      <w:r>
        <w:rPr>
          <w:rStyle w:val="FootnoteReference"/>
        </w:rPr>
        <w:footnoteRef/>
      </w:r>
      <w:r>
        <w:t xml:space="preserve"> </w:t>
      </w:r>
      <w:r>
        <w:t xml:space="preserve">Ipsos pour le Cercle des épargnants,</w:t>
      </w:r>
      <w:r>
        <w:t xml:space="preserve"> </w:t>
      </w:r>
      <w:r>
        <w:rPr>
          <w:i/>
          <w:iCs/>
        </w:rPr>
        <w:t xml:space="preserve">Baromètre Les Français, l’épargne et la retraite</w:t>
      </w:r>
      <w:r>
        <w:t xml:space="preserve">, janvier 2025 (</w:t>
      </w:r>
      <w:hyperlink r:id="rId28">
        <w:r>
          <w:rPr>
            <w:rStyle w:val="Hyperlink"/>
          </w:rPr>
          <w:t xml:space="preserve">https://www.ipsos.com/fr-fr/barometre-les-francais-lepargne-et-la-retraite-lintention-depargner-atteint-un-niveau-record-en-2025</w:t>
        </w:r>
      </w:hyperlink>
      <w:r>
        <w:t xml:space="preserve">). Enquête sur 1 000 personnes représentatives. 55 % favorables aux fonds de pension (vs 46 % en 2017). 77 % inquiets pour l’avenir du système de retraite.</w:t>
      </w:r>
    </w:p>
  </w:footnote>
  <w:footnote w:id="29">
    <w:p>
      <w:pPr>
        <w:pStyle w:val="FootnoteText"/>
      </w:pPr>
      <w:r>
        <w:rPr>
          <w:rStyle w:val="FootnoteReference"/>
        </w:rPr>
        <w:footnoteRef/>
      </w:r>
      <w:r>
        <w:t xml:space="preserve"> </w:t>
      </w:r>
      <w:r>
        <w:t xml:space="preserve">OpinionWay pour Finary,</w:t>
      </w:r>
      <w:r>
        <w:t xml:space="preserve"> </w:t>
      </w:r>
      <w:r>
        <w:rPr>
          <w:i/>
          <w:iCs/>
        </w:rPr>
        <w:t xml:space="preserve">Les Français, la viabilité du système de retraites et l’investissement</w:t>
      </w:r>
      <w:r>
        <w:t xml:space="preserve">, janvier 2026 (</w:t>
      </w:r>
      <w:hyperlink r:id="rId30">
        <w:r>
          <w:rPr>
            <w:rStyle w:val="Hyperlink"/>
          </w:rPr>
          <w:t xml:space="preserve">https://www.opinion-way.com/fr/publications/les-francais-la-viabilite-du-systeme-de-retraites-et-linvestissement-2026-22219/</w:t>
        </w:r>
      </w:hyperlink>
      <w:r>
        <w:t xml:space="preserve">). Enquête sur 2 500 répondants. 76 % des actifs déclarent cotiser pour un système dont ils ne bénéficieront jamais ; 70 % jugent la répartition intenable à long terme.</w:t>
      </w:r>
    </w:p>
  </w:footnote>
  <w:footnote w:id="31">
    <w:p>
      <w:pPr>
        <w:pStyle w:val="FootnoteText"/>
      </w:pPr>
      <w:r>
        <w:rPr>
          <w:rStyle w:val="FootnoteReference"/>
        </w:rPr>
        <w:footnoteRef/>
      </w:r>
      <w:r>
        <w:t xml:space="preserve"> </w:t>
      </w:r>
      <w:r>
        <w:t xml:space="preserve">AMF,</w:t>
      </w:r>
      <w:r>
        <w:t xml:space="preserve"> </w:t>
      </w:r>
      <w:r>
        <w:rPr>
          <w:i/>
          <w:iCs/>
        </w:rPr>
        <w:t xml:space="preserve">Baromètre 2024 de l’épargne et de l’investissement des Français</w:t>
      </w:r>
      <w:r>
        <w:t xml:space="preserve">, octobre 2024 (</w:t>
      </w:r>
      <w:hyperlink r:id="rId32">
        <w:r>
          <w:rPr>
            <w:rStyle w:val="Hyperlink"/>
          </w:rPr>
          <w:t xml:space="preserve">https://www.amf-france.org/sites/institutionnel/files/private/2025-01/barometre-amf-2024-octobre-2024-version-publiable_0.pdf</w:t>
        </w:r>
      </w:hyperlink>
      <w:r>
        <w:t xml:space="preserve">). 58 % des Français inquiets pour leur retraite tous âges confondus ; 66 % chez les non-retraités.</w:t>
      </w:r>
    </w:p>
  </w:footnote>
  <w:footnote w:id="34">
    <w:p>
      <w:pPr>
        <w:pStyle w:val="FootnoteText"/>
      </w:pPr>
      <w:r>
        <w:rPr>
          <w:rStyle w:val="FootnoteReference"/>
        </w:rPr>
        <w:footnoteRef/>
      </w:r>
      <w:r>
        <w:t xml:space="preserve"> </w:t>
      </w:r>
      <w:r>
        <w:t xml:space="preserve">ERAFP, communiqué de presse « Pour ses vingt ans, le RAFP s’affirme comme un régime performant », 2024 (</w:t>
      </w:r>
      <w:hyperlink r:id="rId35">
        <w:r>
          <w:rPr>
            <w:rStyle w:val="Hyperlink"/>
          </w:rPr>
          <w:t xml:space="preserve">https://www.rafp.fr/en/actualites/presse/pour-ses-vingt-ans-regime-additionnel-fonction-publique-saffirme-comme-regime-performant</w:t>
        </w:r>
      </w:hyperlink>
      <w:r>
        <w:t xml:space="preserve">) ; rapport d’activité ERAFP 2024 (</w:t>
      </w:r>
      <w:hyperlink r:id="rId36">
        <w:r>
          <w:rPr>
            <w:rStyle w:val="Hyperlink"/>
          </w:rPr>
          <w:t xml:space="preserve">https://rafp-ra2024.fr/</w:t>
        </w:r>
      </w:hyperlink>
      <w:r>
        <w:t xml:space="preserve">). Encours total : 47,8 Md€ au 31/12/2024. TRI annualisé depuis l’inception (2005) : 4,3 % en valeur économique.</w:t>
      </w:r>
    </w:p>
  </w:footnote>
  <w:footnote w:id="37">
    <w:p>
      <w:pPr>
        <w:pStyle w:val="FootnoteText"/>
      </w:pPr>
      <w:r>
        <w:rPr>
          <w:rStyle w:val="FootnoteReference"/>
        </w:rPr>
        <w:footnoteRef/>
      </w:r>
      <w:r>
        <w:t xml:space="preserve"> </w:t>
      </w:r>
      <w:r>
        <w:t xml:space="preserve">Loi n° 2003-775 du 21 août 2003 portant réforme des retraites, article 76 : « Il est institué un régime public de retraite additionnel obligatoire, par répartition provisionnée et par points » (</w:t>
      </w:r>
      <w:hyperlink r:id="rId38">
        <w:r>
          <w:rPr>
            <w:rStyle w:val="Hyperlink"/>
          </w:rPr>
          <w:t xml:space="preserve">https://www.legifrance.gouv.fr/loda/article_lc/LEGIARTI000046874577</w:t>
        </w:r>
      </w:hyperlink>
      <w:r>
        <w:t xml:space="preserve">).</w:t>
      </w:r>
    </w:p>
  </w:footnote>
  <w:footnote w:id="39">
    <w:p>
      <w:pPr>
        <w:pStyle w:val="FootnoteText"/>
      </w:pPr>
      <w:r>
        <w:rPr>
          <w:rStyle w:val="FootnoteReference"/>
        </w:rPr>
        <w:footnoteRef/>
      </w:r>
      <w:r>
        <w:t xml:space="preserve"> </w:t>
      </w:r>
      <w:r>
        <w:t xml:space="preserve">Décret n° 2004-569 du 18 juin 2004 relatif à la retraite additionnelle de la fonction publique, complété par l’arrêté du 26 novembre 2004 portant approbation du règlement du régime.</w:t>
      </w:r>
    </w:p>
  </w:footnote>
  <w:footnote w:id="40">
    <w:p>
      <w:pPr>
        <w:pStyle w:val="FootnoteText"/>
      </w:pPr>
      <w:r>
        <w:rPr>
          <w:rStyle w:val="FootnoteReference"/>
        </w:rPr>
        <w:footnoteRef/>
      </w:r>
      <w:r>
        <w:t xml:space="preserve"> </w:t>
      </w:r>
      <w:r>
        <w:t xml:space="preserve">ERAFP,</w:t>
      </w:r>
      <w:r>
        <w:t xml:space="preserve"> </w:t>
      </w:r>
      <w:r>
        <w:rPr>
          <w:i/>
          <w:iCs/>
        </w:rPr>
        <w:t xml:space="preserve">À propos</w:t>
      </w:r>
      <w:r>
        <w:t xml:space="preserve">,</w:t>
      </w:r>
      <w:r>
        <w:t xml:space="preserve"> </w:t>
      </w:r>
      <w:hyperlink r:id="rId41">
        <w:r>
          <w:rPr>
            <w:rStyle w:val="Hyperlink"/>
          </w:rPr>
          <w:t xml:space="preserve">https://www.rafp.fr/en/about-us/about-us</w:t>
        </w:r>
      </w:hyperlink>
      <w:r>
        <w:t xml:space="preserve"> </w:t>
      </w:r>
      <w:r>
        <w:t xml:space="preserve">: « contribution rate being split equally between employer and employee », 5 % chacun, sur les primes plafonnées à 20 % du traitement indiciaire brut.</w:t>
      </w:r>
    </w:p>
  </w:footnote>
  <w:footnote w:id="42">
    <w:p>
      <w:pPr>
        <w:pStyle w:val="FootnoteText"/>
      </w:pPr>
      <w:r>
        <w:rPr>
          <w:rStyle w:val="FootnoteReference"/>
        </w:rPr>
        <w:footnoteRef/>
      </w:r>
      <w:r>
        <w:t xml:space="preserve"> </w:t>
      </w:r>
      <w:r>
        <w:t xml:space="preserve">ERAFP, communiqué « Pour ses vingt ans », 2024 ; rapport d’activité 2024.</w:t>
      </w:r>
    </w:p>
  </w:footnote>
  <w:footnote w:id="43">
    <w:p>
      <w:pPr>
        <w:pStyle w:val="FootnoteText"/>
      </w:pPr>
      <w:r>
        <w:rPr>
          <w:rStyle w:val="FootnoteReference"/>
        </w:rPr>
        <w:footnoteRef/>
      </w:r>
      <w:r>
        <w:t xml:space="preserve"> </w:t>
      </w:r>
      <w:r>
        <w:t xml:space="preserve">Loi n° 2003-775 du 21 août 2003, article 76, premier alinéa.</w:t>
      </w:r>
    </w:p>
  </w:footnote>
  <w:footnote w:id="44">
    <w:p>
      <w:pPr>
        <w:pStyle w:val="FootnoteText"/>
      </w:pPr>
      <w:r>
        <w:rPr>
          <w:rStyle w:val="FootnoteReference"/>
        </w:rPr>
        <w:footnoteRef/>
      </w:r>
      <w:r>
        <w:t xml:space="preserve"> </w:t>
      </w:r>
      <w:r>
        <w:t xml:space="preserve">Philippe François,</w:t>
      </w:r>
      <w:r>
        <w:t xml:space="preserve"> </w:t>
      </w:r>
      <w:r>
        <w:rPr>
          <w:i/>
          <w:iCs/>
        </w:rPr>
        <w:t xml:space="preserve">Retraite par capitalisation de la fonction publique (RAFP) : une leçon d’économie</w:t>
      </w:r>
      <w:r>
        <w:t xml:space="preserve">, IFRAP, 19 février 2015,</w:t>
      </w:r>
      <w:r>
        <w:t xml:space="preserve"> </w:t>
      </w:r>
      <w:hyperlink r:id="rId45">
        <w:r>
          <w:rPr>
            <w:rStyle w:val="Hyperlink"/>
          </w:rPr>
          <w:t xml:space="preserve">https://www.ifrap.org/retraite/retraite-par-capitalisation-de-la-fonction-publique-rafp-une-lecon-deconomie</w:t>
        </w:r>
      </w:hyperlink>
      <w:r>
        <w:t xml:space="preserve">.</w:t>
      </w:r>
    </w:p>
  </w:footnote>
  <w:footnote w:id="46">
    <w:p>
      <w:pPr>
        <w:pStyle w:val="FootnoteText"/>
      </w:pPr>
      <w:r>
        <w:rPr>
          <w:rStyle w:val="FootnoteReference"/>
        </w:rPr>
        <w:footnoteRef/>
      </w:r>
      <w:r>
        <w:t xml:space="preserve"> </w:t>
      </w:r>
      <w:r>
        <w:t xml:space="preserve">Conseil d’orientation des retraites,</w:t>
      </w:r>
      <w:r>
        <w:t xml:space="preserve"> </w:t>
      </w:r>
      <w:r>
        <w:rPr>
          <w:i/>
          <w:iCs/>
        </w:rPr>
        <w:t xml:space="preserve">Fiche RAFP</w:t>
      </w:r>
      <w:r>
        <w:t xml:space="preserve">, juillet 2024 : « le RAFP est géré en capitalisation puisque la réglementation prévoit la couverture de la totalité des engagements » (</w:t>
      </w:r>
      <w:hyperlink r:id="rId47">
        <w:r>
          <w:rPr>
            <w:rStyle w:val="Hyperlink"/>
          </w:rPr>
          <w:t xml:space="preserve">https://www.cor-retraites.fr/sites/default/files/2024-07/Fiche_RAFP_vf.pdf</w:t>
        </w:r>
      </w:hyperlink>
      <w:r>
        <w:t xml:space="preserve">).</w:t>
      </w:r>
    </w:p>
  </w:footnote>
  <w:footnote w:id="48">
    <w:p>
      <w:pPr>
        <w:pStyle w:val="FootnoteText"/>
      </w:pPr>
      <w:r>
        <w:rPr>
          <w:rStyle w:val="FootnoteReference"/>
        </w:rPr>
        <w:footnoteRef/>
      </w:r>
      <w:r>
        <w:t xml:space="preserve"> </w:t>
      </w:r>
      <w:r>
        <w:t xml:space="preserve">Bertrand Martinot,</w:t>
      </w:r>
      <w:r>
        <w:t xml:space="preserve"> </w:t>
      </w:r>
      <w:r>
        <w:rPr>
          <w:i/>
          <w:iCs/>
        </w:rPr>
        <w:t xml:space="preserve">Retraites : optimiser les dépenses, introduire une part de capitalisation</w:t>
      </w:r>
      <w:r>
        <w:t xml:space="preserve">, Fondation pour l’innovation politique (Fondapol), mars 2025 (</w:t>
      </w:r>
      <w:hyperlink r:id="rId49">
        <w:r>
          <w:rPr>
            <w:rStyle w:val="Hyperlink"/>
          </w:rPr>
          <w:t xml:space="preserve">https://www.fondapol.org/etude/retraites-optimiser-les-depenses-introduire-une-part-de-capitalisation/</w:t>
        </w:r>
      </w:hyperlink>
      <w:r>
        <w:t xml:space="preserve">).</w:t>
      </w:r>
    </w:p>
  </w:footnote>
  <w:footnote w:id="50">
    <w:p>
      <w:pPr>
        <w:pStyle w:val="FootnoteText"/>
      </w:pPr>
      <w:r>
        <w:rPr>
          <w:rStyle w:val="FootnoteReference"/>
        </w:rPr>
        <w:footnoteRef/>
      </w:r>
      <w:r>
        <w:t xml:space="preserve"> </w:t>
      </w:r>
      <w:r>
        <w:t xml:space="preserve">Calcul : 47,8 Md€ d’encours / 4,5 M cotisants ≈ 10 600 € par cotisant. Sources : ERAFP communiqué résultats 2024.</w:t>
      </w:r>
    </w:p>
  </w:footnote>
  <w:footnote w:id="51">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ministère de l’Économie, communiqué</w:t>
      </w:r>
      <w:r>
        <w:t xml:space="preserve"> </w:t>
      </w:r>
      <w:r>
        <w:rPr>
          <w:i/>
          <w:iCs/>
        </w:rPr>
        <w:t xml:space="preserve">Épargne retraite : déploiement du PER</w:t>
      </w:r>
      <w:r>
        <w:t xml:space="preserve">, février 2025 (</w:t>
      </w:r>
      <w:hyperlink r:id="rId52">
        <w:r>
          <w:rPr>
            <w:rStyle w:val="Hyperlink"/>
          </w:rPr>
          <w:t xml:space="preserve">https://presse.economie.gouv.fr/epargne-retraite-deploiement-du-per-plus-de-11-millions-de-titulaires-et-pres-de-119-milliards-dencours-au-troisieme-trimestre-2024/</w:t>
        </w:r>
      </w:hyperlink>
      <w:r>
        <w:t xml:space="preserve">). Encours PER tous types confondus : 118,9 Md€ ; 11,2 millions de titulaires ; encours moyen ~10 600 € — concentration sur les déciles supérieurs de revenu pour l’avantage fiscal à l’entrée.</w:t>
      </w:r>
    </w:p>
  </w:footnote>
  <w:footnote w:id="54">
    <w:p>
      <w:pPr>
        <w:pStyle w:val="FootnoteText"/>
      </w:pPr>
      <w:r>
        <w:rPr>
          <w:rStyle w:val="FootnoteReference"/>
        </w:rPr>
        <w:footnoteRef/>
      </w:r>
      <w:r>
        <w:t xml:space="preserve"> </w:t>
      </w:r>
      <w:r>
        <w:t xml:space="preserve">Banque de France, La détention par les non-résidents des actions des sociétés françaises du CAC 40 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 l'indice, soit des sociétés cotées dont la maison-mère est étrangère). Sur ces 35 sociétés : 19 sont détenues à plus de 50 % par des non-résidents, 11 entre 30 et 50 %, 5 en deçà de 30 %.</w:t>
      </w:r>
    </w:p>
  </w:footnote>
  <w:footnote w:id="55">
    <w:p>
      <w:pPr>
        <w:pStyle w:val="FootnoteText"/>
      </w:pPr>
      <w:r>
        <w:rPr>
          <w:rStyle w:val="FootnoteReference"/>
        </w:rPr>
        <w:footnoteRef/>
      </w:r>
      <w:r>
        <w:t xml:space="preserve"> </w:t>
      </w:r>
      <w:r>
        <w:t xml:space="preserve">Norges Bank Investment Management, Government Pension Fund Global — Annual Report 2024, 2025 (https://www.nbim.no). 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 publiques. Parmi ses principales participations françaises : Sanofi, TotalEnergies, LVMH, Schneider Electric, Air Liquide. Sur sa décision de désinvestir des énergies fossiles, voir ABP, communiqué «Sustainable and responsible investment policy », 26 octobre 2021(https://www.abp.nl/over-abp/duurzaam-en-verantwoord-beleggen/).</w:t>
      </w:r>
    </w:p>
  </w:footnote>
  <w:footnote w:id="56">
    <w:p>
      <w:pPr>
        <w:pStyle w:val="FootnoteText"/>
      </w:pPr>
      <w:r>
        <w:rPr>
          <w:rStyle w:val="FootnoteReference"/>
        </w:rPr>
        <w:footnoteRef/>
      </w:r>
      <w:r>
        <w:t xml:space="preserve"> </w:t>
      </w:r>
      <w:r>
        <w:t xml:space="preserve">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p>
  </w:footnote>
  <w:footnote w:id="57">
    <w:p>
      <w:pPr>
        <w:pStyle w:val="FootnoteText"/>
      </w:pPr>
      <w:r>
        <w:rPr>
          <w:rStyle w:val="FootnoteReference"/>
        </w:rPr>
        <w:footnoteRef/>
      </w:r>
      <w:r>
        <w:t xml:space="preserve"> </w:t>
      </w:r>
      <w:r>
        <w:t xml:space="preserve">Bpifrance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 trouveront effectivement repreneur, soit un taux de réussite de 35 %. À titre comparatif, le ratio de transmissions effectives au regard des transmissions potentielles oscille entre 60 et 70 % en Allemagne (KfW, Mittelstand-Studien) et au Royaume-Uni (ICAEW, Family Business Index), traduisant une différence structurelle de capacité d'absorption par le capital domestique.</w:t>
      </w:r>
    </w:p>
  </w:footnote>
  <w:footnote w:id="58">
    <w:p>
      <w:pPr>
        <w:pStyle w:val="FootnoteText"/>
      </w:pPr>
      <w:r>
        <w:rPr>
          <w:rStyle w:val="FootnoteReference"/>
        </w:rPr>
        <w:footnoteRef/>
      </w:r>
      <w:r>
        <w:t xml:space="preserve"> </w:t>
      </w:r>
      <w:r>
        <w:t xml:space="preserve">OCDE, Pensions at a Glance 2025, novembre 2025 (https://www.oecd.org/en/publications/2025/11/pensions-at-a-glance-2025_76510fe4.html)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 Moyenne OCDE : 63,2 %.</w:t>
      </w:r>
    </w:p>
  </w:footnote>
  <w:footnote w:id="59">
    <w:p>
      <w:pPr>
        <w:pStyle w:val="FootnoteText"/>
      </w:pPr>
      <w:r>
        <w:rPr>
          <w:rStyle w:val="FootnoteReference"/>
        </w:rPr>
        <w:footnoteRef/>
      </w:r>
      <w:r>
        <w:t xml:space="preserve"> </w:t>
      </w:r>
      <w:r>
        <w:t xml:space="preserve">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 brut pour un salarié moyen. Pays-Bas : OCDE, Tax and Wage, 2024 (https://www.oecd.org/tax/tax-policy/taxing-wages.htm) et Mercer CFA, Global Pension Index 2024 (https://www.mercer.com/insights/investments/market-outlook-and-ideas/mercer-cfa-global-pension-index/). Premier pilier AOW : 17,9 % des revenus jusqu'à environ 38 000 € ; second pilier (fonds de pension occupationnels obligatoires) : en moyenne 24 % du salaire au-dessus de la franchise AOW (~17 500 €), réparti ~70 % employeur / ~30 % salarié. Total cumulé pour un salarié moyen néerlandais : 26-28 % du salaire brut, en ordre de grandeur comparable au total français.</w:t>
      </w:r>
    </w:p>
  </w:footnote>
  <w:footnote w:id="65">
    <w:p>
      <w:pPr>
        <w:pStyle w:val="FootnoteText"/>
      </w:pPr>
      <w:r>
        <w:rPr>
          <w:rStyle w:val="FootnoteReference"/>
        </w:rPr>
        <w:footnoteRef/>
      </w:r>
      <w:r>
        <w:t xml:space="preserve"> </w:t>
      </w:r>
      <w:r>
        <w:t xml:space="preserve">Conseil d’orientation des retraites,</w:t>
      </w:r>
      <w:r>
        <w:t xml:space="preserve"> </w:t>
      </w:r>
      <w:r>
        <w:rPr>
          <w:i/>
          <w:iCs/>
        </w:rPr>
        <w:t xml:space="preserve">Évolutions et perspectives des retraites en France</w:t>
      </w:r>
      <w:r>
        <w:t xml:space="preserve">, rapport annuel, juin 2025. URL : https://www.cor-retraites.fr/rapports-du-cor/rapport-annuel-cor-juin-2025-evolutions-perspectives-retraites-france</w:t>
      </w:r>
    </w:p>
  </w:footnote>
  <w:footnote w:id="66">
    <w:p>
      <w:pPr>
        <w:pStyle w:val="FootnoteText"/>
      </w:pPr>
      <w:r>
        <w:rPr>
          <w:rStyle w:val="FootnoteReference"/>
        </w:rPr>
        <w:footnoteRef/>
      </w:r>
      <w:r>
        <w:t xml:space="preserve"> </w:t>
      </w:r>
      <w:r>
        <w:t xml:space="preserve">Fonds monétaire international,</w:t>
      </w:r>
      <w:r>
        <w:t xml:space="preserve"> </w:t>
      </w:r>
      <w:r>
        <w:rPr>
          <w:i/>
          <w:iCs/>
        </w:rPr>
        <w:t xml:space="preserve">France: Staff Concluding Statement of the 2025 Article IV Mission</w:t>
      </w:r>
      <w:r>
        <w:t xml:space="preserve">, 22 mai 2025 (https://www.imf.org/fr/news/articles/2025/05/22/cs-france-2025). La mission, conduite par Manuela Goretti, range les retraites parmi les chantiers prioritaires de consolidation budgétaire.</w:t>
      </w:r>
    </w:p>
  </w:footnote>
  <w:footnote w:id="67">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68">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Solde migratoire 2025 (provisoire) : +176 000 personnes ; population au 1er janvier 2026 estimée à 69,1 millions (vs 68,6 millions au 1er janvier 2025).</w:t>
      </w:r>
    </w:p>
  </w:footnote>
  <w:footnote w:id="69">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Indice conjoncturel de fécondité (ICF) 2025 : 1,56 enfant par femme. Évolution récente : 2,00 en 2014, 1,80 en 2018, 1,84 en 2020, 1,65 en 2023, 1,61 en 2024, 1,56 en 2025. Âge moyen à la maternité : 31,2 ans en 2025 (vs 29,6 ans en 2005).</w:t>
      </w:r>
    </w:p>
  </w:footnote>
  <w:footnote w:id="70">
    <w:p>
      <w:pPr>
        <w:pStyle w:val="FootnoteText"/>
      </w:pPr>
      <w:r>
        <w:rPr>
          <w:rStyle w:val="FootnoteReference"/>
        </w:rPr>
        <w:footnoteRef/>
      </w:r>
      <w:r>
        <w:t xml:space="preserve"> </w:t>
      </w:r>
      <w:r>
        <w:t xml:space="preserve">Eurostat,</w:t>
      </w:r>
      <w:r>
        <w:t xml:space="preserve"> </w:t>
      </w:r>
      <w:r>
        <w:rPr>
          <w:i/>
          <w:iCs/>
        </w:rPr>
        <w:t xml:space="preserve">Total fertility rate by NUTS 2 region</w:t>
      </w:r>
      <w:r>
        <w:t xml:space="preserve">, données 2024. URL : https://ec.europa.eu/eurostat/databrowser/view/demo_r_find2/. ICF 2024 dans l’UE : France 1,61 ; Allemagne 1,36 ; Italie 1,18 ; Espagne 1,10 ; Pays-Bas 1,43 ; Suède 1,45 ; moyenne UE27 1,34.</w:t>
      </w:r>
    </w:p>
  </w:footnote>
  <w:footnote w:id="71">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Espérance de vie à la naissance en 2025 : 85,9 ans (femmes), 80,3 ans (hommes). En 1950 : 69,2 ans (femmes), 63,4 ans (hommes). Gain cumulé : 16,7 ans (femmes), 16,9 ans (hommes).</w:t>
      </w:r>
    </w:p>
  </w:footnote>
  <w:footnote w:id="72">
    <w:p>
      <w:pPr>
        <w:pStyle w:val="FootnoteText"/>
      </w:pPr>
      <w:r>
        <w:rPr>
          <w:rStyle w:val="FootnoteReference"/>
        </w:rPr>
        <w:footnoteRef/>
      </w:r>
      <w:r>
        <w:t xml:space="preserve"> </w:t>
      </w:r>
      <w:r>
        <w:t xml:space="preserve">Sur les hypothèses démographiques sous-jacentes à l’architecture de 1945, voir Bruno Valat, Les retraites et la création de la Sécurité sociale en 1945 : révolution ou restauration ?, Revue d’histoire de la protection sociale, 2020/1 n° 13, p. 36-53 (repris par le COR comme document de séance en 2022) (https://www.cor-retraites.fr/sites/default/files/2022-12/Doc_10_Valat.pdf). En 1947, première année de la série INSEE consolidée, l’espérance de vie à la naissance s’établit à 61,2 ans pour les hommes et 66,7 ans pour les femmes (INSEE Focus n° 157, juin 2019, séries longues 1947-2017).</w:t>
      </w:r>
    </w:p>
  </w:footnote>
  <w:footnote w:id="73">
    <w:p>
      <w:pPr>
        <w:pStyle w:val="FootnoteText"/>
      </w:pPr>
      <w:r>
        <w:rPr>
          <w:rStyle w:val="FootnoteReference"/>
        </w:rPr>
        <w:footnoteRef/>
      </w:r>
      <w:r>
        <w:t xml:space="preserve"> </w:t>
      </w:r>
      <w:r>
        <w:t xml:space="preserve">Tableau INSEE,</w:t>
      </w:r>
      <w:r>
        <w:t xml:space="preserve"> </w:t>
      </w:r>
      <w:r>
        <w:rPr>
          <w:i/>
          <w:iCs/>
        </w:rPr>
        <w:t xml:space="preserve">Espérance de vie à divers âges</w:t>
      </w:r>
      <w:r>
        <w:t xml:space="preserve"> </w:t>
      </w:r>
      <w:r>
        <w:t xml:space="preserve">(https://www.insee.fr/fr/statistiques/2416631). À 65 ans en 2025 : femmes 23,6 ans, hommes 20,0 ans.</w:t>
      </w:r>
    </w:p>
  </w:footnote>
  <w:footnote w:id="74">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Population au 1er janvier 2026 : 69,1 millions. Part des 65 ans et plus : 22,2 % au 1er janvier 2026 (environ 22,0 % au 1er janvier 2025, 16,4 % en 2006, environ 13 % en 1986). Part des moins de 20 ans : 22,5 % au 1er janvier 2026.</w:t>
      </w:r>
    </w:p>
  </w:footnote>
  <w:footnote w:id="75">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op. cit. Ratio de dépendance des personnes âgées (population 65+ rapportée à la population en âge de travailler 20-64 ans) : 38,2 % en 2022, projection 57,8 % en 2070 - un bond de près de vingt points en cinquante ans, dans la moyenne haute européenne.</w:t>
      </w:r>
    </w:p>
  </w:footnote>
  <w:footnote w:id="76">
    <w:p>
      <w:pPr>
        <w:pStyle w:val="FootnoteText"/>
      </w:pPr>
      <w:r>
        <w:rPr>
          <w:rStyle w:val="FootnoteReference"/>
        </w:rPr>
        <w:footnoteRef/>
      </w:r>
      <w:r>
        <w:t xml:space="preserve"> </w:t>
      </w:r>
      <w:r>
        <w:t xml:space="preserve">INSEE,</w:t>
      </w:r>
      <w:r>
        <w:t xml:space="preserve"> </w:t>
      </w:r>
      <w:r>
        <w:rPr>
          <w:i/>
          <w:iCs/>
        </w:rPr>
        <w:t xml:space="preserve">Cotisants, retraités et rapport démographique tous régimes</w:t>
      </w:r>
      <w:r>
        <w:t xml:space="preserve">, séries longues. URL : https://www.insee.fr/fr/statistiques/2415121. Ratio 4,29 en 1965 (point haut historique).</w:t>
      </w:r>
    </w:p>
  </w:footnote>
  <w:footnote w:id="77">
    <w:p>
      <w:pPr>
        <w:pStyle w:val="FootnoteText"/>
      </w:pPr>
      <w:r>
        <w:rPr>
          <w:rStyle w:val="FootnoteReference"/>
        </w:rPr>
        <w:footnoteRef/>
      </w:r>
      <w:r>
        <w:t xml:space="preserve"> </w:t>
      </w:r>
      <w:r>
        <w:t xml:space="preserve">INSEE, ibid., données 2024 : 1,79 cotisant pour un retraité, tous régimes confondus.</w:t>
      </w:r>
    </w:p>
  </w:footnote>
  <w:footnote w:id="78">
    <w:p>
      <w:pPr>
        <w:pStyle w:val="FootnoteText"/>
      </w:pPr>
      <w:r>
        <w:rPr>
          <w:rStyle w:val="FootnoteReference"/>
        </w:rPr>
        <w:footnoteRef/>
      </w:r>
      <w:r>
        <w:t xml:space="preserve"> </w:t>
      </w:r>
      <w:r>
        <w:t xml:space="preserve">COR juin 2025, scénario central, projection 2070 : 1,40 cotisant pour un retraité.</w:t>
      </w:r>
    </w:p>
  </w:footnote>
  <w:footnote w:id="79">
    <w:p>
      <w:pPr>
        <w:pStyle w:val="FootnoteText"/>
      </w:pPr>
      <w:r>
        <w:rPr>
          <w:rStyle w:val="FootnoteReference"/>
        </w:rPr>
        <w:footnoteRef/>
      </w:r>
      <w:r>
        <w:t xml:space="preserve"> </w:t>
      </w:r>
      <w:r>
        <w:t xml:space="preserve">INSEE,</w:t>
      </w:r>
      <w:r>
        <w:t xml:space="preserve"> </w:t>
      </w:r>
      <w:r>
        <w:rPr>
          <w:i/>
          <w:iCs/>
        </w:rPr>
        <w:t xml:space="preserve">Bilan démographique 2024</w:t>
      </w:r>
      <w:r>
        <w:t xml:space="preserve">, op. cit. Augmentation nette du nombre de retraités en 2024 : environ 200 000. Stock total estimé à fin 2024 : environ 18,1 millions.</w:t>
      </w:r>
    </w:p>
  </w:footnote>
  <w:footnote w:id="80">
    <w:p>
      <w:pPr>
        <w:pStyle w:val="FootnoteText"/>
      </w:pPr>
      <w:r>
        <w:rPr>
          <w:rStyle w:val="FootnoteReference"/>
        </w:rPr>
        <w:footnoteRef/>
      </w:r>
      <w:r>
        <w:t xml:space="preserve"> </w:t>
      </w:r>
      <w:r>
        <w:t xml:space="preserve">COR juin 2025, hypothèses du scénario de référence (rapport complet, p. 47 environ) : productivité horaire +0,7 % par an à partir de 2040, chômage 7 % à partir de 2032, fécondité 1,80, solde migratoire +70 000/an.</w:t>
      </w:r>
    </w:p>
  </w:footnote>
  <w:footnote w:id="82">
    <w:p>
      <w:pPr>
        <w:pStyle w:val="FootnoteText"/>
      </w:pPr>
      <w:r>
        <w:rPr>
          <w:rStyle w:val="FootnoteReference"/>
        </w:rPr>
        <w:footnoteRef/>
      </w:r>
      <w:r>
        <w:t xml:space="preserve"> </w:t>
      </w:r>
      <w:r>
        <w:t xml:space="preserve">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p>
  </w:footnote>
  <w:footnote w:id="83">
    <w:p>
      <w:pPr>
        <w:pStyle w:val="FootnoteText"/>
      </w:pPr>
      <w:r>
        <w:rPr>
          <w:rStyle w:val="FootnoteReference"/>
        </w:rPr>
        <w:footnoteRef/>
      </w:r>
      <w:r>
        <w:t xml:space="preserve"> </w:t>
      </w:r>
      <w:r>
        <w:t xml:space="preserve">Décret n° 2025-61 du 22 janvier 2025</w:t>
      </w:r>
    </w:p>
  </w:footnote>
  <w:footnote w:id="84">
    <w:p>
      <w:pPr>
        <w:pStyle w:val="FootnoteText"/>
      </w:pPr>
      <w:r>
        <w:rPr>
          <w:rStyle w:val="FootnoteReference"/>
        </w:rPr>
        <w:footnoteRef/>
      </w:r>
      <w:r>
        <w:t xml:space="preserve"> </w:t>
      </w:r>
      <w:r>
        <w:t xml:space="preserve">Beaufret, Note COR septembre 2023, Document n° 1</w:t>
      </w:r>
    </w:p>
  </w:footnote>
  <w:footnote w:id="85">
    <w:p>
      <w:pPr>
        <w:pStyle w:val="FootnoteText"/>
      </w:pPr>
      <w:r>
        <w:rPr>
          <w:rStyle w:val="FootnoteReference"/>
        </w:rPr>
        <w:footnoteRef/>
      </w:r>
      <w:r>
        <w:t xml:space="preserve"> </w:t>
      </w:r>
      <w:r>
        <w:t xml:space="preserve">Jean-Pascal Beaufret,</w:t>
      </w:r>
      <w:r>
        <w:t xml:space="preserve"> </w:t>
      </w:r>
      <w:r>
        <w:rPr>
          <w:i/>
          <w:iCs/>
        </w:rPr>
        <w:t xml:space="preserve">Contribution à la mission flash de clarification du financement des retraites</w:t>
      </w:r>
      <w:r>
        <w:t xml:space="preserve">,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86">
    <w:p>
      <w:pPr>
        <w:pStyle w:val="FootnoteText"/>
      </w:pPr>
      <w:r>
        <w:rPr>
          <w:rStyle w:val="FootnoteReference"/>
        </w:rPr>
        <w:footnoteRef/>
      </w:r>
      <w:r>
        <w:t xml:space="preserve"> </w:t>
      </w:r>
      <w:r>
        <w:t xml:space="preserve">Projet de loi de finances pour 2024, mission</w:t>
      </w:r>
      <w:r>
        <w:t xml:space="preserve"> </w:t>
      </w:r>
      <w:r>
        <w:rPr>
          <w:i/>
          <w:iCs/>
        </w:rPr>
        <w:t xml:space="preserve">Défense</w:t>
      </w:r>
      <w:r>
        <w:t xml:space="preserve"> </w:t>
      </w:r>
      <w:r>
        <w:t xml:space="preserve">: crédits de paiement 47,2 Md€ ; loi de programmation militaire 2024-2030 : 413 Md€ sur sept ans, soit en moyenne 59 Md€/an. Direction du Budget,</w:t>
      </w:r>
      <w:r>
        <w:t xml:space="preserve"> </w:t>
      </w:r>
      <w:r>
        <w:rPr>
          <w:i/>
          <w:iCs/>
        </w:rPr>
        <w:t xml:space="preserve">Présentation du PLF 2024</w:t>
      </w:r>
      <w:r>
        <w:t xml:space="preserve">, 2023. À titre de comparaison, missions</w:t>
      </w:r>
      <w:r>
        <w:t xml:space="preserve"> </w:t>
      </w:r>
      <w:r>
        <w:rPr>
          <w:i/>
          <w:iCs/>
        </w:rPr>
        <w:t xml:space="preserve">Intérieur</w:t>
      </w:r>
      <w:r>
        <w:t xml:space="preserve"> </w:t>
      </w:r>
      <w:r>
        <w:t xml:space="preserve">et</w:t>
      </w:r>
      <w:r>
        <w:t xml:space="preserve"> </w:t>
      </w:r>
      <w:r>
        <w:rPr>
          <w:i/>
          <w:iCs/>
        </w:rPr>
        <w:t xml:space="preserve">Justice</w:t>
      </w:r>
      <w:r>
        <w:t xml:space="preserve"> </w:t>
      </w:r>
      <w:r>
        <w:t xml:space="preserve">2024 cumulées : environ 27,6 Md€ (Intérieur 14,1 + Justice 13,5).</w:t>
      </w:r>
    </w:p>
  </w:footnote>
  <w:footnote w:id="87">
    <w:p>
      <w:pPr>
        <w:pStyle w:val="FootnoteText"/>
      </w:pPr>
      <w:r>
        <w:rPr>
          <w:rStyle w:val="FootnoteReference"/>
        </w:rPr>
        <w:footnoteRef/>
      </w:r>
      <w:r>
        <w:t xml:space="preserve"> </w:t>
      </w:r>
      <w:r>
        <w:t xml:space="preserve">Cour des comptes,</w:t>
      </w:r>
      <w:r>
        <w:t xml:space="preserve"> </w:t>
      </w:r>
      <w:r>
        <w:rPr>
          <w:i/>
          <w:iCs/>
        </w:rPr>
        <w:t xml:space="preserve">Situation financière et perspectives du système de retraites</w:t>
      </w:r>
      <w:r>
        <w:t xml:space="preserve">, février 2025, op. cit., section relative au périmètre et à la consolidation.</w:t>
      </w:r>
    </w:p>
  </w:footnote>
  <w:footnote w:id="88">
    <w:p>
      <w:pPr>
        <w:pStyle w:val="FootnoteText"/>
      </w:pPr>
      <w:r>
        <w:rPr>
          <w:rStyle w:val="FootnoteReference"/>
        </w:rPr>
        <w:footnoteRef/>
      </w:r>
      <w:r>
        <w:t xml:space="preserve"> </w:t>
      </w:r>
      <w:r>
        <w:t xml:space="preserve">Pierre Moscovici, conférence de presse du 20 février 2025 lors de la remise du rapport thématique. Citations rapportées par</w:t>
      </w:r>
      <w:r>
        <w:t xml:space="preserve"> </w:t>
      </w:r>
      <w:r>
        <w:rPr>
          <w:i/>
          <w:iCs/>
        </w:rPr>
        <w:t xml:space="preserve">Public Sénat</w:t>
      </w:r>
      <w:r>
        <w:t xml:space="preserve"> </w:t>
      </w:r>
      <w:r>
        <w:t xml:space="preserve">(https://www.publicsenat.fr/actualites/societe/retraites-un-deficit-qui-pourrait-atteindre-environ-30-milliards-deuros-dici-2045-selon-le-rapport-de-la-cour-des-comptes, consulté en mai 2026) et</w:t>
      </w:r>
      <w:r>
        <w:t xml:space="preserve"> </w:t>
      </w:r>
      <w:r>
        <w:rPr>
          <w:i/>
          <w:iCs/>
        </w:rPr>
        <w:t xml:space="preserve">France Info</w:t>
      </w:r>
      <w:r>
        <w:t xml:space="preserve">. Moscovici a déclaré qu’il fallait « agir » et que « le statu quo n’est pas possible ».</w:t>
      </w:r>
    </w:p>
  </w:footnote>
  <w:footnote w:id="89">
    <w:p>
      <w:pPr>
        <w:pStyle w:val="FootnoteText"/>
      </w:pPr>
      <w:r>
        <w:rPr>
          <w:rStyle w:val="FootnoteReference"/>
        </w:rPr>
        <w:footnoteRef/>
      </w:r>
      <w:r>
        <w:t xml:space="preserve"> </w:t>
      </w:r>
      <w:r>
        <w:t xml:space="preserve">COR juin 2025, op. cit., synthèse, conclusion.</w:t>
      </w:r>
    </w:p>
  </w:footnote>
  <w:footnote w:id="91">
    <w:p>
      <w:pPr>
        <w:pStyle w:val="FootnoteText"/>
      </w:pPr>
      <w:r>
        <w:rPr>
          <w:rStyle w:val="FootnoteReference"/>
        </w:rPr>
        <w:footnoteRef/>
      </w:r>
      <w:r>
        <w:t xml:space="preserve"> </w:t>
      </w:r>
      <w:r>
        <w:t xml:space="preserve">Loi du 28 avril 1816 sur les finances créant la Caisse des Dépôts et Consignations ; gestion confiée du régime de retraite des agents civils de l’État à partir du milieu du XIXe siècle. Voir Pierre-Cyrille Hautcœur,</w:t>
      </w:r>
      <w:r>
        <w:t xml:space="preserve"> </w:t>
      </w:r>
      <w:r>
        <w:rPr>
          <w:i/>
          <w:iCs/>
        </w:rPr>
        <w:t xml:space="preserve">Le Marché financier français au XIXe siècle</w:t>
      </w:r>
      <w:r>
        <w:t xml:space="preserve">, Publications de la Sorbonne, 2007, et la fiche historique CDC,</w:t>
      </w:r>
      <w:r>
        <w:t xml:space="preserve"> </w:t>
      </w:r>
      <w:r>
        <w:rPr>
          <w:i/>
          <w:iCs/>
        </w:rPr>
        <w:t xml:space="preserve">Histoire de la Caisse des Dépôts</w:t>
      </w:r>
      <w:r>
        <w:t xml:space="preserve"> </w:t>
      </w:r>
      <w:r>
        <w:t xml:space="preserve">(https://www.caissedesdepots.fr/histoire-de-la-caisse-des-depots).</w:t>
      </w:r>
    </w:p>
  </w:footnote>
  <w:footnote w:id="92">
    <w:p>
      <w:pPr>
        <w:pStyle w:val="FootnoteText"/>
      </w:pPr>
      <w:r>
        <w:rPr>
          <w:rStyle w:val="FootnoteReference"/>
        </w:rPr>
        <w:footnoteRef/>
      </w:r>
      <w:r>
        <w:t xml:space="preserve"> </w:t>
      </w:r>
      <w:r>
        <w:t xml:space="preserve">Ordonnance dite « de la Marine » d’août 1670 (Colbert), instituant la Caisse des invalides de la Marine - premier régime obligatoire de retraite des marins français. Confirmée et étendue par les édits de 1709 et 1784. Voir Institut La Boétie,</w:t>
      </w:r>
      <w:r>
        <w:t xml:space="preserve"> </w:t>
      </w:r>
      <w:r>
        <w:rPr>
          <w:i/>
          <w:iCs/>
        </w:rPr>
        <w:t xml:space="preserve">Note sur l’histoire des retraites</w:t>
      </w:r>
      <w:r>
        <w:t xml:space="preserve"> </w:t>
      </w:r>
      <w:r>
        <w:t xml:space="preserve">(https://institutlaboetie.fr/note-retraites-histoire/).</w:t>
      </w:r>
    </w:p>
  </w:footnote>
  <w:footnote w:id="93">
    <w:p>
      <w:pPr>
        <w:pStyle w:val="FootnoteText"/>
      </w:pPr>
      <w:r>
        <w:rPr>
          <w:rStyle w:val="FootnoteReference"/>
        </w:rPr>
        <w:footnoteRef/>
      </w:r>
      <w:r>
        <w:t xml:space="preserve"> </w:t>
      </w:r>
      <w:r>
        <w:t xml:space="preserve">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w:t>
      </w:r>
      <w:r>
        <w:t xml:space="preserve"> </w:t>
      </w:r>
      <w:r>
        <w:rPr>
          <w:i/>
          <w:iCs/>
        </w:rPr>
        <w:t xml:space="preserve">Revue d’histoire de la protection sociale</w:t>
      </w:r>
      <w:r>
        <w:t xml:space="preserve">, 2020 (https://shs.cairn.info/revue-d-histoire-de-la-protection-sociale-2020-1-page-23) ; et Cercle de l’Épargne,</w:t>
      </w:r>
      <w:r>
        <w:t xml:space="preserve"> </w:t>
      </w:r>
      <w:r>
        <w:rPr>
          <w:i/>
          <w:iCs/>
        </w:rPr>
        <w:t xml:space="preserve">Petit retour sur les fonds de pension en France</w:t>
      </w:r>
      <w:r>
        <w:t xml:space="preserve"> </w:t>
      </w:r>
      <w:r>
        <w:t xml:space="preserve">(https://cercledelepargne.com/petit-retour-fonds-de-pension-france).</w:t>
      </w:r>
    </w:p>
  </w:footnote>
  <w:footnote w:id="94">
    <w:p>
      <w:pPr>
        <w:pStyle w:val="FootnoteText"/>
      </w:pPr>
      <w:r>
        <w:rPr>
          <w:rStyle w:val="FootnoteReference"/>
        </w:rPr>
        <w:footnoteRef/>
      </w:r>
      <w:r>
        <w:t xml:space="preserve"> </w:t>
      </w:r>
      <w:r>
        <w:t xml:space="preserve">Loi du 14 mars 1941 instituant l’Allocation aux vieux travailleurs salariés (AVTS), dans le cadre d’une réforme menée sous l’autorité du secrétaire d’État au Travail René Belin. Voir INA,</w:t>
      </w:r>
      <w:r>
        <w:t xml:space="preserve"> </w:t>
      </w:r>
      <w:r>
        <w:rPr>
          <w:i/>
          <w:iCs/>
        </w:rPr>
        <w:t xml:space="preserve">1941 : le maréchal Pétain annonce les prémisses de la retraite par répartition</w:t>
      </w:r>
      <w:r>
        <w:t xml:space="preserve"> </w:t>
      </w:r>
      <w:r>
        <w:t xml:space="preserve">(https://www.ina.fr/ina-eclaire-actu/1941-lorsque-le-marechal-petain-annoncait-la-retraite-par-repartition) ; et Bertrand Valat,</w:t>
      </w:r>
      <w:r>
        <w:t xml:space="preserve"> </w:t>
      </w:r>
      <w:r>
        <w:rPr>
          <w:i/>
          <w:iCs/>
        </w:rPr>
        <w:t xml:space="preserve">Les retraites et la création de la Sécurité sociale en 1945 : révolution ou restauration ?</w:t>
      </w:r>
      <w:r>
        <w:t xml:space="preserve">, document de travail pour le COR, 2022 (https://www.cor-retraites.fr/sites/default/files/2022-12/Doc_10_Valat.pdf).</w:t>
      </w:r>
    </w:p>
  </w:footnote>
  <w:footnote w:id="95">
    <w:p>
      <w:pPr>
        <w:pStyle w:val="FootnoteText"/>
      </w:pPr>
      <w:r>
        <w:rPr>
          <w:rStyle w:val="FootnoteReference"/>
        </w:rPr>
        <w:footnoteRef/>
      </w:r>
      <w:r>
        <w:t xml:space="preserve"> </w:t>
      </w:r>
      <w:r>
        <w:t xml:space="preserve">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w:t>
      </w:r>
      <w:r>
        <w:t xml:space="preserve"> </w:t>
      </w:r>
      <w:r>
        <w:rPr>
          <w:i/>
          <w:iCs/>
        </w:rPr>
        <w:t xml:space="preserve">Gouverner la Sécurité sociale</w:t>
      </w:r>
      <w:r>
        <w:t xml:space="preserve">, PUF, édition augmentée 2005, chap. 1. Voir aussi EN3S,</w:t>
      </w:r>
      <w:r>
        <w:t xml:space="preserve"> </w:t>
      </w:r>
      <w:r>
        <w:rPr>
          <w:i/>
          <w:iCs/>
        </w:rPr>
        <w:t xml:space="preserve">Les valeurs portées par les fondateurs de la Sécurité sociale</w:t>
      </w:r>
      <w:r>
        <w:t xml:space="preserve"> </w:t>
      </w:r>
      <w:r>
        <w:t xml:space="preserve">(https://en3s.fr/articles-regards/34/LAROQUE.pdf). Ambroise Croizat (1901-1951), ouvrier métallurgiste, secrétaire général de la Fédération CGT des métaux, député communiste, ministre du Travail de novembre 1945 à mai 1947. Voir Michel Étiévent,</w:t>
      </w:r>
      <w:r>
        <w:t xml:space="preserve"> </w:t>
      </w:r>
      <w:r>
        <w:rPr>
          <w:i/>
          <w:iCs/>
        </w:rPr>
        <w:t xml:space="preserve">Ambroise Croizat ou l’invention sociale</w:t>
      </w:r>
      <w:r>
        <w:t xml:space="preserve">, Éditions Gap, 1999.</w:t>
      </w:r>
    </w:p>
  </w:footnote>
  <w:footnote w:id="96">
    <w:p>
      <w:pPr>
        <w:pStyle w:val="FootnoteText"/>
      </w:pPr>
      <w:r>
        <w:rPr>
          <w:rStyle w:val="FootnoteReference"/>
        </w:rPr>
        <w:footnoteRef/>
      </w:r>
      <w:r>
        <w:t xml:space="preserve"> </w:t>
      </w:r>
      <w:r>
        <w:t xml:space="preserve">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97">
    <w:p>
      <w:pPr>
        <w:pStyle w:val="FootnoteText"/>
      </w:pPr>
      <w:r>
        <w:rPr>
          <w:rStyle w:val="FootnoteReference"/>
        </w:rPr>
        <w:footnoteRef/>
      </w:r>
      <w:r>
        <w:t xml:space="preserve"> </w:t>
      </w:r>
      <w:r>
        <w:t xml:space="preserve">Citation rapportée dans la transcription des travaux préparatoires de la Sécurité sociale et reprise par plusieurs historiens, notamment Bertrand Valat,</w:t>
      </w:r>
      <w:r>
        <w:t xml:space="preserve"> </w:t>
      </w:r>
      <w:r>
        <w:rPr>
          <w:i/>
          <w:iCs/>
        </w:rPr>
        <w:t xml:space="preserve">Les retraites et la création de la Sécurité sociale en 1945</w:t>
      </w:r>
      <w:r>
        <w:t xml:space="preserve">, op. cit., et Bruno Palier,</w:t>
      </w:r>
      <w:r>
        <w:t xml:space="preserve"> </w:t>
      </w:r>
      <w:r>
        <w:rPr>
          <w:i/>
          <w:iCs/>
        </w:rPr>
        <w:t xml:space="preserve">Gouverner la Sécurité sociale</w:t>
      </w:r>
      <w:r>
        <w:t xml:space="preserve">, op. cit.</w:t>
      </w:r>
    </w:p>
  </w:footnote>
  <w:footnote w:id="98">
    <w:p>
      <w:pPr>
        <w:pStyle w:val="FootnoteText"/>
      </w:pPr>
      <w:r>
        <w:rPr>
          <w:rStyle w:val="FootnoteReference"/>
        </w:rPr>
        <w:footnoteRef/>
      </w:r>
      <w:r>
        <w:t xml:space="preserve"> </w:t>
      </w:r>
      <w:r>
        <w:t xml:space="preserve">Sur la croissance des Trente Glorieuses, INSEE,</w:t>
      </w:r>
      <w:r>
        <w:t xml:space="preserve"> </w:t>
      </w:r>
      <w:r>
        <w:rPr>
          <w:i/>
          <w:iCs/>
        </w:rPr>
        <w:t xml:space="preserve">Les Trente Glorieuses (1949-1973)</w:t>
      </w:r>
      <w:r>
        <w:t xml:space="preserve"> </w:t>
      </w:r>
      <w:r>
        <w:t xml:space="preserve">(https://www.insee.fr/fr/statistiques) ; Jean Fourastié,</w:t>
      </w:r>
      <w:r>
        <w:t xml:space="preserve"> </w:t>
      </w:r>
      <w:r>
        <w:rPr>
          <w:i/>
          <w:iCs/>
        </w:rPr>
        <w:t xml:space="preserve">Les Trente Glorieuses ou la révolution invisible de 1946 à 1975</w:t>
      </w:r>
      <w:r>
        <w:t xml:space="preserve">, Fayard, 1979. Croissance moyenne annuelle du PIB en France sur la période 1949-1973 : environ 5,3 %.</w:t>
      </w:r>
    </w:p>
  </w:footnote>
  <w:footnote w:id="99">
    <w:p>
      <w:pPr>
        <w:pStyle w:val="FootnoteText"/>
      </w:pPr>
      <w:r>
        <w:rPr>
          <w:rStyle w:val="FootnoteReference"/>
        </w:rPr>
        <w:footnoteRef/>
      </w:r>
      <w:r>
        <w:t xml:space="preserve"> </w:t>
      </w:r>
      <w:r>
        <w:t xml:space="preserve">INSEE, tableau</w:t>
      </w:r>
      <w:r>
        <w:t xml:space="preserve"> </w:t>
      </w:r>
      <w:r>
        <w:rPr>
          <w:i/>
          <w:iCs/>
        </w:rPr>
        <w:t xml:space="preserve">Espérance de vie à divers âges</w:t>
      </w:r>
      <w:r>
        <w:t xml:space="preserve"> </w:t>
      </w:r>
      <w:r>
        <w:t xml:space="preserve">(https://www.insee.fr/fr/statistiques/2416631) : à 65 ans en 1950, espérance de vie de 12,2 ans (femmes), 9,9 ans (hommes) ; passée à environ 15-17 ans en 1965-1970.</w:t>
      </w:r>
    </w:p>
  </w:footnote>
  <w:footnote w:id="100">
    <w:p>
      <w:pPr>
        <w:pStyle w:val="FootnoteText"/>
      </w:pPr>
      <w:r>
        <w:rPr>
          <w:rStyle w:val="FootnoteReference"/>
        </w:rPr>
        <w:footnoteRef/>
      </w:r>
      <w:r>
        <w:t xml:space="preserve"> </w:t>
      </w:r>
      <w:r>
        <w:t xml:space="preserve">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w:t>
      </w:r>
      <w:r>
        <w:t xml:space="preserve"> </w:t>
      </w:r>
      <w:r>
        <w:rPr>
          <w:i/>
          <w:iCs/>
        </w:rPr>
        <w:t xml:space="preserve">Les Retraites complémentaires AGIRC-ARRCO</w:t>
      </w:r>
      <w:r>
        <w:t xml:space="preserve">, Cairn, 2022 (https://www.cairn.info/les-retraites-complementaires-agirc-arrco–9782130785569-page-13.htm).</w:t>
      </w:r>
    </w:p>
  </w:footnote>
  <w:footnote w:id="101">
    <w:p>
      <w:pPr>
        <w:pStyle w:val="FootnoteText"/>
      </w:pPr>
      <w:r>
        <w:rPr>
          <w:rStyle w:val="FootnoteReference"/>
        </w:rPr>
        <w:footnoteRef/>
      </w:r>
      <w:r>
        <w:t xml:space="preserve"> </w:t>
      </w:r>
      <w:r>
        <w:t xml:space="preserve">Accord interprofessionnel du 8 décembre 1961 instituant l’ARRCO (Association des régimes de retraite complémentaires) pour les salariés non-cadres. Voir INA,</w:t>
      </w:r>
      <w:r>
        <w:t xml:space="preserve"> </w:t>
      </w:r>
      <w:r>
        <w:rPr>
          <w:i/>
          <w:iCs/>
        </w:rPr>
        <w:t xml:space="preserve">Histoire des retraites</w:t>
      </w:r>
      <w:r>
        <w:t xml:space="preserve"> </w:t>
      </w:r>
      <w:r>
        <w:t xml:space="preserve">(https://fresques.ina.fr/securite-sociale/parcours/0004/la-retraite-en-france-de-1945-a-nos-jours.html). AGIRC et ARRCO fusionnent au 1er janvier 2019 en un régime unique (AGIRC-ARRCO) par l’accord national interprofessionnel du 17 novembre 2017.</w:t>
      </w:r>
    </w:p>
  </w:footnote>
  <w:footnote w:id="102">
    <w:p>
      <w:pPr>
        <w:pStyle w:val="FootnoteText"/>
      </w:pPr>
      <w:r>
        <w:rPr>
          <w:rStyle w:val="FootnoteReference"/>
        </w:rPr>
        <w:footnoteRef/>
      </w:r>
      <w:r>
        <w:t xml:space="preserve"> </w:t>
      </w:r>
      <w:r>
        <w:t xml:space="preserve">Ordonnance n° 82-270 du 26 mars 1982 relative à l’abaissement de l’âge de la retraite des assurés du régime général, prise par le gouvernement Mauroy sous la présidence de François Mitterrand. Ministre du Travail : Jean Auroux. Voir Pierre Mauroy,</w:t>
      </w:r>
      <w:r>
        <w:t xml:space="preserve"> </w:t>
      </w:r>
      <w:r>
        <w:rPr>
          <w:i/>
          <w:iCs/>
        </w:rPr>
        <w:t xml:space="preserve">À gauche</w:t>
      </w:r>
      <w:r>
        <w:t xml:space="preserve">, Albin Michel, 2003.</w:t>
      </w:r>
    </w:p>
  </w:footnote>
  <w:footnote w:id="103">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TRI estimé pour la génération 1940 : ≈ 7-8 % ; génération 1950 : ≈ 5,8 % ; voir également section 1.5 du présent chapitre.</w:t>
      </w:r>
    </w:p>
  </w:footnote>
  <w:footnote w:id="104">
    <w:p>
      <w:pPr>
        <w:pStyle w:val="FootnoteText"/>
      </w:pPr>
      <w:r>
        <w:rPr>
          <w:rStyle w:val="FootnoteReference"/>
        </w:rPr>
        <w:footnoteRef/>
      </w:r>
      <w:r>
        <w:t xml:space="preserve"> </w:t>
      </w:r>
      <w:r>
        <w:t xml:space="preserve">INSEE, séries longues de fécondité. ICF 1964 : 2,90 enfants par femme (point haut post-1945) ; 1975 : 1,93 ; 1985 : 1,81. URL : https://www.insee.fr/fr/statistiques/2381380.</w:t>
      </w:r>
    </w:p>
  </w:footnote>
  <w:footnote w:id="105">
    <w:p>
      <w:pPr>
        <w:pStyle w:val="FootnoteText"/>
      </w:pPr>
      <w:r>
        <w:rPr>
          <w:rStyle w:val="FootnoteReference"/>
        </w:rPr>
        <w:footnoteRef/>
      </w:r>
      <w:r>
        <w:t xml:space="preserve"> </w:t>
      </w:r>
      <w:r>
        <w:t xml:space="preserve">Raoul Briet,</w:t>
      </w:r>
      <w:r>
        <w:t xml:space="preserve"> </w:t>
      </w:r>
      <w:r>
        <w:rPr>
          <w:i/>
          <w:iCs/>
        </w:rPr>
        <w:t xml:space="preserve">Perspectives à long terme des retraites</w:t>
      </w:r>
      <w:r>
        <w:t xml:space="preserve">, rapport au Premier ministre, Commissariat général du Plan, juin 1995. Sur la genèse politique du rapport, voir Sénat, archives parlementaires 1995-1996, et Bruno Palier,</w:t>
      </w:r>
      <w:r>
        <w:t xml:space="preserve"> </w:t>
      </w:r>
      <w:r>
        <w:rPr>
          <w:i/>
          <w:iCs/>
        </w:rPr>
        <w:t xml:space="preserve">Réformer les retraites</w:t>
      </w:r>
      <w:r>
        <w:t xml:space="preserve">, Presses de Sciences Po, 2021, chap. 3.</w:t>
      </w:r>
    </w:p>
  </w:footnote>
  <w:footnote w:id="106">
    <w:p>
      <w:pPr>
        <w:pStyle w:val="FootnoteText"/>
      </w:pPr>
      <w:r>
        <w:rPr>
          <w:rStyle w:val="FootnoteReference"/>
        </w:rPr>
        <w:footnoteRef/>
      </w:r>
      <w:r>
        <w:t xml:space="preserve"> </w:t>
      </w:r>
      <w:r>
        <w:t xml:space="preserve">Jean-Michel Charpin,</w:t>
      </w:r>
      <w:r>
        <w:t xml:space="preserve"> </w:t>
      </w:r>
      <w:r>
        <w:rPr>
          <w:i/>
          <w:iCs/>
        </w:rPr>
        <w:t xml:space="preserve">L’avenir de nos retraites</w:t>
      </w:r>
      <w:r>
        <w:t xml:space="preserve"> </w:t>
      </w:r>
      <w:r>
        <w:rPr>
          <w:i/>
          <w:iCs/>
        </w:rPr>
        <w:t xml:space="preserve">- Rapport au Premier ministre</w:t>
      </w:r>
      <w:r>
        <w:t xml:space="preserve">, Commissariat général du Plan, mai 1999, 264 pages (La Documentation française). Pour une mise en perspective critique, voir le débat</w:t>
      </w:r>
      <w:r>
        <w:t xml:space="preserve"> </w:t>
      </w:r>
      <w:r>
        <w:rPr>
          <w:i/>
          <w:iCs/>
        </w:rPr>
        <w:t xml:space="preserve">Quarante remarques sur le rapport Charpin</w:t>
      </w:r>
      <w:r>
        <w:t xml:space="preserve">, Sciences Po, 2000 (https://sciencespo.hal.science/hal-01010827/).</w:t>
      </w:r>
    </w:p>
  </w:footnote>
  <w:footnote w:id="109">
    <w:p>
      <w:pPr>
        <w:pStyle w:val="FootnoteText"/>
      </w:pPr>
      <w:r>
        <w:rPr>
          <w:rStyle w:val="FootnoteReference"/>
        </w:rPr>
        <w:footnoteRef/>
      </w:r>
      <w:r>
        <w:t xml:space="preserve"> </w:t>
      </w:r>
      <w:r>
        <w:t xml:space="preserve">Loi n° 93-936 du 22 juillet 1993 relative aux pensions de retraite et à la sauvegarde de la protection sociale. Texte sur Légifrance (https://www.legifrance.gouv.fr/loda/id/JORFTEXT000000545719/). Estimation des économies cumulées sur trente ans : AGIPI,</w:t>
      </w:r>
      <w:r>
        <w:t xml:space="preserve"> </w:t>
      </w:r>
      <w:r>
        <w:rPr>
          <w:i/>
          <w:iCs/>
        </w:rPr>
        <w:t xml:space="preserve">Retraites en France : trente ans de réformes clés (1993-2023)</w:t>
      </w:r>
      <w:r>
        <w:t xml:space="preserve">, 2023 (https://www.agipi.com/offre/far-per/retraites-30-ans-de-reformes/).</w:t>
      </w:r>
    </w:p>
  </w:footnote>
  <w:footnote w:id="110">
    <w:p>
      <w:pPr>
        <w:pStyle w:val="FootnoteText"/>
      </w:pPr>
      <w:r>
        <w:rPr>
          <w:rStyle w:val="FootnoteReference"/>
        </w:rPr>
        <w:footnoteRef/>
      </w:r>
      <w:r>
        <w:t xml:space="preserve"> </w:t>
      </w:r>
      <w:r>
        <w:t xml:space="preserve">Loi n° 2003-775 du 21 août 2003 portant réforme des retraites (loi Fillon). Texte sur Légifrance. Sur la mobilisation très limitée comparée aux précédents mouvements : Bruno Palier,</w:t>
      </w:r>
      <w:r>
        <w:t xml:space="preserve"> </w:t>
      </w:r>
      <w:r>
        <w:rPr>
          <w:i/>
          <w:iCs/>
        </w:rPr>
        <w:t xml:space="preserve">Réformer les retraites</w:t>
      </w:r>
      <w:r>
        <w:t xml:space="preserve">, op. cit.</w:t>
      </w:r>
    </w:p>
  </w:footnote>
  <w:footnote w:id="111">
    <w:p>
      <w:pPr>
        <w:pStyle w:val="FootnoteText"/>
      </w:pPr>
      <w:r>
        <w:rPr>
          <w:rStyle w:val="FootnoteReference"/>
        </w:rPr>
        <w:footnoteRef/>
      </w:r>
      <w:r>
        <w:t xml:space="preserve"> </w:t>
      </w:r>
      <w:r>
        <w:t xml:space="preserve">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112">
    <w:p>
      <w:pPr>
        <w:pStyle w:val="FootnoteText"/>
      </w:pPr>
      <w:r>
        <w:rPr>
          <w:rStyle w:val="FootnoteReference"/>
        </w:rPr>
        <w:footnoteRef/>
      </w:r>
      <w:r>
        <w:t xml:space="preserve"> </w:t>
      </w:r>
      <w:r>
        <w:t xml:space="preserve">Loi n° 2014-40 du 20 janvier 2014 garantissant l’avenir et la justice du système de retraites (loi Touraine). Mobilisation limitée : la CFDT soutient le projet, la CGT et FO le contestent sans grève reconductible.</w:t>
      </w:r>
    </w:p>
  </w:footnote>
  <w:footnote w:id="113">
    <w:p>
      <w:pPr>
        <w:pStyle w:val="FootnoteText"/>
      </w:pPr>
      <w:r>
        <w:rPr>
          <w:rStyle w:val="FootnoteReference"/>
        </w:rPr>
        <w:footnoteRef/>
      </w:r>
      <w:r>
        <w:t xml:space="preserve"> </w:t>
      </w:r>
      <w:r>
        <w:rPr>
          <w:i/>
          <w:iCs/>
        </w:rPr>
        <w:t xml:space="preserve">France Info</w:t>
      </w:r>
      <w:r>
        <w:t xml:space="preserve">,</w:t>
      </w:r>
      <w:r>
        <w:t xml:space="preserve"> </w:t>
      </w:r>
      <w:r>
        <w:rPr>
          <w:i/>
          <w:iCs/>
        </w:rPr>
        <w:t xml:space="preserve">Grève du 7 mars contre la réforme des retraites : 1,28 million de manifestants comptabilisés par le ministère de l’Intérieur, 3,5 millions selon la CGT</w:t>
      </w:r>
      <w:r>
        <w:t xml:space="preserve">,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114">
    <w:p>
      <w:pPr>
        <w:pStyle w:val="FootnoteText"/>
      </w:pPr>
      <w:r>
        <w:rPr>
          <w:rStyle w:val="FootnoteReference"/>
        </w:rPr>
        <w:footnoteRef/>
      </w:r>
      <w:r>
        <w:t xml:space="preserve"> </w:t>
      </w:r>
      <w:r>
        <w:t xml:space="preserve">Sondage Elabe pour BFMTV,</w:t>
      </w:r>
      <w:r>
        <w:t xml:space="preserve"> </w:t>
      </w:r>
      <w:r>
        <w:rPr>
          <w:i/>
          <w:iCs/>
        </w:rPr>
        <w:t xml:space="preserve">Les Français et la réforme des retraites</w:t>
      </w:r>
      <w:r>
        <w:t xml:space="preserve">, 11 janvier 2023 : 59 % des Français opposés à la réforme, 60 % soutenant les mobilisations syndicales. Réplication confirmée par les vagues OpinionWay et Ifop du premier trimestre 2023.</w:t>
      </w:r>
    </w:p>
  </w:footnote>
  <w:footnote w:id="115">
    <w:p>
      <w:pPr>
        <w:pStyle w:val="FootnoteText"/>
      </w:pPr>
      <w:r>
        <w:rPr>
          <w:rStyle w:val="FootnoteReference"/>
        </w:rPr>
        <w:footnoteRef/>
      </w:r>
      <w:r>
        <w:t xml:space="preserve"> </w:t>
      </w:r>
      <w:r>
        <w:t xml:space="preserve">Accord politique automne 2025 entre le Parti socialiste et le gouvernement Bayrou. Voir Olivier Faure, secrétaire premier du PS, interview à</w:t>
      </w:r>
      <w:r>
        <w:t xml:space="preserve"> </w:t>
      </w:r>
      <w:r>
        <w:rPr>
          <w:i/>
          <w:iCs/>
        </w:rPr>
        <w:t xml:space="preserve">France Info</w:t>
      </w:r>
      <w:r>
        <w:t xml:space="preserve">, octobre 2025 (https://www.franceinfo.fr/politique/ps/parti-socialiste-je-ne-vais-pas-maintenant-declencher-un-congres-en-plein-debat-budgetaire-lance-olivier-faure_6829541.html).</w:t>
      </w:r>
    </w:p>
  </w:footnote>
  <w:footnote w:id="117">
    <w:p>
      <w:pPr>
        <w:pStyle w:val="FootnoteText"/>
      </w:pPr>
      <w:r>
        <w:rPr>
          <w:rStyle w:val="FootnoteReference"/>
        </w:rPr>
        <w:footnoteRef/>
      </w:r>
      <w:r>
        <w:t xml:space="preserve"> </w:t>
      </w:r>
      <w:r>
        <w:t xml:space="preserve">Olivier Blanchard, ancien chef économiste du FMI, professeur à la Paris School of Economics et au Peterson Institute,</w:t>
      </w:r>
      <w:r>
        <w:t xml:space="preserve"> </w:t>
      </w:r>
      <w:r>
        <w:rPr>
          <w:i/>
          <w:iCs/>
        </w:rPr>
        <w:t xml:space="preserve">Fiscal Policy Under Low Interest Rates</w:t>
      </w:r>
      <w:r>
        <w:t xml:space="preserve"> </w:t>
      </w:r>
      <w:r>
        <w:t xml:space="preserve">(2023) et tribunes au</w:t>
      </w:r>
      <w:r>
        <w:t xml:space="preserve"> </w:t>
      </w:r>
      <w:r>
        <w:rPr>
          <w:i/>
          <w:iCs/>
        </w:rPr>
        <w:t xml:space="preserve">Financial Times</w:t>
      </w:r>
      <w:r>
        <w:t xml:space="preserve"> </w:t>
      </w:r>
      <w:r>
        <w:t xml:space="preserve">/</w:t>
      </w:r>
      <w:r>
        <w:t xml:space="preserve"> </w:t>
      </w:r>
      <w:r>
        <w:rPr>
          <w:i/>
          <w:iCs/>
        </w:rPr>
        <w:t xml:space="preserve">Project Syndicate</w:t>
      </w:r>
      <w:r>
        <w:t xml:space="preserve"> </w:t>
      </w:r>
      <w:r>
        <w:t xml:space="preserve">2024-2025. L’estimation à environ 120 Md€ - quatre points de PIB - d’effort budgétaire structurel à fournir à horizon dix ans est cohérente avec les analyses du Haut Conseil des finances publiques et de la Commission européenne</w:t>
      </w:r>
      <w:r>
        <w:t xml:space="preserve"> </w:t>
      </w:r>
      <w:r>
        <w:rPr>
          <w:i/>
          <w:iCs/>
        </w:rPr>
        <w:t xml:space="preserve">Debt Sustainability Monitor 2025</w:t>
      </w:r>
      <w:r>
        <w:t xml:space="preserve">.</w:t>
      </w:r>
    </w:p>
  </w:footnote>
  <w:footnote w:id="118">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119">
    <w:p>
      <w:pPr>
        <w:pStyle w:val="FootnoteText"/>
      </w:pPr>
      <w:r>
        <w:rPr>
          <w:rStyle w:val="FootnoteReference"/>
        </w:rPr>
        <w:footnoteRef/>
      </w:r>
      <w:r>
        <w:t xml:space="preserve"> </w:t>
      </w:r>
      <w:r>
        <w:rPr>
          <w:i/>
          <w:iCs/>
        </w:rPr>
        <w:t xml:space="preserve">Évolution du rendement du système de retraite entre générations</w:t>
      </w:r>
      <w:r>
        <w:t xml:space="preserve">,</w:t>
      </w:r>
      <w:r>
        <w:t xml:space="preserve"> </w:t>
      </w:r>
      <w:r>
        <w:rPr>
          <w:i/>
          <w:iCs/>
        </w:rPr>
        <w:t xml:space="preserve">Retraite et Société</w:t>
      </w:r>
      <w:r>
        <w:t xml:space="preserve">,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120">
    <w:p>
      <w:pPr>
        <w:pStyle w:val="FootnoteText"/>
      </w:pPr>
      <w:r>
        <w:rPr>
          <w:rStyle w:val="FootnoteReference"/>
        </w:rPr>
        <w:footnoteRef/>
      </w:r>
      <w:r>
        <w:t xml:space="preserve"> </w:t>
      </w:r>
      <w:r>
        <w:t xml:space="preserve">Cleiss (Centre des liaisons européennes et internationales de sécurité sociale),</w:t>
      </w:r>
      <w:r>
        <w:t xml:space="preserve"> </w:t>
      </w:r>
      <w:r>
        <w:rPr>
          <w:i/>
          <w:iCs/>
        </w:rPr>
        <w:t xml:space="preserve">Régime français de sécurité sociale</w:t>
      </w:r>
      <w:r>
        <w:t xml:space="preserve"> </w:t>
      </w:r>
      <w:r>
        <w:rPr>
          <w:i/>
          <w:iCs/>
        </w:rPr>
        <w:t xml:space="preserve">- Tableaux comparatifs</w:t>
      </w:r>
      <w:r>
        <w:t xml:space="preserve">,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121">
    <w:p>
      <w:pPr>
        <w:pStyle w:val="FootnoteText"/>
      </w:pPr>
      <w:r>
        <w:rPr>
          <w:rStyle w:val="FootnoteReference"/>
        </w:rPr>
        <w:footnoteRef/>
      </w:r>
      <w:r>
        <w:t xml:space="preserve"> </w:t>
      </w:r>
      <w:r>
        <w:t xml:space="preserve">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122">
    <w:p>
      <w:pPr>
        <w:pStyle w:val="FootnoteText"/>
      </w:pPr>
      <w:r>
        <w:rPr>
          <w:rStyle w:val="FootnoteReference"/>
        </w:rPr>
        <w:footnoteRef/>
      </w:r>
      <w:r>
        <w:t xml:space="preserve"> </w:t>
      </w:r>
      <w:r>
        <w:t xml:space="preserve">COR juin 2025, op. cit. Niveau de vie relatif des plus de 65 ans : 97 % du revenu moyen de la population en 2022, 87,5 % en 2070 (scénario central).</w:t>
      </w:r>
    </w:p>
  </w:footnote>
  <w:footnote w:id="123">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124">
    <w:p>
      <w:pPr>
        <w:pStyle w:val="FootnoteText"/>
      </w:pPr>
      <w:r>
        <w:rPr>
          <w:rStyle w:val="FootnoteReference"/>
        </w:rPr>
        <w:footnoteRef/>
      </w:r>
      <w:r>
        <w:t xml:space="preserve"> </w:t>
      </w:r>
      <w:r>
        <w:t xml:space="preserve">OCDE,</w:t>
      </w:r>
      <w:r>
        <w:t xml:space="preserve"> </w:t>
      </w:r>
      <w:r>
        <w:rPr>
          <w:i/>
          <w:iCs/>
        </w:rPr>
        <w:t xml:space="preserve">Longevity gains and the internal rate of return of PAYG pension plans</w:t>
      </w:r>
      <w:r>
        <w:t xml:space="preserve"> </w:t>
      </w:r>
      <w:r>
        <w:rPr>
          <w:i/>
          <w:iCs/>
        </w:rPr>
        <w:t xml:space="preserve">- Evidence for 17 OECD countries</w:t>
      </w:r>
      <w:r>
        <w:t xml:space="preserve">,</w:t>
      </w:r>
      <w:r>
        <w:t xml:space="preserve"> </w:t>
      </w:r>
      <w:r>
        <w:rPr>
          <w:i/>
          <w:iCs/>
        </w:rPr>
        <w:t xml:space="preserve">Journal of the Economics of Ageing</w:t>
      </w:r>
      <w:r>
        <w:t xml:space="preserve">, 2025 (https://www.sciencedirect.com/science/article/pii/S2212828X25000222). TRI moyen par pays pour les générations nées 1960-1970 : Suède 3,1 %, Pays-Bas 2,8 %, Australie 3,5 %, Canada 3,0 %, Allemagne 2,1 %, France 1,9 %, Italie 1,5 %.</w:t>
      </w:r>
    </w:p>
  </w:footnote>
  <w:footnote w:id="125">
    <w:p>
      <w:pPr>
        <w:pStyle w:val="FootnoteText"/>
      </w:pPr>
      <w:r>
        <w:rPr>
          <w:rStyle w:val="FootnoteReference"/>
        </w:rPr>
        <w:footnoteRef/>
      </w:r>
      <w:r>
        <w:t xml:space="preserve"> </w:t>
      </w:r>
      <w:r>
        <w:t xml:space="preserve">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w:t>
      </w:r>
      <w:r>
        <w:t xml:space="preserve"> </w:t>
      </w:r>
      <w:r>
        <w:rPr>
          <w:i/>
          <w:iCs/>
        </w:rPr>
        <w:t xml:space="preserve">Pensions at a Glance 2025</w:t>
      </w:r>
      <w:r>
        <w:t xml:space="preserve">, fiche pays Suède.</w:t>
      </w:r>
    </w:p>
  </w:footnote>
  <w:footnote w:id="126">
    <w:p>
      <w:pPr>
        <w:pStyle w:val="FootnoteText"/>
      </w:pPr>
      <w:r>
        <w:rPr>
          <w:rStyle w:val="FootnoteReference"/>
        </w:rPr>
        <w:footnoteRef/>
      </w:r>
      <w:r>
        <w:t xml:space="preserve"> </w:t>
      </w:r>
      <w:r>
        <w:t xml:space="preserve">Baromètre Odoxa-Groupama,</w:t>
      </w:r>
      <w:r>
        <w:t xml:space="preserve"> </w:t>
      </w:r>
      <w:r>
        <w:rPr>
          <w:i/>
          <w:iCs/>
        </w:rPr>
        <w:t xml:space="preserve">Les Français et le système de retraite</w:t>
      </w:r>
      <w:r>
        <w:t xml:space="preserve">, vague 5, communiqué du 5 novembre 2025 (terrain août-octobre 2025). URL : https://www.odoxa.fr/wp-content/uploads/2025/11/CP-Groupama_barometre-retraite-Odoxa-05112025.pdf.</w:t>
      </w:r>
    </w:p>
  </w:footnote>
  <w:footnote w:id="127">
    <w:p>
      <w:pPr>
        <w:pStyle w:val="FootnoteText"/>
      </w:pPr>
      <w:r>
        <w:rPr>
          <w:rStyle w:val="FootnoteReference"/>
        </w:rPr>
        <w:footnoteRef/>
      </w:r>
      <w:r>
        <w:t xml:space="preserve"> </w:t>
      </w:r>
      <w:r>
        <w:t xml:space="preserve">Cercle de l’Épargne,</w:t>
      </w:r>
      <w:r>
        <w:t xml:space="preserve"> </w:t>
      </w:r>
      <w:r>
        <w:rPr>
          <w:i/>
          <w:iCs/>
        </w:rPr>
        <w:t xml:space="preserve">Baromètre Cercle de l’Épargne</w:t>
      </w:r>
      <w:r>
        <w:t xml:space="preserve"> </w:t>
      </w:r>
      <w:r>
        <w:rPr>
          <w:i/>
          <w:iCs/>
        </w:rPr>
        <w:t xml:space="preserve">- Amphitéa 2024</w:t>
      </w:r>
      <w:r>
        <w:t xml:space="preserve">, et Institut Montaigne / Harris Interactive,</w:t>
      </w:r>
      <w:r>
        <w:t xml:space="preserve"> </w:t>
      </w:r>
      <w:r>
        <w:rPr>
          <w:i/>
          <w:iCs/>
        </w:rPr>
        <w:t xml:space="preserve">Les Français face à la retraite</w:t>
      </w:r>
      <w:r>
        <w:t xml:space="preserve">, 2025. Voir Observatoire Hexagone (https://observatoire-hexagone.org/) pour la synthèse comparée.</w:t>
      </w:r>
    </w:p>
  </w:footnote>
  <w:footnote w:id="128">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129">
    <w:p>
      <w:pPr>
        <w:pStyle w:val="FootnoteText"/>
      </w:pPr>
      <w:r>
        <w:rPr>
          <w:rStyle w:val="FootnoteReference"/>
        </w:rPr>
        <w:footnoteRef/>
      </w:r>
      <w:r>
        <w:t xml:space="preserve"> </w:t>
      </w:r>
      <w:r>
        <w:t xml:space="preserve">INSEE,</w:t>
      </w:r>
      <w:r>
        <w:t xml:space="preserve"> </w:t>
      </w:r>
      <w:r>
        <w:rPr>
          <w:i/>
          <w:iCs/>
        </w:rPr>
        <w:t xml:space="preserve">Emploi, chômage, revenus du travail</w:t>
      </w:r>
      <w:r>
        <w:t xml:space="preserve"> </w:t>
      </w:r>
      <w:r>
        <w:rPr>
          <w:i/>
          <w:iCs/>
        </w:rPr>
        <w:t xml:space="preserve">- Édition 2024</w:t>
      </w:r>
      <w:r>
        <w:t xml:space="preserve">, novembre 2024 (https://www.insee.fr/fr/statistiques/8351566). Taux d’emploi des 55-64 ans en 2024 : 60,4 %, dont 77,8 % pour les 55-59 ans et 42,4 % pour les 60-64 ans.</w:t>
      </w:r>
    </w:p>
  </w:footnote>
  <w:footnote w:id="130">
    <w:p>
      <w:pPr>
        <w:pStyle w:val="FootnoteText"/>
      </w:pPr>
      <w:r>
        <w:rPr>
          <w:rStyle w:val="FootnoteReference"/>
        </w:rPr>
        <w:footnoteRef/>
      </w:r>
      <w:r>
        <w:t xml:space="preserve"> </w:t>
      </w:r>
      <w:r>
        <w:t xml:space="preserve">France Travail / APEC,</w:t>
      </w:r>
      <w:r>
        <w:t xml:space="preserve"> </w:t>
      </w:r>
      <w:r>
        <w:rPr>
          <w:i/>
          <w:iCs/>
        </w:rPr>
        <w:t xml:space="preserve">26 % des cadres seniors en chômage de longue durée</w:t>
      </w:r>
      <w:r>
        <w:t xml:space="preserve">, communiqué et étude conjointe, 2026 (https://www.francetravail.org/accueil/communiques/2026/26-des-cadres-seniors-en-chomage-de-longue-duree-l-apec-et-france-travail-dressent-un-constat-et-proposent-des-solutions.html).</w:t>
      </w:r>
    </w:p>
  </w:footnote>
  <w:footnote w:id="131">
    <w:p>
      <w:pPr>
        <w:pStyle w:val="FootnoteText"/>
      </w:pPr>
      <w:r>
        <w:rPr>
          <w:rStyle w:val="FootnoteReference"/>
        </w:rPr>
        <w:footnoteRef/>
      </w:r>
      <w:r>
        <w:t xml:space="preserve"> </w:t>
      </w:r>
      <w:r>
        <w:t xml:space="preserve">Frédéric Souillot, secrétaire général de Force ouvrière, interview à</w:t>
      </w:r>
      <w:r>
        <w:t xml:space="preserve"> </w:t>
      </w:r>
      <w:r>
        <w:rPr>
          <w:i/>
          <w:iCs/>
        </w:rPr>
        <w:t xml:space="preserve">France Info</w:t>
      </w:r>
      <w:r>
        <w:t xml:space="preserve">, février 2023 (https://www.franceinfo.fr/economie/retraite/reforme-des-retraites/reforme-des-retraites-est-ce-que-j-ai-l-air-de-vouloir-tourner-la-page-dit-frederic-souillot-fo-a-propos-de-la-suite-de-la-mobilisation_5871173.html).</w:t>
      </w:r>
    </w:p>
  </w:footnote>
  <w:footnote w:id="132">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34">
    <w:p>
      <w:pPr>
        <w:pStyle w:val="FootnoteText"/>
      </w:pPr>
      <w:r>
        <w:rPr>
          <w:rStyle w:val="FootnoteReference"/>
        </w:rPr>
        <w:footnoteRef/>
      </w:r>
      <w:r>
        <w:t xml:space="preserve"> </w:t>
      </w:r>
      <w:r>
        <w:t xml:space="preserve">Définition standard mobilisée par l’ensemble des organismes internationaux. Voir OCDE,</w:t>
      </w:r>
      <w:r>
        <w:t xml:space="preserve"> </w:t>
      </w:r>
      <w:r>
        <w:rPr>
          <w:i/>
          <w:iCs/>
        </w:rPr>
        <w:t xml:space="preserve">Pensions at a Glance 2025</w:t>
      </w:r>
      <w:r>
        <w:t xml:space="preserve">, novembre 2025, glossaire (https://www.oecd.org/en/publications/2025/11/pensions-at-a-glance-2025_76510fe4/). Pour une présentation francophone détaillée : Bertrand Martinot,</w:t>
      </w:r>
      <w:r>
        <w:t xml:space="preserve"> </w:t>
      </w:r>
      <w:r>
        <w:rPr>
          <w:i/>
          <w:iCs/>
        </w:rPr>
        <w:t xml:space="preserve">La capitalisation, un moyen de sortir par le haut de la crise des retraites ?</w:t>
      </w:r>
      <w:r>
        <w:t xml:space="preserve">, Fondapol, note n°252, octobre 2024 (https://www.fondapol.org/etude/la-capitalisation-un-moyen-de-sortir-par-le-haut-de-la-crise-des-retraites/).</w:t>
      </w:r>
    </w:p>
  </w:footnote>
  <w:footnote w:id="135">
    <w:p>
      <w:pPr>
        <w:pStyle w:val="FootnoteText"/>
      </w:pPr>
      <w:r>
        <w:rPr>
          <w:rStyle w:val="FootnoteReference"/>
        </w:rPr>
        <w:footnoteRef/>
      </w:r>
      <w:r>
        <w:t xml:space="preserve"> </w:t>
      </w:r>
      <w:r>
        <w:t xml:space="preserve">Le principe est inscrit à l’article L. 111-1 du Code de la sécurité sociale et structuré par les ordonnances du 4 octobre 1945. Voir Bruno Palier,</w:t>
      </w:r>
      <w:r>
        <w:t xml:space="preserve"> </w:t>
      </w:r>
      <w:r>
        <w:rPr>
          <w:i/>
          <w:iCs/>
        </w:rPr>
        <w:t xml:space="preserve">Réformer les retraites</w:t>
      </w:r>
      <w:r>
        <w:t xml:space="preserve">, Presses de Sciences Po, 2021, pour une histoire institutionnelle complète. Sur la mécanique des flux : COR,</w:t>
      </w:r>
      <w:r>
        <w:t xml:space="preserve"> </w:t>
      </w:r>
      <w:r>
        <w:rPr>
          <w:i/>
          <w:iCs/>
        </w:rPr>
        <w:t xml:space="preserve">Le système de retraite français</w:t>
      </w:r>
      <w:r>
        <w:t xml:space="preserve"> </w:t>
      </w:r>
      <w:r>
        <w:rPr>
          <w:i/>
          <w:iCs/>
        </w:rPr>
        <w:t xml:space="preserve">- Note de présentation</w:t>
      </w:r>
      <w:r>
        <w:t xml:space="preserve">, mise à jour 2025 (https://www.cor-retraites.fr).</w:t>
      </w:r>
    </w:p>
  </w:footnote>
  <w:footnote w:id="136">
    <w:p>
      <w:pPr>
        <w:pStyle w:val="FootnoteText"/>
      </w:pPr>
      <w:r>
        <w:rPr>
          <w:rStyle w:val="FootnoteReference"/>
        </w:rPr>
        <w:footnoteRef/>
      </w:r>
      <w:r>
        <w:t xml:space="preserve"> </w:t>
      </w:r>
      <w:r>
        <w:t xml:space="preserve">Estimation issue de Yves Dubois et Anthony Marino,</w:t>
      </w:r>
      <w:r>
        <w:t xml:space="preserve"> </w:t>
      </w:r>
      <w:r>
        <w:rPr>
          <w:i/>
          <w:iCs/>
        </w:rPr>
        <w:t xml:space="preserve">Le taux de rendement interne du système de retraite français : quelle redistribution au sein d’une génération et quelle évolution entre générations ?</w:t>
      </w:r>
      <w:r>
        <w:t xml:space="preserve">, INSEE,</w:t>
      </w:r>
      <w:r>
        <w:t xml:space="preserve"> </w:t>
      </w:r>
      <w:r>
        <w:rPr>
          <w:i/>
          <w:iCs/>
        </w:rPr>
        <w:t xml:space="preserve">Économie et Statistique</w:t>
      </w:r>
      <w:r>
        <w:t xml:space="preserve"> </w:t>
      </w:r>
      <w:r>
        <w:t xml:space="preserve">n°481-482, 2015 (https://www.insee.fr/fr/statistiques/1305193). Le TRI estimé décline de 2-3 % pour la génération 1946 à environ 1,5 % pour la génération 1963 et à 1-1,5 % pour les générations 1975 et au-delà, à législation actuelle.</w:t>
      </w:r>
    </w:p>
  </w:footnote>
  <w:footnote w:id="137">
    <w:p>
      <w:pPr>
        <w:pStyle w:val="FootnoteText"/>
      </w:pPr>
      <w:r>
        <w:rPr>
          <w:rStyle w:val="FootnoteReference"/>
        </w:rPr>
        <w:footnoteRef/>
      </w:r>
      <w:r>
        <w:t xml:space="preserve"> </w:t>
      </w:r>
      <w:r>
        <w:t xml:space="preserve">Allocation type d’un grand fonds de pension public. Voir Norges Bank Investment Management,</w:t>
      </w:r>
      <w:r>
        <w:t xml:space="preserve"> </w:t>
      </w:r>
      <w:r>
        <w:rPr>
          <w:i/>
          <w:iCs/>
        </w:rPr>
        <w:t xml:space="preserve">Government Pension Fund Global</w:t>
      </w:r>
      <w:r>
        <w:t xml:space="preserve"> </w:t>
      </w:r>
      <w:r>
        <w:rPr>
          <w:i/>
          <w:iCs/>
        </w:rPr>
        <w:t xml:space="preserve">- Annual Report 2024</w:t>
      </w:r>
      <w:r>
        <w:t xml:space="preserve">, 2025 (https://www.nbim.no/en/news-and-insights/reports/2024/annual-report-2024/) : 71,4 % actions, 26,6 % obligations, 1,8 % immobilier, 0,1 % énergies renouvelables. Le GPFG investit dans environ 8 700 entreprises cotées à travers 70 pays.</w:t>
      </w:r>
    </w:p>
  </w:footnote>
  <w:footnote w:id="138">
    <w:p>
      <w:pPr>
        <w:pStyle w:val="FootnoteText"/>
      </w:pPr>
      <w:r>
        <w:rPr>
          <w:rStyle w:val="FootnoteReference"/>
        </w:rPr>
        <w:footnoteRef/>
      </w:r>
      <w:r>
        <w:t xml:space="preserve"> </w:t>
      </w:r>
      <w:r>
        <w:t xml:space="preserve">Calcul de référence. À 4 % réel annuel sur 40 ans, un capital initial est multiplié par (1,04)^40 ≈ 4,80. À 3 %, par 3,26 ; à 5 %, par 7,04. La sensibilité de l’effet composé au taux et à la durée est la donnée centrale de ce chapitre - elle est documentée en détail dans la section 6 et l’annexe modélisation. Sources de rendement long terme : Elroy Dimson, Paul Marsh, Mike Staunton,</w:t>
      </w:r>
      <w:r>
        <w:t xml:space="preserve"> </w:t>
      </w:r>
      <w:r>
        <w:rPr>
          <w:i/>
          <w:iCs/>
        </w:rPr>
        <w:t xml:space="preserve">Global Investment Returns Yearbook 2025</w:t>
      </w:r>
      <w:r>
        <w:t xml:space="preserve">, UBS / London Business School, 2025 (https://www.ubs.com/global/en/investment-bank/insights-and-data/2025/global-investment-returns-yearbook-2025.html).</w:t>
      </w:r>
    </w:p>
  </w:footnote>
  <w:footnote w:id="139">
    <w:p>
      <w:pPr>
        <w:pStyle w:val="FootnoteText"/>
      </w:pPr>
      <w:r>
        <w:rPr>
          <w:rStyle w:val="FootnoteReference"/>
        </w:rPr>
        <w:footnoteRef/>
      </w:r>
      <w:r>
        <w:t xml:space="preserve"> </w:t>
      </w:r>
      <w:r>
        <w:t xml:space="preserve">Aucune trace primaire de cette citation n’a été retrouvée dans les écrits d’Albert Einstein. Voir notamment Stéphane Mintos,</w:t>
      </w:r>
      <w:r>
        <w:t xml:space="preserve"> </w:t>
      </w:r>
      <w:r>
        <w:rPr>
          <w:i/>
          <w:iCs/>
        </w:rPr>
        <w:t xml:space="preserve">Taux d’intérêt composé : la 8ème merveille du monde selon Einstein ?</w:t>
      </w:r>
      <w:r>
        <w:t xml:space="preserve">, 2023 (https://www.mintos.com/blog/taux-interet-compose-8eme-merveille-du-monde-selon-einstein/). La citation est probablement apocryphe ; mieux vaut ne pas l’attribuer.</w:t>
      </w:r>
    </w:p>
  </w:footnote>
  <w:footnote w:id="140">
    <w:p>
      <w:pPr>
        <w:pStyle w:val="FootnoteText"/>
      </w:pPr>
      <w:r>
        <w:rPr>
          <w:rStyle w:val="FootnoteReference"/>
        </w:rPr>
        <w:footnoteRef/>
      </w:r>
      <w:r>
        <w:t xml:space="preserve"> </w:t>
      </w:r>
      <w:r>
        <w:t xml:space="preserve">Valeurs (1,04)^n : n=20 ⇒ 2,191 ; n=30 ⇒ 3,243 ; n=40 ⇒ 4,801 ; n=50 ⇒ 7,107. Pour une présentation pédagogique anglo-saxonne du même mécanisme appliqué aux retraites : Burton Malkiel,</w:t>
      </w:r>
      <w:r>
        <w:t xml:space="preserve"> </w:t>
      </w:r>
      <w:r>
        <w:rPr>
          <w:i/>
          <w:iCs/>
        </w:rPr>
        <w:t xml:space="preserve">A Random Walk Down Wall Street</w:t>
      </w:r>
      <w:r>
        <w:t xml:space="preserve">, W. W. Norton, 12e éd. 2019, chap. 13 ; Charles Ellis,</w:t>
      </w:r>
      <w:r>
        <w:t xml:space="preserve"> </w:t>
      </w:r>
      <w:r>
        <w:rPr>
          <w:i/>
          <w:iCs/>
        </w:rPr>
        <w:t xml:space="preserve">Winning the Loser’s Game</w:t>
      </w:r>
      <w:r>
        <w:t xml:space="preserve">, McGraw-Hill, 8e éd. 2021.</w:t>
      </w:r>
    </w:p>
  </w:footnote>
  <w:footnote w:id="141">
    <w:p>
      <w:pPr>
        <w:pStyle w:val="FootnoteText"/>
      </w:pPr>
      <w:r>
        <w:rPr>
          <w:rStyle w:val="FootnoteReference"/>
        </w:rPr>
        <w:footnoteRef/>
      </w:r>
      <w:r>
        <w:t xml:space="preserve"> </w:t>
      </w:r>
      <w:r>
        <w:t xml:space="preserve">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w:t>
      </w:r>
      <w:r>
        <w:t xml:space="preserve"> </w:t>
      </w:r>
      <w:r>
        <w:rPr>
          <w:i/>
          <w:iCs/>
        </w:rPr>
        <w:t xml:space="preserve">A Random Walk Down Wall Street</w:t>
      </w:r>
      <w:r>
        <w:t xml:space="preserve">, W. W. Norton, 12e éd. 2019, chap. 13. Pour une discussion francophone : Jean Tirole,</w:t>
      </w:r>
      <w:r>
        <w:t xml:space="preserve"> </w:t>
      </w:r>
      <w:r>
        <w:rPr>
          <w:i/>
          <w:iCs/>
        </w:rPr>
        <w:t xml:space="preserve">Économie du bien commun</w:t>
      </w:r>
      <w:r>
        <w:t xml:space="preserve">, PUF, 2016, chap. 8.</w:t>
      </w:r>
    </w:p>
  </w:footnote>
  <w:footnote w:id="142">
    <w:p>
      <w:pPr>
        <w:pStyle w:val="FootnoteText"/>
      </w:pPr>
      <w:r>
        <w:rPr>
          <w:rStyle w:val="FootnoteReference"/>
        </w:rPr>
        <w:footnoteRef/>
      </w:r>
      <w:r>
        <w:t xml:space="preserve"> </w:t>
      </w:r>
      <w:r>
        <w:t xml:space="preserve">Thomas Piketty,</w:t>
      </w:r>
      <w:r>
        <w:t xml:space="preserve"> </w:t>
      </w:r>
      <w:r>
        <w:rPr>
          <w:i/>
          <w:iCs/>
        </w:rPr>
        <w:t xml:space="preserve">Le capital au XXIe siècle</w:t>
      </w:r>
      <w:r>
        <w:t xml:space="preserve">,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43">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 London Business School, 2025 (https://www.ubs.com/global/en/investment-bank/insights-and-data/2025/global-investment-returns-yearbook-2025.html). Rendements réels annualisés mondiaux 1900-2024 : actions 5,2 %, obligations 1,7 %, bons du Trésor 0,5 %. Sur la période 2000-2024, actions mondiales 3,5 % réel ; prime de risque actions sur cash 4,3 points annualisés.</w:t>
      </w:r>
    </w:p>
  </w:footnote>
  <w:footnote w:id="144">
    <w:p>
      <w:pPr>
        <w:pStyle w:val="FootnoteText"/>
      </w:pPr>
      <w:r>
        <w:rPr>
          <w:rStyle w:val="FootnoteReference"/>
        </w:rPr>
        <w:footnoteRef/>
      </w:r>
      <w:r>
        <w:t xml:space="preserve"> </w:t>
      </w:r>
      <w:r>
        <w:t xml:space="preserve">Voir les règles de conversion en rente du</w:t>
      </w:r>
      <w:r>
        <w:t xml:space="preserve"> </w:t>
      </w:r>
      <w:r>
        <w:rPr>
          <w:i/>
          <w:iCs/>
        </w:rPr>
        <w:t xml:space="preserve">Premiepension</w:t>
      </w:r>
      <w:r>
        <w:t xml:space="preserve"> </w:t>
      </w:r>
      <w:r>
        <w:t xml:space="preserve">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 d’où des débats internes sur la «</w:t>
      </w:r>
      <w:r>
        <w:t xml:space="preserve"> </w:t>
      </w:r>
      <w:r>
        <w:rPr>
          <w:i/>
          <w:iCs/>
        </w:rPr>
        <w:t xml:space="preserve">retirement income covenant</w:t>
      </w:r>
      <w:r>
        <w:t xml:space="preserve"> </w:t>
      </w:r>
      <w:r>
        <w:t xml:space="preserve">» (APRA,</w:t>
      </w:r>
      <w:r>
        <w:t xml:space="preserve"> </w:t>
      </w:r>
      <w:r>
        <w:rPr>
          <w:i/>
          <w:iCs/>
        </w:rPr>
        <w:t xml:space="preserve">Quarterly superannuation performance statistics</w:t>
      </w:r>
      <w:r>
        <w:t xml:space="preserve">, 2025).</w:t>
      </w:r>
    </w:p>
  </w:footnote>
  <w:footnote w:id="145">
    <w:p>
      <w:pPr>
        <w:pStyle w:val="FootnoteText"/>
      </w:pPr>
      <w:r>
        <w:rPr>
          <w:rStyle w:val="FootnoteReference"/>
        </w:rPr>
        <w:footnoteRef/>
      </w:r>
      <w:r>
        <w:t xml:space="preserve"> </w:t>
      </w:r>
      <w:r>
        <w:t xml:space="preserve">Pensionsmyndigheten,</w:t>
      </w:r>
      <w:r>
        <w:t xml:space="preserve"> </w:t>
      </w:r>
      <w:r>
        <w:rPr>
          <w:i/>
          <w:iCs/>
        </w:rPr>
        <w:t xml:space="preserve">Det svenska pensionssystemet</w:t>
      </w:r>
      <w:r>
        <w:t xml:space="preserve">, 2024 (https://www.pensionsmyndigheten.se). Premier pilier suédois : 16,5 % de cotisation sur la pension</w:t>
      </w:r>
      <w:r>
        <w:t xml:space="preserve"> </w:t>
      </w:r>
      <w:r>
        <w:rPr>
          <w:i/>
          <w:iCs/>
        </w:rPr>
        <w:t xml:space="preserve">NDC</w:t>
      </w:r>
      <w:r>
        <w:t xml:space="preserve"> </w:t>
      </w:r>
      <w:r>
        <w:t xml:space="preserve">à comptes notionnels et 2,5 % sur la</w:t>
      </w:r>
      <w:r>
        <w:t xml:space="preserve"> </w:t>
      </w:r>
      <w:r>
        <w:rPr>
          <w:i/>
          <w:iCs/>
        </w:rPr>
        <w:t xml:space="preserve">Premiepension</w:t>
      </w:r>
      <w:r>
        <w:t xml:space="preserve"> </w:t>
      </w:r>
      <w:r>
        <w:t xml:space="preserve">capitalisée à comptes individuels, géré par le</w:t>
      </w:r>
      <w:r>
        <w:t xml:space="preserve"> </w:t>
      </w:r>
      <w:r>
        <w:rPr>
          <w:i/>
          <w:iCs/>
        </w:rPr>
        <w:t xml:space="preserve">Premiepensionsmyndigheten</w:t>
      </w:r>
      <w:r>
        <w:t xml:space="preserve">. Pour le détail des accords professionnels (ITP, SAF-LO, KAP-KL) : Collectum et Alecta, rapports 2024.</w:t>
      </w:r>
    </w:p>
  </w:footnote>
  <w:footnote w:id="146">
    <w:p>
      <w:pPr>
        <w:pStyle w:val="FootnoteText"/>
      </w:pPr>
      <w:r>
        <w:rPr>
          <w:rStyle w:val="FootnoteReference"/>
        </w:rPr>
        <w:footnoteRef/>
      </w:r>
      <w:r>
        <w:t xml:space="preserve"> </w:t>
      </w:r>
      <w:r>
        <w:t xml:space="preserve">Sur la couverture du deuxième pilier néerlandais et la transition Pensioenwet 2023 : ministère néerlandais des Affaires sociales et de l’Emploi,</w:t>
      </w:r>
      <w:r>
        <w:t xml:space="preserve"> </w:t>
      </w:r>
      <w:r>
        <w:rPr>
          <w:i/>
          <w:iCs/>
        </w:rPr>
        <w:t xml:space="preserve">De nieuwe pensioenwet</w:t>
      </w:r>
      <w:r>
        <w:t xml:space="preserve">, 2023 ; Bruno Palier,</w:t>
      </w:r>
      <w:r>
        <w:t xml:space="preserve"> </w:t>
      </w:r>
      <w:r>
        <w:rPr>
          <w:i/>
          <w:iCs/>
        </w:rPr>
        <w:t xml:space="preserve">Réformer les retraites</w:t>
      </w:r>
      <w:r>
        <w:t xml:space="preserve">, Presses de Sciences Po, 2021, chap. 5. Le deuxième pilier néerlandais couvre environ 85 % des salariés du secteur privé via les fonds sectoriels obligatoires (ABP, PFZW, PMT,</w:t>
      </w:r>
      <w:r>
        <w:t xml:space="preserve"> </w:t>
      </w:r>
      <w:r>
        <w:rPr>
          <w:i/>
          <w:iCs/>
        </w:rPr>
        <w:t xml:space="preserve">Bedrijfstakpensioenfondsen</w:t>
      </w:r>
      <w:r>
        <w:t xml:space="preserve">).</w:t>
      </w:r>
    </w:p>
  </w:footnote>
  <w:footnote w:id="147">
    <w:p>
      <w:pPr>
        <w:pStyle w:val="FootnoteText"/>
      </w:pPr>
      <w:r>
        <w:rPr>
          <w:rStyle w:val="FootnoteReference"/>
        </w:rPr>
        <w:footnoteRef/>
      </w:r>
      <w:r>
        <w:t xml:space="preserve"> </w:t>
      </w:r>
      <w:r>
        <w:t xml:space="preserve">Données comparatives Thinking Ahead Institute,</w:t>
      </w:r>
      <w:r>
        <w:t xml:space="preserve"> </w:t>
      </w:r>
      <w:r>
        <w:rPr>
          <w:i/>
          <w:iCs/>
        </w:rPr>
        <w:t xml:space="preserve">Global Pension Assets Study 2025</w:t>
      </w:r>
      <w:r>
        <w:t xml:space="preserve">, 2025 (https://www.thinkingaheadinstitute.org/research-papers/global-pension-assets-study-2025/). Pour la</w:t>
      </w:r>
      <w:r>
        <w:t xml:space="preserve"> </w:t>
      </w:r>
      <w:r>
        <w:rPr>
          <w:i/>
          <w:iCs/>
        </w:rPr>
        <w:t xml:space="preserve">Superannuation Guarantee</w:t>
      </w:r>
      <w:r>
        <w:t xml:space="preserve"> </w:t>
      </w:r>
      <w:r>
        <w:t xml:space="preserve">australienne : Australian Taxation Office, taux 11,5 % à compter du 1er juillet 2024, 12 % depuis le 1er juillet 2025.</w:t>
      </w:r>
    </w:p>
  </w:footnote>
  <w:footnote w:id="149">
    <w:p>
      <w:pPr>
        <w:pStyle w:val="FootnoteText"/>
      </w:pPr>
      <w:r>
        <w:rPr>
          <w:rStyle w:val="FootnoteReference"/>
        </w:rPr>
        <w:footnoteRef/>
      </w:r>
      <w:r>
        <w:t xml:space="preserve"> </w:t>
      </w:r>
      <w:r>
        <w:t xml:space="preserve">Autorité de contrôle prudentiel et de résolution,</w:t>
      </w:r>
      <w:r>
        <w:t xml:space="preserve"> </w:t>
      </w:r>
      <w:r>
        <w:rPr>
          <w:i/>
          <w:iCs/>
        </w:rPr>
        <w:t xml:space="preserve">Le marché de l’assurance-vie en 2024</w:t>
      </w:r>
      <w:r>
        <w:t xml:space="preserve">, analyse n°170, mars 2025 (https://acpr.banque-france.fr/fr/publications-et-statistiques/publications/ndeg-170-le-marche-de-lassurance-vie-en-2024). Total assurance-vie environ 1 989 Md€ fin 2024 ; 1 178 Md€ en provisions mathématiques des fonds euros individuels.</w:t>
      </w:r>
    </w:p>
  </w:footnote>
  <w:footnote w:id="150">
    <w:p>
      <w:pPr>
        <w:pStyle w:val="FootnoteText"/>
      </w:pPr>
      <w:r>
        <w:rPr>
          <w:rStyle w:val="FootnoteReference"/>
        </w:rPr>
        <w:footnoteRef/>
      </w:r>
      <w:r>
        <w:t xml:space="preserve"> </w:t>
      </w:r>
      <w:r>
        <w:t xml:space="preserve">Allocation typique des fonds euros : environ 70 % d’obligations souveraines (dont une part majoritaire de dette française et zone euro), 15-20 % de corporate investment grade, 5-10 % d’immobilier, marginal en actions. Voir ACPR,</w:t>
      </w:r>
      <w:r>
        <w:t xml:space="preserve"> </w:t>
      </w:r>
      <w:r>
        <w:rPr>
          <w:i/>
          <w:iCs/>
        </w:rPr>
        <w:t xml:space="preserve">Le marché de l’assurance-vie en 2024</w:t>
      </w:r>
      <w:r>
        <w:t xml:space="preserve">, n°170, mars 2025.</w:t>
      </w:r>
    </w:p>
  </w:footnote>
  <w:footnote w:id="151">
    <w:p>
      <w:pPr>
        <w:pStyle w:val="FootnoteText"/>
      </w:pPr>
      <w:r>
        <w:rPr>
          <w:rStyle w:val="FootnoteReference"/>
        </w:rPr>
        <w:footnoteRef/>
      </w:r>
      <w:r>
        <w:t xml:space="preserve"> </w:t>
      </w:r>
      <w:r>
        <w:t xml:space="preserve">ACPR / Banque de France,</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de 2,63 % pour les contrats individuels, avant prélèvements sociaux.</w:t>
      </w:r>
    </w:p>
  </w:footnote>
  <w:footnote w:id="152">
    <w:p>
      <w:pPr>
        <w:pStyle w:val="FootnoteText"/>
      </w:pPr>
      <w:r>
        <w:rPr>
          <w:rStyle w:val="FootnoteReference"/>
        </w:rPr>
        <w:footnoteRef/>
      </w:r>
      <w:r>
        <w:t xml:space="preserve"> </w:t>
      </w:r>
      <w:r>
        <w:t xml:space="preserve">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w:t>
      </w:r>
      <w:r>
        <w:t xml:space="preserve"> </w:t>
      </w:r>
      <w:r>
        <w:rPr>
          <w:i/>
          <w:iCs/>
        </w:rPr>
        <w:t xml:space="preserve">L’épargne réglementée</w:t>
      </w:r>
      <w:r>
        <w:t xml:space="preserve"> </w:t>
      </w:r>
      <w:r>
        <w:rPr>
          <w:i/>
          <w:iCs/>
        </w:rPr>
        <w:t xml:space="preserve">- Rapport annuel 2024</w:t>
      </w:r>
      <w:r>
        <w:t xml:space="preserve">, 2025.</w:t>
      </w:r>
    </w:p>
  </w:footnote>
  <w:footnote w:id="153">
    <w:p>
      <w:pPr>
        <w:pStyle w:val="FootnoteText"/>
      </w:pPr>
      <w:r>
        <w:rPr>
          <w:rStyle w:val="FootnoteReference"/>
        </w:rPr>
        <w:footnoteRef/>
      </w:r>
      <w:r>
        <w:t xml:space="preserve"> </w:t>
      </w:r>
      <w:r>
        <w:t xml:space="preserve">Ministère de l’Économie,</w:t>
      </w:r>
      <w:r>
        <w:t xml:space="preserve"> </w:t>
      </w:r>
      <w:r>
        <w:rPr>
          <w:i/>
          <w:iCs/>
        </w:rPr>
        <w:t xml:space="preserve">Épargne retraite : déploiement du PER, plus de 11 millions de titulaires et près de 119 milliards d’encours au troisième trimestre 2024</w:t>
      </w:r>
      <w:r>
        <w:t xml:space="preserve">,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54">
    <w:p>
      <w:pPr>
        <w:pStyle w:val="FootnoteText"/>
      </w:pPr>
      <w:r>
        <w:rPr>
          <w:rStyle w:val="FootnoteReference"/>
        </w:rPr>
        <w:footnoteRef/>
      </w:r>
      <w:r>
        <w:t xml:space="preserve"> </w:t>
      </w:r>
      <w:r>
        <w:t xml:space="preserve">Pour les comparaisons : APRA (Australie),</w:t>
      </w:r>
      <w:r>
        <w:t xml:space="preserve"> </w:t>
      </w:r>
      <w:r>
        <w:rPr>
          <w:i/>
          <w:iCs/>
        </w:rPr>
        <w:t xml:space="preserve">Quarterly superannuation performance statistics</w:t>
      </w:r>
      <w:r>
        <w:t xml:space="preserve">, décembre 2024 - 4,2 trillions AUD d’actifs ; National Employment Savings Trust (Royaume-Uni),</w:t>
      </w:r>
      <w:r>
        <w:t xml:space="preserve"> </w:t>
      </w:r>
      <w:r>
        <w:rPr>
          <w:i/>
          <w:iCs/>
        </w:rPr>
        <w:t xml:space="preserve">Annual Report and Accounts 2024-25</w:t>
      </w:r>
      <w:r>
        <w:t xml:space="preserve">, 13,8 M membres et 49,7 Md GBP d’actifs au 31 mars 2025 ; ABP (Pays-Bas),</w:t>
      </w:r>
      <w:r>
        <w:t xml:space="preserve"> </w:t>
      </w:r>
      <w:r>
        <w:rPr>
          <w:i/>
          <w:iCs/>
        </w:rPr>
        <w:t xml:space="preserve">Annual Report 2024</w:t>
      </w:r>
      <w:r>
        <w:t xml:space="preserve">, 542 Md€ d’actifs (https://www.abp.nl).</w:t>
      </w:r>
    </w:p>
  </w:footnote>
  <w:footnote w:id="155">
    <w:p>
      <w:pPr>
        <w:pStyle w:val="FootnoteText"/>
      </w:pPr>
      <w:r>
        <w:rPr>
          <w:rStyle w:val="FootnoteReference"/>
        </w:rPr>
        <w:footnoteRef/>
      </w:r>
      <w:r>
        <w:t xml:space="preserve"> </w:t>
      </w:r>
      <w:r>
        <w:t xml:space="preserve">Le GPFG norvégien détient des participations dans environ 8 700 entreprises cotées à travers 70 pays (NBIM,</w:t>
      </w:r>
      <w:r>
        <w:t xml:space="preserve"> </w:t>
      </w:r>
      <w:r>
        <w:rPr>
          <w:i/>
          <w:iCs/>
        </w:rPr>
        <w:t xml:space="preserve">Annual Report 2024</w:t>
      </w:r>
      <w:r>
        <w:t xml:space="preserve">, 2025). Les fonds publics et paritaires modernes détiennent typiquement plusieurs milliers de lignes individuelles, complétées par des fonds indiciels qui multiplient l’exposition diversifiée. Voir Thinking Ahead Institute,</w:t>
      </w:r>
      <w:r>
        <w:t xml:space="preserve"> </w:t>
      </w:r>
      <w:r>
        <w:rPr>
          <w:i/>
          <w:iCs/>
        </w:rPr>
        <w:t xml:space="preserve">Global Pension Assets Study 2025</w:t>
      </w:r>
      <w:r>
        <w:t xml:space="preserve">, 2025, sur la diversification typique des grands fonds publics.</w:t>
      </w:r>
    </w:p>
  </w:footnote>
  <w:footnote w:id="156">
    <w:p>
      <w:pPr>
        <w:pStyle w:val="FootnoteText"/>
      </w:pPr>
      <w:r>
        <w:rPr>
          <w:rStyle w:val="FootnoteReference"/>
        </w:rPr>
        <w:footnoteRef/>
      </w:r>
      <w:r>
        <w:t xml:space="preserve"> </w:t>
      </w:r>
      <w:r>
        <w:t xml:space="preserve">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57">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(https://www.ap7.se). Frais de gestion : 0,05 % pour AP7 Equity Fund, 0,04 % pour AP7 Fixed Income Fund. Pour la NBIM : Norges Bank Investment Management,</w:t>
      </w:r>
      <w:r>
        <w:t xml:space="preserve"> </w:t>
      </w:r>
      <w:r>
        <w:rPr>
          <w:i/>
          <w:iCs/>
        </w:rPr>
        <w:t xml:space="preserve">Annual Report 2024</w:t>
      </w:r>
      <w:r>
        <w:t xml:space="preserve">, 2025 (https://www.nbim.no).</w:t>
      </w:r>
    </w:p>
  </w:footnote>
  <w:footnote w:id="159">
    <w:p>
      <w:pPr>
        <w:pStyle w:val="FootnoteText"/>
      </w:pPr>
      <w:r>
        <w:rPr>
          <w:rStyle w:val="FootnoteReference"/>
        </w:rPr>
        <w:footnoteRef/>
      </w:r>
      <w:r>
        <w:t xml:space="preserve"> </w:t>
      </w:r>
      <w:r>
        <w:t xml:space="preserve">ERAFP, communiqué de presse « Pour ses vingt ans, le RAFP s’affirme comme un régime performant », 2024 (</w:t>
      </w:r>
      <w:hyperlink r:id="rId35">
        <w:r>
          <w:rPr>
            <w:rStyle w:val="Hyperlink"/>
          </w:rPr>
          <w:t xml:space="preserve">https://www.rafp.fr/en/actualites/presse/pour-ses-vingt-ans-regime-additionnel-fonction-publique-saffirme-comme-regime-performant</w:t>
        </w:r>
      </w:hyperlink>
      <w:r>
        <w:t xml:space="preserve">) ; rapport d’activité ERAFP 2024 (</w:t>
      </w:r>
      <w:hyperlink r:id="rId36">
        <w:r>
          <w:rPr>
            <w:rStyle w:val="Hyperlink"/>
          </w:rPr>
          <w:t xml:space="preserve">https://rafp-ra2024.fr/</w:t>
        </w:r>
      </w:hyperlink>
      <w:r>
        <w:t xml:space="preserve">). Encours total : 47,8 Md€ au 31/12/2024. TRI annualisé depuis l’inception (2005) : 4,3 % en valeur économique.</w:t>
      </w:r>
    </w:p>
  </w:footnote>
  <w:footnote w:id="162">
    <w:p>
      <w:pPr>
        <w:pStyle w:val="FootnoteText"/>
      </w:pPr>
      <w:r>
        <w:rPr>
          <w:rStyle w:val="FootnoteReference"/>
        </w:rPr>
        <w:footnoteRef/>
      </w:r>
      <w:r>
        <w:t xml:space="preserve"> </w:t>
      </w:r>
      <w:r>
        <w:t xml:space="preserve">DARES,</w:t>
      </w:r>
      <w:r>
        <w:t xml:space="preserve"> </w:t>
      </w:r>
      <w:r>
        <w:rPr>
          <w:i/>
          <w:iCs/>
        </w:rPr>
        <w:t xml:space="preserve">Le salaire moyen en France</w:t>
      </w:r>
      <w:r>
        <w:t xml:space="preserve">, 2024. Salaire moyen brut annuel proche de 37 000 € ; le choix de 35 000 € constitue une approximation légèrement conservatrice. Hypothèses détaillées dans la modélisation accompagnant ce chapitre :</w:t>
      </w:r>
      <w:r>
        <w:t xml:space="preserve"> </w:t>
      </w:r>
      <w:r>
        <w:rPr>
          <w:i/>
          <w:iCs/>
        </w:rPr>
        <w:t xml:space="preserve">Modélisation Ch. 2</w:t>
      </w:r>
      <w:r>
        <w:t xml:space="preserve"> </w:t>
      </w:r>
      <w:r>
        <w:rPr>
          <w:i/>
          <w:iCs/>
        </w:rPr>
        <w:t xml:space="preserve">- Capitalisons, fiche méthodologique complète</w:t>
      </w:r>
      <w:r>
        <w:t xml:space="preserve">, mai 2026.</w:t>
      </w:r>
    </w:p>
  </w:footnote>
  <w:footnote w:id="163">
    <w:p>
      <w:pPr>
        <w:pStyle w:val="FootnoteText"/>
      </w:pPr>
      <w:r>
        <w:rPr>
          <w:rStyle w:val="FootnoteReference"/>
        </w:rPr>
        <w:footnoteRef/>
      </w:r>
      <w:r>
        <w:t xml:space="preserve"> </w:t>
      </w:r>
      <w:r>
        <w:t xml:space="preserve">Direction de la sécurité sociale,</w:t>
      </w:r>
      <w:r>
        <w:t xml:space="preserve"> </w:t>
      </w:r>
      <w:r>
        <w:rPr>
          <w:i/>
          <w:iCs/>
        </w:rPr>
        <w:t xml:space="preserve">Compte de la protection sociale 2024</w:t>
      </w:r>
      <w:r>
        <w:t xml:space="preserve">, 2025. Cotisation vieillesse globale (régime général 16,9 % + AGIRC-ARRCO en moyenne 7,7 % + autres composantes) approximée à 28 % du brut. Hypothèse de croissance salariale réelle à 0,5 % par an : COR,</w:t>
      </w:r>
      <w:r>
        <w:t xml:space="preserve"> </w:t>
      </w:r>
      <w:r>
        <w:rPr>
          <w:i/>
          <w:iCs/>
        </w:rPr>
        <w:t xml:space="preserve">Rapport annuel 2025</w:t>
      </w:r>
      <w:r>
        <w:t xml:space="preserve">, juin 2025, p. 42 (scénario médian 1 % de croissance de la masse salariale).</w:t>
      </w:r>
    </w:p>
  </w:footnote>
  <w:footnote w:id="164">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w:t>
      </w:r>
      <w:r>
        <w:rPr>
          <w:i/>
          <w:iCs/>
        </w:rPr>
        <w:t xml:space="preserve">- Rapport annuel 2025</w:t>
      </w:r>
      <w:r>
        <w:t xml:space="preserve">,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65">
    <w:p>
      <w:pPr>
        <w:pStyle w:val="FootnoteText"/>
      </w:pPr>
      <w:r>
        <w:rPr>
          <w:rStyle w:val="FootnoteReference"/>
        </w:rPr>
        <w:footnoteRef/>
      </w:r>
      <w:r>
        <w:t xml:space="preserve"> </w:t>
      </w:r>
      <w:r>
        <w:t xml:space="preserve">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w:t>
      </w:r>
      <w:r>
        <w:t xml:space="preserve"> </w:t>
      </w:r>
      <w:r>
        <w:rPr>
          <w:i/>
          <w:iCs/>
        </w:rPr>
        <w:t xml:space="preserve">Les retraités et les retraites</w:t>
      </w:r>
      <w:r>
        <w:t xml:space="preserve"> </w:t>
      </w:r>
      <w:r>
        <w:rPr>
          <w:i/>
          <w:iCs/>
        </w:rPr>
        <w:t xml:space="preserve">- édition 2025</w:t>
      </w:r>
      <w:r>
        <w:t xml:space="preserve">, 2025.</w:t>
      </w:r>
    </w:p>
  </w:footnote>
  <w:footnote w:id="166">
    <w:p>
      <w:pPr>
        <w:pStyle w:val="FootnoteText"/>
      </w:pPr>
      <w:r>
        <w:rPr>
          <w:rStyle w:val="FootnoteReference"/>
        </w:rPr>
        <w:footnoteRef/>
      </w:r>
      <w:r>
        <w:t xml:space="preserve"> </w:t>
      </w:r>
      <w:r>
        <w:t xml:space="preserve">Hypothèse de frais de gestion : 0,30 % par an. À comparer aux 0,07 % d’AP7 (Suède, fonds par défaut public) et aux environ 0,25 % d’ABP (Pays-Bas). Voir AP7,</w:t>
      </w:r>
      <w:r>
        <w:t xml:space="preserve"> </w:t>
      </w:r>
      <w:r>
        <w:rPr>
          <w:i/>
          <w:iCs/>
        </w:rPr>
        <w:t xml:space="preserve">Annual Report 2024</w:t>
      </w:r>
      <w:r>
        <w:t xml:space="preserve">, 2025 ; et ABP,</w:t>
      </w:r>
      <w:r>
        <w:t xml:space="preserve"> </w:t>
      </w:r>
      <w:r>
        <w:rPr>
          <w:i/>
          <w:iCs/>
        </w:rPr>
        <w:t xml:space="preserve">Annual Report 2024</w:t>
      </w:r>
      <w:r>
        <w:t xml:space="preserve">, 2025. L’hypothèse retenue ici est délibérément prudente - elle conduit à un rendement réel net de 3,7 % au lieu de 4 % réel brut.</w:t>
      </w:r>
    </w:p>
  </w:footnote>
  <w:footnote w:id="167">
    <w:p>
      <w:pPr>
        <w:pStyle w:val="FootnoteText"/>
      </w:pPr>
      <w:r>
        <w:rPr>
          <w:rStyle w:val="FootnoteReference"/>
        </w:rPr>
        <w:footnoteRef/>
      </w:r>
      <w:r>
        <w:t xml:space="preserve"> </w:t>
      </w:r>
      <w:r>
        <w:t xml:space="preserve">Cohérence des ordres de grandeur avec la littérature publiée. Voir Bertrand Martinot,</w:t>
      </w:r>
      <w:r>
        <w:t xml:space="preserve"> </w:t>
      </w:r>
      <w:r>
        <w:rPr>
          <w:i/>
          <w:iCs/>
        </w:rPr>
        <w:t xml:space="preserve">La capitalisation, un moyen de sortir par le haut de la crise des retraites ?</w:t>
      </w:r>
      <w:r>
        <w:t xml:space="preserve">, Fondapol, note n°252, octobre 2024 ; et Bertrand Martinot, Pierre Gravier, Romain Muret,</w:t>
      </w:r>
      <w:r>
        <w:t xml:space="preserve"> </w:t>
      </w:r>
      <w:r>
        <w:rPr>
          <w:i/>
          <w:iCs/>
        </w:rPr>
        <w:t xml:space="preserve">Retraites : optimiser les dépenses, introduire une part de capitalisation</w:t>
      </w:r>
      <w:r>
        <w:t xml:space="preserve">,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68">
    <w:p>
      <w:pPr>
        <w:pStyle w:val="FootnoteText"/>
      </w:pPr>
      <w:r>
        <w:rPr>
          <w:rStyle w:val="FootnoteReference"/>
        </w:rPr>
        <w:footnoteRef/>
      </w:r>
      <w:r>
        <w:t xml:space="preserve"> </w:t>
      </w:r>
      <w:r>
        <w:t xml:space="preserve">Cumul de cotisations capitalisées en scénario B sur 43 ans, en euros constants 2026, croissance salariale 0,5 % par an : 1 960 € × Σ(1,005)^k pour k allant de 0 à 42, soit environ 93 766 €. Modélisation détaillée dans</w:t>
      </w:r>
      <w:r>
        <w:t xml:space="preserve"> </w:t>
      </w:r>
      <w:r>
        <w:rPr>
          <w:i/>
          <w:iCs/>
        </w:rPr>
        <w:t xml:space="preserve">Modélisation Ch. 2</w:t>
      </w:r>
      <w:r>
        <w:t xml:space="preserve"> </w:t>
      </w:r>
      <w:r>
        <w:rPr>
          <w:i/>
          <w:iCs/>
        </w:rPr>
        <w:t xml:space="preserve">- Capitalisons</w:t>
      </w:r>
      <w:r>
        <w:t xml:space="preserve">, fichier annexe ch2_rapport_modelisation.md, 2026.</w:t>
      </w:r>
    </w:p>
  </w:footnote>
  <w:footnote w:id="169">
    <w:p>
      <w:pPr>
        <w:pStyle w:val="FootnoteText"/>
      </w:pPr>
      <w:r>
        <w:rPr>
          <w:rStyle w:val="FootnoteReference"/>
        </w:rPr>
        <w:footnoteRef/>
      </w:r>
      <w:r>
        <w:t xml:space="preserve"> </w:t>
      </w:r>
      <w:r>
        <w:t xml:space="preserve">Rendements de référence : GPFG 4,1 % réel net annualisé sur 1998-2024 (NBIM,</w:t>
      </w:r>
      <w:r>
        <w:t xml:space="preserve"> </w:t>
      </w:r>
      <w:r>
        <w:rPr>
          <w:i/>
          <w:iCs/>
        </w:rPr>
        <w:t xml:space="preserve">Annual Report 2024</w:t>
      </w:r>
      <w:r>
        <w:t xml:space="preserve">) ; CPPIB 8,3 % net annualisé sur 10 ans au 31 mars 2025 (</w:t>
      </w:r>
      <w:r>
        <w:rPr>
          <w:i/>
          <w:iCs/>
        </w:rPr>
        <w:t xml:space="preserve">Fiscal 2025 Annual Report</w:t>
      </w:r>
      <w:r>
        <w:t xml:space="preserve">) ; AustralianSuper 7,94 % net annualisé sur 10 ans au 30 juin 2025 (</w:t>
      </w:r>
      <w:r>
        <w:rPr>
          <w:i/>
          <w:iCs/>
        </w:rPr>
        <w:t xml:space="preserve">Annual Report 2025</w:t>
      </w:r>
      <w:r>
        <w:t xml:space="preserve">) ; AP7 environ 14 % nominal annualisé depuis mai 2010 (sources European Pensions, AP7 officiel).</w:t>
      </w:r>
    </w:p>
  </w:footnote>
  <w:footnote w:id="171">
    <w:p>
      <w:pPr>
        <w:pStyle w:val="FootnoteText"/>
      </w:pPr>
      <w:r>
        <w:rPr>
          <w:rStyle w:val="FootnoteReference"/>
        </w:rPr>
        <w:footnoteRef/>
      </w:r>
    </w:p>
  </w:footnote>
  <w:footnote w:id="172">
    <w:p>
      <w:pPr>
        <w:pStyle w:val="FootnoteText"/>
      </w:pPr>
      <w:r>
        <w:rPr>
          <w:rStyle w:val="FootnoteReference"/>
        </w:rPr>
        <w:footnoteRef/>
      </w:r>
    </w:p>
  </w:footnote>
  <w:footnote w:id="176">
    <w:p>
      <w:pPr>
        <w:pStyle w:val="FootnoteText"/>
      </w:pPr>
      <w:r>
        <w:rPr>
          <w:rStyle w:val="FootnoteReference"/>
        </w:rPr>
        <w:footnoteRef/>
      </w:r>
      <w:r>
        <w:t xml:space="preserve"> </w:t>
      </w:r>
      <w:r>
        <w:t xml:space="preserve">NBIM,</w:t>
      </w:r>
      <w:r>
        <w:t xml:space="preserve"> </w:t>
      </w:r>
      <w:r>
        <w:rPr>
          <w:i/>
          <w:iCs/>
        </w:rPr>
        <w:t xml:space="preserve">Annual Report 2024</w:t>
      </w:r>
      <w:r>
        <w:t xml:space="preserve">, 2025. Rendement 2024 : 13,1 % (record). Allocation : 71,4 % actions, 26,6 % obligations, 1,8 % immobilier, 0,1 % énergies renouvelables. Le rendement réel net 4,1 % est mesuré après inflation et frais sur l’ensemble de la période 1998-2024.</w:t>
      </w:r>
    </w:p>
  </w:footnote>
  <w:footnote w:id="177">
    <w:p>
      <w:pPr>
        <w:pStyle w:val="FootnoteText"/>
      </w:pPr>
      <w:r>
        <w:rPr>
          <w:rStyle w:val="FootnoteReference"/>
        </w:rPr>
        <w:footnoteRef/>
      </w:r>
      <w:r>
        <w:t xml:space="preserve"> </w:t>
      </w:r>
      <w:r>
        <w:t xml:space="preserve">Caisse de dépôt et placement du Québec,</w:t>
      </w:r>
      <w:r>
        <w:t xml:space="preserve"> </w:t>
      </w:r>
      <w:r>
        <w:rPr>
          <w:i/>
          <w:iCs/>
        </w:rPr>
        <w:t xml:space="preserve">Rapport annuel 2024</w:t>
      </w:r>
      <w:r>
        <w:t xml:space="preserve">, 2025 (https://www.cdpq.com/en/performance/annual-reports/2024). Rendement 2024 : 9,4 % ; 5 ans : 6,2 % annualisé ; 10 ans : 7,1 % annualisé.</w:t>
      </w:r>
    </w:p>
  </w:footnote>
  <w:footnote w:id="178">
    <w:p>
      <w:pPr>
        <w:pStyle w:val="FootnoteText"/>
      </w:pPr>
      <w:r>
        <w:rPr>
          <w:rStyle w:val="FootnoteReference"/>
        </w:rPr>
        <w:footnoteRef/>
      </w:r>
      <w:r>
        <w:t xml:space="preserve"> </w:t>
      </w:r>
      <w:r>
        <w:t xml:space="preserve">AP-fonderna (Suède),</w:t>
      </w:r>
      <w:r>
        <w:t xml:space="preserve"> </w:t>
      </w:r>
      <w:r>
        <w:rPr>
          <w:i/>
          <w:iCs/>
        </w:rPr>
        <w:t xml:space="preserve">Joint communiqué - résultats 2024</w:t>
      </w:r>
      <w:r>
        <w:t xml:space="preserve">, mars 2025 (https://www.ap3.se). Actifs combinés AP1-AP4 et AP6 : environ 2 100 milliards SEK fin 2024 ; rendement moyen annualisé 7,6 % sur 10 ans pour AP1-AP4.</w:t>
      </w:r>
    </w:p>
  </w:footnote>
  <w:footnote w:id="179">
    <w:p>
      <w:pPr>
        <w:pStyle w:val="FootnoteText"/>
      </w:pPr>
      <w:r>
        <w:rPr>
          <w:rStyle w:val="FootnoteReference"/>
        </w:rPr>
        <w:footnoteRef/>
      </w:r>
      <w:r>
        <w:t xml:space="preserve"> </w:t>
      </w:r>
      <w:r>
        <w:t xml:space="preserve">CPP Investments,</w:t>
      </w:r>
      <w:r>
        <w:t xml:space="preserve"> </w:t>
      </w:r>
      <w:r>
        <w:rPr>
          <w:i/>
          <w:iCs/>
        </w:rPr>
        <w:t xml:space="preserve">Fiscal 2025 Annual Report</w:t>
      </w:r>
      <w:r>
        <w:t xml:space="preserve">, 2025 (https://www.cppinvestments.com). Actifs : 714,4 Md CAD au 31 mars 2025 ; rendement net annualisé sur 10 ans : 8,3 %.</w:t>
      </w:r>
    </w:p>
  </w:footnote>
  <w:footnote w:id="180">
    <w:p>
      <w:pPr>
        <w:pStyle w:val="FootnoteText"/>
      </w:pPr>
      <w:r>
        <w:rPr>
          <w:rStyle w:val="FootnoteReference"/>
        </w:rPr>
        <w:footnoteRef/>
      </w:r>
      <w:r>
        <w:t xml:space="preserve"> </w:t>
      </w:r>
      <w:r>
        <w:t xml:space="preserve">European Pensions,</w:t>
      </w:r>
      <w:r>
        <w:t xml:space="preserve"> </w:t>
      </w:r>
      <w:r>
        <w:rPr>
          <w:i/>
          <w:iCs/>
        </w:rPr>
        <w:t xml:space="preserve">Dutch pension fund ABP achieves 8.6 per cent investment return in 2024</w:t>
      </w:r>
      <w:r>
        <w:t xml:space="preserve">, 2025 (https://www.europeanpensions.net) et</w:t>
      </w:r>
      <w:r>
        <w:t xml:space="preserve"> </w:t>
      </w:r>
      <w:r>
        <w:rPr>
          <w:i/>
          <w:iCs/>
        </w:rPr>
        <w:t xml:space="preserve">Dutch pension giants post solid 2024 returns despite bond market headwinds</w:t>
      </w:r>
      <w:r>
        <w:t xml:space="preserve">, 2025. Pour PFZW :</w:t>
      </w:r>
      <w:r>
        <w:t xml:space="preserve"> </w:t>
      </w:r>
      <w:r>
        <w:rPr>
          <w:i/>
          <w:iCs/>
        </w:rPr>
        <w:t xml:space="preserve">Annual Report 2024</w:t>
      </w:r>
      <w:r>
        <w:t xml:space="preserve">, 8 % de rendement, 259 Md€ d’actifs (https://www.pfzw.nl).</w:t>
      </w:r>
    </w:p>
  </w:footnote>
  <w:footnote w:id="181">
    <w:p>
      <w:pPr>
        <w:pStyle w:val="FootnoteText"/>
      </w:pPr>
      <w:r>
        <w:rPr>
          <w:rStyle w:val="FootnoteReference"/>
        </w:rPr>
        <w:footnoteRef/>
      </w:r>
      <w:r>
        <w:t xml:space="preserve"> </w:t>
      </w:r>
      <w:r>
        <w:t xml:space="preserve">Industriens Pension,</w:t>
      </w:r>
      <w:r>
        <w:t xml:space="preserve"> </w:t>
      </w:r>
      <w:r>
        <w:rPr>
          <w:i/>
          <w:iCs/>
        </w:rPr>
        <w:t xml:space="preserve">Annual Report 2024</w:t>
      </w:r>
      <w:r>
        <w:t xml:space="preserve">, 2025 (https://www.industrienspension.dk). Actifs : 255 Md DKK ; rendement 2024 : 6,3 % (équivalent à 14,4 Md DKK de profit) ; 447 000 membres.</w:t>
      </w:r>
    </w:p>
  </w:footnote>
  <w:footnote w:id="182">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83">
    <w:p>
      <w:pPr>
        <w:pStyle w:val="FootnoteText"/>
      </w:pPr>
      <w:r>
        <w:rPr>
          <w:rStyle w:val="FootnoteReference"/>
        </w:rPr>
        <w:footnoteRef/>
      </w:r>
      <w:r>
        <w:t xml:space="preserve"> </w:t>
      </w:r>
      <w:r>
        <w:t xml:space="preserve">Department for Work and Pensions (Royaume-Uni),</w:t>
      </w:r>
      <w:r>
        <w:t xml:space="preserve"> </w:t>
      </w:r>
      <w:r>
        <w:rPr>
          <w:i/>
          <w:iCs/>
        </w:rPr>
        <w:t xml:space="preserve">Workplace pensions: participation and savings trends 2024</w:t>
      </w:r>
      <w:r>
        <w:t xml:space="preserve">, 2024 (https://www.gov.uk). Taux de maintien dans l’auto-enrolment proche de 90 % depuis 2015 ; corroborated par DWP,</w:t>
      </w:r>
      <w:r>
        <w:t xml:space="preserve"> </w:t>
      </w:r>
      <w:r>
        <w:rPr>
          <w:i/>
          <w:iCs/>
        </w:rPr>
        <w:t xml:space="preserve">Ten years of automatic enrolment in workplace pensions</w:t>
      </w:r>
      <w:r>
        <w:t xml:space="preserve">, 2022.</w:t>
      </w:r>
    </w:p>
  </w:footnote>
  <w:footnote w:id="184">
    <w:p>
      <w:pPr>
        <w:pStyle w:val="FootnoteText"/>
      </w:pPr>
      <w:r>
        <w:rPr>
          <w:rStyle w:val="FootnoteReference"/>
        </w:rPr>
        <w:footnoteRef/>
      </w:r>
      <w:r>
        <w:t xml:space="preserve"> </w:t>
      </w:r>
      <w:r>
        <w:t xml:space="preserve">NEST,</w:t>
      </w:r>
      <w:r>
        <w:t xml:space="preserve"> </w:t>
      </w:r>
      <w:r>
        <w:rPr>
          <w:i/>
          <w:iCs/>
        </w:rPr>
        <w:t xml:space="preserve">Annual Report and Accounts 2024-25</w:t>
      </w:r>
      <w:r>
        <w:t xml:space="preserve">, 2025 (https://www.nestpensions.org.uk). Actifs : 49,7 Md GBP au 31 mars 2025 ; membres : 13,8 M ; contributions mensuelles moyennes : 663 M GBP ; rendement du fonds 2045 par défaut : 9,9 % annualisés sur cinq ans.</w:t>
      </w:r>
    </w:p>
  </w:footnote>
  <w:footnote w:id="185">
    <w:p>
      <w:pPr>
        <w:pStyle w:val="FootnoteText"/>
      </w:pPr>
      <w:r>
        <w:rPr>
          <w:rStyle w:val="FootnoteReference"/>
        </w:rPr>
        <w:footnoteRef/>
      </w:r>
      <w:r>
        <w:t xml:space="preserve"> </w:t>
      </w:r>
      <w:r>
        <w:t xml:space="preserve">APRA,</w:t>
      </w:r>
      <w:r>
        <w:t xml:space="preserve"> </w:t>
      </w:r>
      <w:r>
        <w:rPr>
          <w:i/>
          <w:iCs/>
        </w:rPr>
        <w:t xml:space="preserve">Quarterly superannuation performance statistics</w:t>
      </w:r>
      <w:r>
        <w:t xml:space="preserve">, T4 2024, 2025 (https://www.apra.gov.au/industries/superannuation). Actifs totaux</w:t>
      </w:r>
      <w:r>
        <w:t xml:space="preserve"> </w:t>
      </w:r>
      <w:r>
        <w:rPr>
          <w:i/>
          <w:iCs/>
        </w:rPr>
        <w:t xml:space="preserve">Superannuation</w:t>
      </w:r>
      <w:r>
        <w:t xml:space="preserve"> </w:t>
      </w:r>
      <w:r>
        <w:t xml:space="preserve">: 4,2 trillions AUD fin 2024 ; environ 16 millions de comptes actifs. Pour la trajectoire historique de la</w:t>
      </w:r>
      <w:r>
        <w:t xml:space="preserve"> </w:t>
      </w:r>
      <w:r>
        <w:rPr>
          <w:i/>
          <w:iCs/>
        </w:rPr>
        <w:t xml:space="preserve">Superannuation Guarantee</w:t>
      </w:r>
      <w:r>
        <w:t xml:space="preserve"> </w:t>
      </w:r>
      <w:r>
        <w:t xml:space="preserve">(3 % en 1992 à 12 % en 2025) : Australian Government,</w:t>
      </w:r>
      <w:r>
        <w:t xml:space="preserve"> </w:t>
      </w:r>
      <w:r>
        <w:rPr>
          <w:i/>
          <w:iCs/>
        </w:rPr>
        <w:t xml:space="preserve">Superannuation Guarantee</w:t>
      </w:r>
      <w:r>
        <w:t xml:space="preserve">, données historiques 2024-2025.</w:t>
      </w:r>
    </w:p>
  </w:footnote>
  <w:footnote w:id="186">
    <w:p>
      <w:pPr>
        <w:pStyle w:val="FootnoteText"/>
      </w:pPr>
      <w:r>
        <w:rPr>
          <w:rStyle w:val="FootnoteReference"/>
        </w:rPr>
        <w:footnoteRef/>
      </w:r>
      <w:r>
        <w:t xml:space="preserve"> </w:t>
      </w:r>
      <w:r>
        <w:t xml:space="preserve">AustralianSuper,</w:t>
      </w:r>
      <w:r>
        <w:t xml:space="preserve"> </w:t>
      </w:r>
      <w:r>
        <w:rPr>
          <w:i/>
          <w:iCs/>
        </w:rPr>
        <w:t xml:space="preserve">Annual Report 2025</w:t>
      </w:r>
      <w:r>
        <w:t xml:space="preserve">, 2025 (https://www.australiansuper.com). Rendement Balanced Option net de frais : 7,94 % sur 10 ans au 30 juin 2025. Pour KiwiSaver : Financial Markets Authority et Retirement Commission, données 2024-2025 (https://retirement.govt.nz).</w:t>
      </w:r>
    </w:p>
  </w:footnote>
  <w:footnote w:id="187">
    <w:p>
      <w:pPr>
        <w:pStyle w:val="FootnoteText"/>
      </w:pPr>
      <w:r>
        <w:rPr>
          <w:rStyle w:val="FootnoteReference"/>
        </w:rPr>
        <w:footnoteRef/>
      </w:r>
      <w:r>
        <w:t xml:space="preserve"> </w:t>
      </w:r>
      <w:r>
        <w:t xml:space="preserve">Voir Bruno Palier,</w:t>
      </w:r>
      <w:r>
        <w:t xml:space="preserve"> </w:t>
      </w:r>
      <w:r>
        <w:rPr>
          <w:i/>
          <w:iCs/>
        </w:rPr>
        <w:t xml:space="preserve">Réformer les retraites</w:t>
      </w:r>
      <w:r>
        <w:t xml:space="preserve">,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189">
    <w:p>
      <w:pPr>
        <w:pStyle w:val="FootnoteText"/>
      </w:pPr>
      <w:r>
        <w:rPr>
          <w:rStyle w:val="FootnoteReference"/>
        </w:rPr>
        <w:footnoteRef/>
      </w:r>
      <w:r>
        <w:t xml:space="preserve"> </w:t>
      </w:r>
      <w:r>
        <w:t xml:space="preserve">INSEE,</w:t>
      </w:r>
      <w:r>
        <w:t xml:space="preserve"> </w:t>
      </w:r>
      <w:r>
        <w:rPr>
          <w:i/>
          <w:iCs/>
        </w:rPr>
        <w:t xml:space="preserve">Comptes nationaux trimestriels</w:t>
      </w:r>
      <w:r>
        <w:t xml:space="preserve"> </w:t>
      </w:r>
      <w:r>
        <w:rPr>
          <w:i/>
          <w:iCs/>
        </w:rPr>
        <w:t xml:space="preserve">- T2 2025</w:t>
      </w:r>
      <w:r>
        <w:t xml:space="preserve">, septembre 2025. Le taux d’épargne brute des ménages a atteint 18,9 % du revenu disponible au deuxième trimestre 2025, un record depuis les années 1970 hors épisode covid. Voir aussi Banque de France,</w:t>
      </w:r>
      <w:r>
        <w:t xml:space="preserve"> </w:t>
      </w:r>
      <w:r>
        <w:rPr>
          <w:i/>
          <w:iCs/>
        </w:rPr>
        <w:t xml:space="preserve">Épargne des ménages</w:t>
      </w:r>
      <w:r>
        <w:t xml:space="preserve"> </w:t>
      </w:r>
      <w:r>
        <w:rPr>
          <w:i/>
          <w:iCs/>
        </w:rPr>
        <w:t xml:space="preserve">- T4 2024</w:t>
      </w:r>
      <w:r>
        <w:t xml:space="preserve">, mars 2025. Le taux moyen annuel 2024 s’établit à 18,2 % (INSEE, comptes nationaux annuels), contre 15,3 % pour la moyenne de la zone euro (Eurostat).</w:t>
      </w:r>
    </w:p>
  </w:footnote>
  <w:footnote w:id="190">
    <w:p>
      <w:pPr>
        <w:pStyle w:val="FootnoteText"/>
      </w:pPr>
      <w:r>
        <w:rPr>
          <w:rStyle w:val="FootnoteReference"/>
        </w:rPr>
        <w:footnoteRef/>
      </w:r>
      <w:r>
        <w:t xml:space="preserve"> </w:t>
      </w:r>
      <w:r>
        <w:t xml:space="preserve">Cible 25 ans : 50 % du PIB, soit environ 1 500 Md€ pour un PIB français de ~3 000 Md€. Position intermédiaire comparable au Canada à mi-parcours de sa transition CPP. Cible 50 ans (régime stationnaire) : ~100 % du PIB, soit ~3 000 Md€, moyenne pondérée OCDE selon Thinking Ahead Institute,</w:t>
      </w:r>
      <w:r>
        <w:t xml:space="preserve"> </w:t>
      </w:r>
      <w:r>
        <w:rPr>
          <w:i/>
          <w:iCs/>
        </w:rPr>
        <w:t xml:space="preserve">Global Pension Assets Study 2025</w:t>
      </w:r>
      <w:r>
        <w:t xml:space="preserve">, Willis Towers Watson, 2025 (https://www.thinkingaheadinstitute.org/research-papers/global-pension-assets-study-2025/). Voir aussi Institut Montaigne,</w:t>
      </w:r>
      <w:r>
        <w:t xml:space="preserve"> </w:t>
      </w:r>
      <w:r>
        <w:rPr>
          <w:i/>
          <w:iCs/>
        </w:rPr>
        <w:t xml:space="preserve">Les fonds de pension et le financement du long terme en France</w:t>
      </w:r>
      <w:r>
        <w:t xml:space="preserve">, 2024 (https://www.institutmontaigne.org/expressions/les-fonds-de-pension-et-le-financement-du-long-terme-en-france). À titre de comparaison : Pays-Bas ~220 % du PIB, Suisse ~170 %, États-Unis ~130 %, Royaume-Uni ~120 %, France actuelle ~7 %.</w:t>
      </w:r>
    </w:p>
  </w:footnote>
  <w:footnote w:id="191">
    <w:p>
      <w:pPr>
        <w:pStyle w:val="FootnoteText"/>
      </w:pPr>
      <w:r>
        <w:rPr>
          <w:rStyle w:val="FootnoteReference"/>
        </w:rPr>
        <w:footnoteRef/>
      </w:r>
      <w:r>
        <w:t xml:space="preserve"> </w:t>
      </w:r>
      <w:r>
        <w:t xml:space="preserve">Banque de France,</w:t>
      </w:r>
      <w:r>
        <w:t xml:space="preserve"> </w:t>
      </w:r>
      <w:r>
        <w:rPr>
          <w:i/>
          <w:iCs/>
        </w:rPr>
        <w:t xml:space="preserve">Épargne des ménages</w:t>
      </w:r>
      <w:r>
        <w:t xml:space="preserve"> </w:t>
      </w:r>
      <w:r>
        <w:rPr>
          <w:i/>
          <w:iCs/>
        </w:rPr>
        <w:t xml:space="preserve">- Statistiques T4 2024</w:t>
      </w:r>
      <w:r>
        <w:t xml:space="preserve">, mars 2025 (https://www.banque-france.fr/fr/statistiques/epargne/epargne-des-menages-2024-q4). Le patrimoine financier brut s’élève à 6 356,4 Md€ fin 2024 ; les flux nets de l’année représentent +112,8 Md€.</w:t>
      </w:r>
    </w:p>
  </w:footnote>
  <w:footnote w:id="192">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93">
    <w:p>
      <w:pPr>
        <w:pStyle w:val="FootnoteText"/>
      </w:pPr>
      <w:r>
        <w:rPr>
          <w:rStyle w:val="FootnoteReference"/>
        </w:rPr>
        <w:footnoteRef/>
      </w:r>
      <w:r>
        <w:t xml:space="preserve"> </w:t>
      </w:r>
      <w:r>
        <w:t xml:space="preserve">Décomposition Banque de France et AFG (Association française de la gestion financière),</w:t>
      </w:r>
      <w:r>
        <w:t xml:space="preserve"> </w:t>
      </w:r>
      <w:r>
        <w:rPr>
          <w:i/>
          <w:iCs/>
        </w:rPr>
        <w:t xml:space="preserve">Indice de performance de l’épargne financière des ménages français</w:t>
      </w:r>
      <w:r>
        <w:t xml:space="preserve">, T4 2024. Détail : dépôts à vue ~2 100 Md€, assurance-vie 1 988 Md€, actions et OPC actions ~1 715 Md€, livrets réglementés (Livret A + LDDS + LEP) 695 Md€ début 2026, PEA 114 Md€, PER 119 Md€, épargne logement et autres ~270 Md€.</w:t>
      </w:r>
    </w:p>
  </w:footnote>
  <w:footnote w:id="194">
    <w:p>
      <w:pPr>
        <w:pStyle w:val="FootnoteText"/>
      </w:pPr>
      <w:r>
        <w:rPr>
          <w:rStyle w:val="FootnoteReference"/>
        </w:rPr>
        <w:footnoteRef/>
      </w:r>
      <w:r>
        <w:t xml:space="preserve"> </w:t>
      </w:r>
      <w:r>
        <w:t xml:space="preserve">ACPR,</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2,63 % pour les contrats individuels en 2024.</w:t>
      </w:r>
    </w:p>
  </w:footnote>
  <w:footnote w:id="195">
    <w:p>
      <w:pPr>
        <w:pStyle w:val="FootnoteText"/>
      </w:pPr>
      <w:r>
        <w:rPr>
          <w:rStyle w:val="FootnoteReference"/>
        </w:rPr>
        <w:footnoteRef/>
      </w:r>
      <w:r>
        <w:t xml:space="preserve"> </w:t>
      </w:r>
      <w:r>
        <w:t xml:space="preserve">France Assureurs,</w:t>
      </w:r>
      <w:r>
        <w:t xml:space="preserve"> </w:t>
      </w:r>
      <w:r>
        <w:rPr>
          <w:i/>
          <w:iCs/>
        </w:rPr>
        <w:t xml:space="preserve">Bilan 2024 du marché de l’assurance-vie</w:t>
      </w:r>
      <w:r>
        <w:t xml:space="preserve">,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96">
    <w:p>
      <w:pPr>
        <w:pStyle w:val="FootnoteText"/>
      </w:pPr>
      <w:r>
        <w:rPr>
          <w:rStyle w:val="FootnoteReference"/>
        </w:rPr>
        <w:footnoteRef/>
      </w:r>
      <w:r>
        <w:t xml:space="preserve"> </w:t>
      </w:r>
      <w:r>
        <w:t xml:space="preserve">Données historiques composites : indice MSCI World en euros (rendement total réinvesti), indices obligataires Bloomberg Euro Aggregate et rendement annuel moyen pondéré des fonds euros publié par France Assureurs. Voir aussi BNP Paribas Wealth Management,</w:t>
      </w:r>
      <w:r>
        <w:t xml:space="preserve"> </w:t>
      </w:r>
      <w:r>
        <w:rPr>
          <w:i/>
          <w:iCs/>
        </w:rPr>
        <w:t xml:space="preserve">Rendements long-terme attendus par classe d’actifs</w:t>
      </w:r>
      <w:r>
        <w:t xml:space="preserve">, novembre 2023.</w:t>
      </w:r>
    </w:p>
  </w:footnote>
  <w:footnote w:id="197">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n°170, mars 2025. Allocation typique des fonds euros : 35-45 % en obligations souveraines, 15-25 % en obligations corporate investment grade, 5-15 % en immobilier et diversification, exposition marginale aux actions cotées.</w:t>
      </w:r>
    </w:p>
  </w:footnote>
  <w:footnote w:id="198">
    <w:p>
      <w:pPr>
        <w:pStyle w:val="FootnoteText"/>
      </w:pPr>
      <w:r>
        <w:rPr>
          <w:rStyle w:val="FootnoteReference"/>
        </w:rPr>
        <w:footnoteRef/>
      </w:r>
      <w:r>
        <w:t xml:space="preserve"> </w:t>
      </w:r>
      <w:r>
        <w:t xml:space="preserve">Cercle de l’Épargne,</w:t>
      </w:r>
      <w:r>
        <w:t xml:space="preserve"> </w:t>
      </w:r>
      <w:r>
        <w:rPr>
          <w:i/>
          <w:iCs/>
        </w:rPr>
        <w:t xml:space="preserve">Le Livret A : 200 ans d’histoire bien remplie</w:t>
      </w:r>
      <w:r>
        <w:t xml:space="preserve">, dossier mars 2018. La caisse d’épargne et de prévoyance fondée le 22 mai 1818 est officialisée par l’ordonnance royale du 29 juillet 1818.</w:t>
      </w:r>
    </w:p>
  </w:footnote>
  <w:footnote w:id="199">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et London Business School, 2025. Rendements réels mondiaux annualisés 1900-2024 : actions 5,2 %, obligations 1,7 %, bons du Trésor 0,5 %. La probabilité de perte réelle décroît rapidement avec l’horizon : 30 % à 1 an, &lt; 5 % à 20 ans pour un portefeuille diversifié.</w:t>
      </w:r>
    </w:p>
  </w:footnote>
  <w:footnote w:id="200">
    <w:p>
      <w:pPr>
        <w:pStyle w:val="FootnoteText"/>
      </w:pPr>
      <w:r>
        <w:rPr>
          <w:rStyle w:val="FootnoteReference"/>
        </w:rPr>
        <w:footnoteRef/>
      </w:r>
      <w:r>
        <w:t xml:space="preserve"> </w:t>
      </w:r>
      <w:r>
        <w:t xml:space="preserve">Banque mondiale,</w:t>
      </w:r>
      <w:r>
        <w:t xml:space="preserve"> </w:t>
      </w:r>
      <w:r>
        <w:rPr>
          <w:i/>
          <w:iCs/>
        </w:rPr>
        <w:t xml:space="preserve">Market capitalization of listed domestic companies (% of GDP)</w:t>
      </w:r>
      <w:r>
        <w:t xml:space="preserve">, indicateur CM.MKT.LCAP.GD.ZS, données 2023 actualisées 2024 ; OCDE,</w:t>
      </w:r>
      <w:r>
        <w:t xml:space="preserve"> </w:t>
      </w:r>
      <w:r>
        <w:rPr>
          <w:i/>
          <w:iCs/>
        </w:rPr>
        <w:t xml:space="preserve">Panorama de la gouvernance d’entreprise 2025</w:t>
      </w:r>
      <w:r>
        <w:t xml:space="preserve">. Les ratios oscillent fortement avec les valorisations annuelles - la fourchette 103-124 % pour la France 2024 reflète cette amplitude. Aux Pays-Bas, la capitalisation rapportée au PIB dépasse régulièrement 200 %.</w:t>
      </w:r>
    </w:p>
  </w:footnote>
  <w:footnote w:id="201">
    <w:p>
      <w:pPr>
        <w:pStyle w:val="FootnoteText"/>
      </w:pPr>
      <w:r>
        <w:rPr>
          <w:rStyle w:val="FootnoteReference"/>
        </w:rPr>
        <w:footnoteRef/>
      </w:r>
      <w:r>
        <w:t xml:space="preserve"> </w:t>
      </w:r>
      <w:r>
        <w:t xml:space="preserve">EY,</w:t>
      </w:r>
      <w:r>
        <w:t xml:space="preserve"> </w:t>
      </w:r>
      <w:r>
        <w:rPr>
          <w:i/>
          <w:iCs/>
        </w:rPr>
        <w:t xml:space="preserve">Observatoire des opérations de marché 2024-2025</w:t>
      </w:r>
      <w:r>
        <w:t xml:space="preserve">, février 2025 ; Euronext,</w:t>
      </w:r>
      <w:r>
        <w:t xml:space="preserve"> </w:t>
      </w:r>
      <w:r>
        <w:rPr>
          <w:i/>
          <w:iCs/>
        </w:rPr>
        <w:t xml:space="preserve">Annual Statistics 2024-2025</w:t>
      </w:r>
      <w:r>
        <w:t xml:space="preserve">. Le décompte 2024 inclut les transferts depuis Euronext Access et les introductions d’Euronext Growth (32 sur 47).</w:t>
      </w:r>
    </w:p>
  </w:footnote>
  <w:footnote w:id="202">
    <w:p>
      <w:pPr>
        <w:pStyle w:val="FootnoteText"/>
      </w:pPr>
      <w:r>
        <w:rPr>
          <w:rStyle w:val="FootnoteReference"/>
        </w:rPr>
        <w:footnoteRef/>
      </w:r>
      <w:r>
        <w:t xml:space="preserve"> </w:t>
      </w:r>
      <w:r>
        <w:t xml:space="preserve">Vivendi,</w:t>
      </w:r>
      <w:r>
        <w:t xml:space="preserve"> </w:t>
      </w:r>
      <w:r>
        <w:rPr>
          <w:i/>
          <w:iCs/>
        </w:rPr>
        <w:t xml:space="preserve">Communiqué sur l’approbation du projet de scission</w:t>
      </w:r>
      <w:r>
        <w:t xml:space="preserve">, 9 décembre 2024. Iliad :</w:t>
      </w:r>
      <w:r>
        <w:t xml:space="preserve"> </w:t>
      </w:r>
      <w:r>
        <w:rPr>
          <w:i/>
          <w:iCs/>
        </w:rPr>
        <w:t xml:space="preserve">Communiqué OPA de retrait juillet 2021</w:t>
      </w:r>
      <w:r>
        <w:t xml:space="preserve"> </w:t>
      </w:r>
      <w:r>
        <w:t xml:space="preserve">;</w:t>
      </w:r>
      <w:r>
        <w:t xml:space="preserve"> </w:t>
      </w:r>
      <w:r>
        <w:rPr>
          <w:i/>
          <w:iCs/>
        </w:rPr>
        <w:t xml:space="preserve">Le Monde Informatique</w:t>
      </w:r>
      <w:r>
        <w:t xml:space="preserve">,</w:t>
      </w:r>
      <w:r>
        <w:t xml:space="preserve"> </w:t>
      </w:r>
      <w:r>
        <w:rPr>
          <w:i/>
          <w:iCs/>
        </w:rPr>
        <w:t xml:space="preserve">Iliad rachète ses actions pour se retirer de la Bourse</w:t>
      </w:r>
      <w:r>
        <w:t xml:space="preserve">, juillet 2021.</w:t>
      </w:r>
    </w:p>
  </w:footnote>
  <w:footnote w:id="203">
    <w:p>
      <w:pPr>
        <w:pStyle w:val="FootnoteText"/>
      </w:pPr>
      <w:r>
        <w:rPr>
          <w:rStyle w:val="FootnoteReference"/>
        </w:rPr>
        <w:footnoteRef/>
      </w:r>
      <w:r>
        <w:t xml:space="preserve"> </w:t>
      </w:r>
      <w:r>
        <w:t xml:space="preserve">Euronext,</w:t>
      </w:r>
      <w:r>
        <w:t xml:space="preserve"> </w:t>
      </w:r>
      <w:r>
        <w:rPr>
          <w:i/>
          <w:iCs/>
        </w:rPr>
        <w:t xml:space="preserve">Market overview Paris</w:t>
      </w:r>
      <w:r>
        <w:t xml:space="preserve">, 2025. Décompte par compartiment fin 2024 : marché réglementé 318 sociétés, Euronext Growth 384, Euronext Access et autres une trentaine. Comparaisons : NYSE 2 400+, Nasdaq 3 200+, London Stock Exchange 1 900 (World Federation of Exchanges, 2024).</w:t>
      </w:r>
    </w:p>
  </w:footnote>
  <w:footnote w:id="204">
    <w:p>
      <w:pPr>
        <w:pStyle w:val="FootnoteText"/>
      </w:pPr>
      <w:r>
        <w:rPr>
          <w:rStyle w:val="FootnoteReference"/>
        </w:rPr>
        <w:footnoteRef/>
      </w:r>
      <w:r>
        <w:t xml:space="preserve"> </w:t>
      </w:r>
      <w:r>
        <w:t xml:space="preserve">INSEE,</w:t>
      </w:r>
      <w:r>
        <w:t xml:space="preserve"> </w:t>
      </w:r>
      <w:r>
        <w:rPr>
          <w:i/>
          <w:iCs/>
        </w:rPr>
        <w:t xml:space="preserve">Patrimoine des ménages 2024</w:t>
      </w:r>
      <w:r>
        <w:t xml:space="preserve"> </w:t>
      </w:r>
      <w:r>
        <w:rPr>
          <w:i/>
          <w:iCs/>
        </w:rPr>
        <w:t xml:space="preserve">- Focus n°354</w:t>
      </w:r>
      <w:r>
        <w:t xml:space="preserve">, mai 2025. En 2024, 17,4 % des ménages français détiennent des valeurs mobilières, dont 9,8 % en PEA et 9,6 % en compte-titres ordinaire ; la détention d’actions cotées en direct progresse depuis 6,9 % en 2020 vers environ 12,5 % en 2024. BCE,</w:t>
      </w:r>
      <w:r>
        <w:t xml:space="preserve"> </w:t>
      </w:r>
      <w:r>
        <w:rPr>
          <w:i/>
          <w:iCs/>
        </w:rPr>
        <w:t xml:space="preserve">Household Finance and Consumption Survey Wave 4</w:t>
      </w:r>
      <w:r>
        <w:t xml:space="preserve">, données 2021 publiées 2023, pour la comparaison européenne ; Federal Reserve,</w:t>
      </w:r>
      <w:r>
        <w:t xml:space="preserve"> </w:t>
      </w:r>
      <w:r>
        <w:rPr>
          <w:i/>
          <w:iCs/>
        </w:rPr>
        <w:t xml:space="preserve">Survey of Consumer Finances 2022</w:t>
      </w:r>
      <w:r>
        <w:t xml:space="preserve">, octobre 2023, pour les États-Unis.</w:t>
      </w:r>
    </w:p>
  </w:footnote>
  <w:footnote w:id="205">
    <w:p>
      <w:pPr>
        <w:pStyle w:val="FootnoteText"/>
      </w:pPr>
      <w:r>
        <w:rPr>
          <w:rStyle w:val="FootnoteReference"/>
        </w:rPr>
        <w:footnoteRef/>
      </w:r>
      <w:r>
        <w:t xml:space="preserve"> </w:t>
      </w:r>
      <w:r>
        <w:t xml:space="preserve">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208">
    <w:p>
      <w:pPr>
        <w:pStyle w:val="FootnoteText"/>
      </w:pPr>
      <w:r>
        <w:rPr>
          <w:rStyle w:val="FootnoteReference"/>
        </w:rPr>
        <w:footnoteRef/>
      </w:r>
      <w:r>
        <w:t xml:space="preserve"> </w:t>
      </w:r>
      <w:r>
        <w:t xml:space="preserve">BPI France Le Lab,</w:t>
      </w:r>
      <w:r>
        <w:t xml:space="preserve"> </w:t>
      </w:r>
      <w:r>
        <w:rPr>
          <w:i/>
          <w:iCs/>
        </w:rPr>
        <w:t xml:space="preserve">Transmission en France : un marché de 370 000 entreprises d’ici 2030</w:t>
      </w:r>
      <w:r>
        <w:t xml:space="preserve">, 2024 (https://lelab.bpifrance.fr/Etudes/transmission-en-france-un-marche-de-370-000-entreprises-d-ici-2030). Décomposition : 310 000 TPE, 58 000 PME, 1 200 ETI.</w:t>
      </w:r>
    </w:p>
  </w:footnote>
  <w:footnote w:id="209">
    <w:p>
      <w:pPr>
        <w:pStyle w:val="FootnoteText"/>
      </w:pPr>
      <w:r>
        <w:rPr>
          <w:rStyle w:val="FootnoteReference"/>
        </w:rPr>
        <w:footnoteRef/>
      </w:r>
      <w:r>
        <w:t xml:space="preserve"> </w:t>
      </w:r>
      <w:r>
        <w:t xml:space="preserve">BPI France,</w:t>
      </w:r>
      <w:r>
        <w:t xml:space="preserve"> </w:t>
      </w:r>
      <w:r>
        <w:rPr>
          <w:i/>
          <w:iCs/>
        </w:rPr>
        <w:t xml:space="preserve">Plan Transmission PME-ETI</w:t>
      </w:r>
      <w:r>
        <w:t xml:space="preserve">, 2024. En 2024, 26 000 transmissions effectives ; en 2023, 37 000 (rebond post-covid). Le ratio transmissions réalisées sur potentielles oscille entre 27 % et 35 % en France, contre 60-70 % en Allemagne et au Royaume-Uni.</w:t>
      </w:r>
    </w:p>
  </w:footnote>
  <w:footnote w:id="210">
    <w:p>
      <w:pPr>
        <w:pStyle w:val="FootnoteText"/>
      </w:pPr>
      <w:r>
        <w:rPr>
          <w:rStyle w:val="FootnoteReference"/>
        </w:rPr>
        <w:footnoteRef/>
      </w:r>
      <w:r>
        <w:t xml:space="preserve"> </w:t>
      </w:r>
      <w:r>
        <w:t xml:space="preserve">CRA - Cédants et Repreneurs d’Affaires,</w:t>
      </w:r>
      <w:r>
        <w:t xml:space="preserve"> </w:t>
      </w:r>
      <w:r>
        <w:rPr>
          <w:i/>
          <w:iCs/>
        </w:rPr>
        <w:t xml:space="preserve">Observatoire de la transmission</w:t>
      </w:r>
      <w:r>
        <w:t xml:space="preserve"> </w:t>
      </w:r>
      <w:r>
        <w:rPr>
          <w:i/>
          <w:iCs/>
        </w:rPr>
        <w:t xml:space="preserve">- janvier 2025</w:t>
      </w:r>
      <w:r>
        <w:t xml:space="preserve">. Sur les repreneurs salariés en LMBO, 44 % déclarent rencontrer des obstacles majeurs de financement.</w:t>
      </w:r>
    </w:p>
  </w:footnote>
  <w:footnote w:id="211">
    <w:p>
      <w:pPr>
        <w:pStyle w:val="FootnoteText"/>
      </w:pPr>
      <w:r>
        <w:rPr>
          <w:rStyle w:val="FootnoteReference"/>
        </w:rPr>
        <w:footnoteRef/>
      </w:r>
      <w:r>
        <w:t xml:space="preserve"> </w:t>
      </w:r>
      <w:r>
        <w:t xml:space="preserve">BPI France Le Lab et CRA,</w:t>
      </w:r>
      <w:r>
        <w:t xml:space="preserve"> </w:t>
      </w:r>
      <w:r>
        <w:rPr>
          <w:i/>
          <w:iCs/>
        </w:rPr>
        <w:t xml:space="preserve">Observatoire combiné 2024</w:t>
      </w:r>
      <w:r>
        <w:t xml:space="preserve">. Les négociations échouent dans 41 % des cas sur désaccord de valorisation. L’écart médian entre prix demandé et prix accepté avoisine 25 % du prix de cession.</w:t>
      </w:r>
    </w:p>
  </w:footnote>
  <w:footnote w:id="212">
    <w:p>
      <w:pPr>
        <w:pStyle w:val="FootnoteText"/>
      </w:pPr>
      <w:r>
        <w:rPr>
          <w:rStyle w:val="FootnoteReference"/>
        </w:rPr>
        <w:footnoteRef/>
      </w:r>
      <w:r>
        <w:t xml:space="preserve"> </w:t>
      </w:r>
      <w:r>
        <w:t xml:space="preserve">BPI France Le Lab, étude précitée 2024. 70 % des dirigeants à plus d’un an d’une transmission déclarent ne pas avoir commencé à structurer leur opération.</w:t>
      </w:r>
    </w:p>
  </w:footnote>
  <w:footnote w:id="213">
    <w:p>
      <w:pPr>
        <w:pStyle w:val="FootnoteText"/>
      </w:pPr>
      <w:r>
        <w:rPr>
          <w:rStyle w:val="FootnoteReference"/>
        </w:rPr>
        <w:footnoteRef/>
      </w:r>
      <w:r>
        <w:t xml:space="preserve"> </w:t>
      </w:r>
      <w:r>
        <w:t xml:space="preserve">Ardian,</w:t>
      </w:r>
      <w:r>
        <w:t xml:space="preserve"> </w:t>
      </w:r>
      <w:r>
        <w:rPr>
          <w:i/>
          <w:iCs/>
        </w:rPr>
        <w:t xml:space="preserve">2024 Integrated Report</w:t>
      </w:r>
      <w:r>
        <w:t xml:space="preserve">, 2025 ; Ardian,</w:t>
      </w:r>
      <w:r>
        <w:t xml:space="preserve"> </w:t>
      </w:r>
      <w:r>
        <w:rPr>
          <w:i/>
          <w:iCs/>
        </w:rPr>
        <w:t xml:space="preserve">200bn AUM confirms Ardian among largest managers in Europe</w:t>
      </w:r>
      <w:r>
        <w:t xml:space="preserve">, communiqué 2024. Décomposition fin 2024 : capital-investissement 137 Md$, actifs réels 49 Md$, crédit 14 Md$.</w:t>
      </w:r>
    </w:p>
  </w:footnote>
  <w:footnote w:id="214">
    <w:p>
      <w:pPr>
        <w:pStyle w:val="FootnoteText"/>
      </w:pPr>
      <w:r>
        <w:rPr>
          <w:rStyle w:val="FootnoteReference"/>
        </w:rPr>
        <w:footnoteRef/>
      </w:r>
      <w:r>
        <w:t xml:space="preserve"> </w:t>
      </w:r>
      <w:r>
        <w:t xml:space="preserve">ABP,</w:t>
      </w:r>
      <w:r>
        <w:t xml:space="preserve"> </w:t>
      </w:r>
      <w:r>
        <w:rPr>
          <w:i/>
          <w:iCs/>
        </w:rPr>
        <w:t xml:space="preserve">Quarterly Report Q4 2024</w:t>
      </w:r>
      <w:r>
        <w:t xml:space="preserve"> </w:t>
      </w:r>
      <w:r>
        <w:t xml:space="preserve">(actifs disponibles 542 Md€ au 31 décembre 2024) ;</w:t>
      </w:r>
      <w:r>
        <w:t xml:space="preserve"> </w:t>
      </w:r>
      <w:r>
        <w:rPr>
          <w:i/>
          <w:iCs/>
        </w:rPr>
        <w:t xml:space="preserve">European Pensions</w:t>
      </w:r>
      <w:r>
        <w:t xml:space="preserve">,</w:t>
      </w:r>
      <w:r>
        <w:t xml:space="preserve"> </w:t>
      </w:r>
      <w:r>
        <w:rPr>
          <w:i/>
          <w:iCs/>
        </w:rPr>
        <w:t xml:space="preserve">Dutch pension fund ABP achieves 8.6 per cent investment return in 2024</w:t>
      </w:r>
      <w:r>
        <w:t xml:space="preserve">, 2025. ABP est la caisse de retraite des fonctionnaires et enseignants néerlandais, gérant 2,9 millions d’affiliés.</w:t>
      </w:r>
    </w:p>
  </w:footnote>
  <w:footnote w:id="215">
    <w:p>
      <w:pPr>
        <w:pStyle w:val="FootnoteText"/>
      </w:pPr>
      <w:r>
        <w:rPr>
          <w:rStyle w:val="FootnoteReference"/>
        </w:rPr>
        <w:footnoteRef/>
      </w:r>
      <w:r>
        <w:t xml:space="preserve"> </w:t>
      </w:r>
      <w:r>
        <w:t xml:space="preserve">AustralianSuper,</w:t>
      </w:r>
      <w:r>
        <w:t xml:space="preserve"> </w:t>
      </w:r>
      <w:r>
        <w:rPr>
          <w:i/>
          <w:iCs/>
        </w:rPr>
        <w:t xml:space="preserve">Annual Report 2024</w:t>
      </w:r>
      <w:r>
        <w:t xml:space="preserve"> </w:t>
      </w:r>
      <w:r>
        <w:t xml:space="preserve">puis</w:t>
      </w:r>
      <w:r>
        <w:t xml:space="preserve"> </w:t>
      </w:r>
      <w:r>
        <w:rPr>
          <w:i/>
          <w:iCs/>
        </w:rPr>
        <w:t xml:space="preserve">FY25 investment performance</w:t>
      </w:r>
      <w:r>
        <w:t xml:space="preserve">, 2025. Actifs au 30 juin 2024 : 315 Md AUD. CDPQ,</w:t>
      </w:r>
      <w:r>
        <w:t xml:space="preserve"> </w:t>
      </w:r>
      <w:r>
        <w:rPr>
          <w:i/>
          <w:iCs/>
        </w:rPr>
        <w:t xml:space="preserve">Rapport annuel 2024</w:t>
      </w:r>
      <w:r>
        <w:t xml:space="preserve">, 2025 : 473 Md CAD.</w:t>
      </w:r>
    </w:p>
  </w:footnote>
  <w:footnote w:id="216">
    <w:p>
      <w:pPr>
        <w:pStyle w:val="FootnoteText"/>
      </w:pPr>
      <w:r>
        <w:rPr>
          <w:rStyle w:val="FootnoteReference"/>
        </w:rPr>
        <w:footnoteRef/>
      </w:r>
      <w:r>
        <w:t xml:space="preserve"> </w:t>
      </w:r>
      <w:r>
        <w:t xml:space="preserve">CalPERS,</w:t>
      </w:r>
      <w:r>
        <w:t xml:space="preserve"> </w:t>
      </w:r>
      <w:r>
        <w:rPr>
          <w:i/>
          <w:iCs/>
        </w:rPr>
        <w:t xml:space="preserve">Annual Comprehensive Financial Report FY2024</w:t>
      </w:r>
      <w:r>
        <w:t xml:space="preserve">, 2024. Actifs nets au 30 juin 2024 : 506,6 Md USD.</w:t>
      </w:r>
    </w:p>
  </w:footnote>
  <w:footnote w:id="217">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2025. Actifs : 19 742 Md NOK. Rendement 2024 : 13,1 %. Présence : 8 763 sociétés cotées dans 71 pays. CPP Investments,</w:t>
      </w:r>
      <w:r>
        <w:t xml:space="preserve"> </w:t>
      </w:r>
      <w:r>
        <w:rPr>
          <w:i/>
          <w:iCs/>
        </w:rPr>
        <w:t xml:space="preserve">Fiscal 2025 Annual Report</w:t>
      </w:r>
      <w:r>
        <w:t xml:space="preserve">, 2025 : 714,4 Md CAD au 31 mars 2025.</w:t>
      </w:r>
    </w:p>
  </w:footnote>
  <w:footnote w:id="218">
    <w:p>
      <w:pPr>
        <w:pStyle w:val="FootnoteText"/>
      </w:pPr>
      <w:r>
        <w:rPr>
          <w:rStyle w:val="FootnoteReference"/>
        </w:rPr>
        <w:footnoteRef/>
      </w:r>
      <w:r>
        <w:t xml:space="preserve"> </w:t>
      </w:r>
      <w:r>
        <w:t xml:space="preserve">McKinsey &amp; Company,</w:t>
      </w:r>
      <w:r>
        <w:t xml:space="preserve"> </w:t>
      </w:r>
      <w:r>
        <w:rPr>
          <w:i/>
          <w:iCs/>
        </w:rPr>
        <w:t xml:space="preserve">Global Private Markets Report 2025</w:t>
      </w:r>
      <w:r>
        <w:t xml:space="preserve">, 2025 ; Bain &amp; Company,</w:t>
      </w:r>
      <w:r>
        <w:t xml:space="preserve"> </w:t>
      </w:r>
      <w:r>
        <w:rPr>
          <w:i/>
          <w:iCs/>
        </w:rPr>
        <w:t xml:space="preserve">Global Private Equity Report 2025</w:t>
      </w:r>
      <w:r>
        <w:t xml:space="preserve">. Cambridge Associates,</w:t>
      </w:r>
      <w:r>
        <w:t xml:space="preserve"> </w:t>
      </w:r>
      <w:r>
        <w:rPr>
          <w:i/>
          <w:iCs/>
        </w:rPr>
        <w:t xml:space="preserve">Right-sizing private investments for the evolving pension</w:t>
      </w:r>
      <w:r>
        <w:t xml:space="preserve">, 2024, fournit la grille d’analyse comparée des coûts de capital implicites.</w:t>
      </w:r>
    </w:p>
  </w:footnote>
  <w:footnote w:id="219">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Frais de gestion 0,05 % sur le fonds actions. NBIM,</w:t>
      </w:r>
      <w:r>
        <w:t xml:space="preserve"> </w:t>
      </w:r>
      <w:r>
        <w:rPr>
          <w:i/>
          <w:iCs/>
        </w:rPr>
        <w:t xml:space="preserve">Annual Report 2024</w:t>
      </w:r>
      <w:r>
        <w:t xml:space="preserve">, frais de gestion 0,041 % des actifs - l’un des plus bas au monde pour un fonds de cette taille.</w:t>
      </w:r>
    </w:p>
  </w:footnote>
  <w:footnote w:id="221">
    <w:p>
      <w:pPr>
        <w:pStyle w:val="FootnoteText"/>
      </w:pPr>
      <w:r>
        <w:rPr>
          <w:rStyle w:val="FootnoteReference"/>
        </w:rPr>
        <w:footnoteRef/>
      </w:r>
      <w:r>
        <w:t xml:space="preserve"> </w:t>
      </w:r>
      <w:r>
        <w:t xml:space="preserve">Sanofi,</w:t>
      </w:r>
      <w:r>
        <w:t xml:space="preserve"> </w:t>
      </w:r>
      <w:r>
        <w:rPr>
          <w:i/>
          <w:iCs/>
        </w:rPr>
        <w:t xml:space="preserve">Communiqué sur la cession d’Opella à Clayton, Dubilier &amp; Rice</w:t>
      </w:r>
      <w:r>
        <w:t xml:space="preserve">,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222">
    <w:p>
      <w:pPr>
        <w:pStyle w:val="FootnoteText"/>
      </w:pPr>
      <w:r>
        <w:rPr>
          <w:rStyle w:val="FootnoteReference"/>
        </w:rPr>
        <w:footnoteRef/>
      </w:r>
      <w:r>
        <w:t xml:space="preserve"> </w:t>
      </w:r>
      <w:r>
        <w:t xml:space="preserve">General Electric,</w:t>
      </w:r>
      <w:r>
        <w:t xml:space="preserve"> </w:t>
      </w:r>
      <w:r>
        <w:rPr>
          <w:i/>
          <w:iCs/>
        </w:rPr>
        <w:t xml:space="preserve">GE completes acquisition of Alstom Power and Grid Businesses</w:t>
      </w:r>
      <w:r>
        <w:t xml:space="preserve">, 2 novembre 2015. Le communiqué officiel précise une</w:t>
      </w:r>
      <w:r>
        <w:t xml:space="preserve"> </w:t>
      </w:r>
      <w:r>
        <w:rPr>
          <w:i/>
          <w:iCs/>
        </w:rPr>
        <w:t xml:space="preserve">enterprise value</w:t>
      </w:r>
      <w:r>
        <w:t xml:space="preserve"> </w:t>
      </w:r>
      <w:r>
        <w:t xml:space="preserve">de 12,35 Md€ ramenée à une contrepartie cash d’environ 9,7 Md€ après ajustements. Voir aussi Assemblée nationale,</w:t>
      </w:r>
      <w:r>
        <w:t xml:space="preserve"> </w:t>
      </w:r>
      <w:r>
        <w:rPr>
          <w:i/>
          <w:iCs/>
        </w:rPr>
        <w:t xml:space="preserve">Commission d’enquête sur les décisions de l’État en matière de politique industrielle</w:t>
      </w:r>
      <w:r>
        <w:t xml:space="preserve"> </w:t>
      </w:r>
      <w:r>
        <w:rPr>
          <w:i/>
          <w:iCs/>
        </w:rPr>
        <w:t xml:space="preserve">- cas Alstom</w:t>
      </w:r>
      <w:r>
        <w:t xml:space="preserve">, 2018.</w:t>
      </w:r>
    </w:p>
  </w:footnote>
  <w:footnote w:id="223">
    <w:p>
      <w:pPr>
        <w:pStyle w:val="FootnoteText"/>
      </w:pPr>
      <w:r>
        <w:rPr>
          <w:rStyle w:val="FootnoteReference"/>
        </w:rPr>
        <w:footnoteRef/>
      </w:r>
      <w:r>
        <w:t xml:space="preserve"> </w:t>
      </w:r>
      <w:r>
        <w:t xml:space="preserve">Frédéric Pierucci et Matthieu Aron,</w:t>
      </w:r>
      <w:r>
        <w:t xml:space="preserve"> </w:t>
      </w:r>
      <w:r>
        <w:rPr>
          <w:i/>
          <w:iCs/>
        </w:rPr>
        <w:t xml:space="preserve">Le piège américain</w:t>
      </w:r>
      <w:r>
        <w:t xml:space="preserve">,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224">
    <w:p>
      <w:pPr>
        <w:pStyle w:val="FootnoteText"/>
      </w:pPr>
      <w:r>
        <w:rPr>
          <w:rStyle w:val="FootnoteReference"/>
        </w:rPr>
        <w:footnoteRef/>
      </w:r>
      <w:r>
        <w:t xml:space="preserve"> </w:t>
      </w:r>
      <w:r>
        <w:rPr>
          <w:i/>
          <w:iCs/>
        </w:rPr>
        <w:t xml:space="preserve">Opex360 / Zone Militaire</w:t>
      </w:r>
      <w:r>
        <w:t xml:space="preserve">,</w:t>
      </w:r>
      <w:r>
        <w:t xml:space="preserve"> </w:t>
      </w:r>
      <w:r>
        <w:rPr>
          <w:i/>
          <w:iCs/>
        </w:rPr>
        <w:t xml:space="preserve">Photonis racheté par HLD avec le soutien de l’État</w:t>
      </w:r>
      <w:r>
        <w:t xml:space="preserve">, février 2021 ;</w:t>
      </w:r>
      <w:r>
        <w:t xml:space="preserve"> </w:t>
      </w:r>
      <w:r>
        <w:rPr>
          <w:i/>
          <w:iCs/>
        </w:rPr>
        <w:t xml:space="preserve">Les Échos</w:t>
      </w:r>
      <w:r>
        <w:t xml:space="preserve">,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225">
    <w:p>
      <w:pPr>
        <w:pStyle w:val="FootnoteText"/>
      </w:pPr>
      <w:r>
        <w:rPr>
          <w:rStyle w:val="FootnoteReference"/>
        </w:rPr>
        <w:footnoteRef/>
      </w:r>
      <w:r>
        <w:t xml:space="preserve"> </w:t>
      </w:r>
      <w:r>
        <w:rPr>
          <w:i/>
          <w:iCs/>
        </w:rPr>
        <w:t xml:space="preserve">Boursorama</w:t>
      </w:r>
      <w:r>
        <w:t xml:space="preserve">,</w:t>
      </w:r>
      <w:r>
        <w:t xml:space="preserve"> </w:t>
      </w:r>
      <w:r>
        <w:rPr>
          <w:i/>
          <w:iCs/>
        </w:rPr>
        <w:t xml:space="preserve">Searchlight Capital Partners lance une OPA sur Latécoère</w:t>
      </w:r>
      <w:r>
        <w:t xml:space="preserve">, juin 2019 ;</w:t>
      </w:r>
      <w:r>
        <w:t xml:space="preserve"> </w:t>
      </w:r>
      <w:r>
        <w:rPr>
          <w:i/>
          <w:iCs/>
        </w:rPr>
        <w:t xml:space="preserve">L’Usine Nouvelle</w:t>
      </w:r>
      <w:r>
        <w:t xml:space="preserve">,</w:t>
      </w:r>
      <w:r>
        <w:t xml:space="preserve"> </w:t>
      </w:r>
      <w:r>
        <w:rPr>
          <w:i/>
          <w:iCs/>
        </w:rPr>
        <w:t xml:space="preserve">Searchlight Capital prend 26 % de Latécoère</w:t>
      </w:r>
      <w:r>
        <w:t xml:space="preserve">, avril 2019. SKN Holding (Searchlight) acquiert 24 697 727 actions soit 26,05 % du capital pour 106,8 millions de dollars. Augmentation de capital de novembre 2023 : 124,4 M€ bruts (BusinessWire, 16 novembre 2023).</w:t>
      </w:r>
    </w:p>
  </w:footnote>
  <w:footnote w:id="226">
    <w:p>
      <w:pPr>
        <w:pStyle w:val="FootnoteText"/>
      </w:pPr>
      <w:r>
        <w:rPr>
          <w:rStyle w:val="FootnoteReference"/>
        </w:rPr>
        <w:footnoteRef/>
      </w:r>
      <w:r>
        <w:t xml:space="preserve"> </w:t>
      </w:r>
      <w:r>
        <w:t xml:space="preserve">AccessWire,</w:t>
      </w:r>
      <w:r>
        <w:t xml:space="preserve"> </w:t>
      </w:r>
      <w:r>
        <w:rPr>
          <w:i/>
          <w:iCs/>
        </w:rPr>
        <w:t xml:space="preserve">Heico announces largest acquisition ever : Exxelia International</w:t>
      </w:r>
      <w:r>
        <w:t xml:space="preserve">, juillet 2022 ; communiqués Heico Corporation, 28 juillet 2022 (annonce) et 5 janvier 2023 (clôture). Montant total : 453 M€ en cash, plus 14 M€ d’assomption de dette.</w:t>
      </w:r>
    </w:p>
  </w:footnote>
  <w:footnote w:id="227">
    <w:p>
      <w:pPr>
        <w:pStyle w:val="FootnoteText"/>
      </w:pPr>
      <w:r>
        <w:rPr>
          <w:rStyle w:val="FootnoteReference"/>
        </w:rPr>
        <w:footnoteRef/>
      </w:r>
      <w:r>
        <w:t xml:space="preserve"> </w:t>
      </w:r>
      <w:r>
        <w:t xml:space="preserve">Holcim et Lafarge,</w:t>
      </w:r>
      <w:r>
        <w:t xml:space="preserve"> </w:t>
      </w:r>
      <w:r>
        <w:rPr>
          <w:i/>
          <w:iCs/>
        </w:rPr>
        <w:t xml:space="preserve">Communiqué conjoint sur la fusion</w:t>
      </w:r>
      <w:r>
        <w:t xml:space="preserve"> </w:t>
      </w:r>
      <w:r>
        <w:rPr>
          <w:i/>
          <w:iCs/>
        </w:rPr>
        <w:t xml:space="preserve">- juillet 2015</w:t>
      </w:r>
      <w:r>
        <w:t xml:space="preserve">. Création d’un groupe combiné de 35 Md€ de chiffre d’affaires et 130 000 employés. Voir Observatoire des multinationales,</w:t>
      </w:r>
      <w:r>
        <w:t xml:space="preserve"> </w:t>
      </w:r>
      <w:r>
        <w:rPr>
          <w:i/>
          <w:iCs/>
        </w:rPr>
        <w:t xml:space="preserve">Lafarge-Holcim : fusion, conséquences industrielles et fiscales</w:t>
      </w:r>
      <w:r>
        <w:t xml:space="preserve">, 2015-2016.</w:t>
      </w:r>
    </w:p>
  </w:footnote>
  <w:footnote w:id="228">
    <w:p>
      <w:pPr>
        <w:pStyle w:val="FootnoteText"/>
      </w:pPr>
      <w:r>
        <w:rPr>
          <w:rStyle w:val="FootnoteReference"/>
        </w:rPr>
        <w:footnoteRef/>
      </w:r>
      <w:r>
        <w:t xml:space="preserve"> </w:t>
      </w:r>
      <w:r>
        <w:rPr>
          <w:i/>
          <w:iCs/>
        </w:rPr>
        <w:t xml:space="preserve">L’Usine Nouvelle</w:t>
      </w:r>
      <w:r>
        <w:t xml:space="preserve">,</w:t>
      </w:r>
      <w:r>
        <w:t xml:space="preserve"> </w:t>
      </w:r>
      <w:r>
        <w:rPr>
          <w:i/>
          <w:iCs/>
        </w:rPr>
        <w:t xml:space="preserve">Technip-FMC, une fusion à parts égales</w:t>
      </w:r>
      <w:r>
        <w:t xml:space="preserve">, avril 2016 ; communiqués TechnipFMC,</w:t>
      </w:r>
      <w:r>
        <w:t xml:space="preserve"> </w:t>
      </w:r>
      <w:r>
        <w:rPr>
          <w:i/>
          <w:iCs/>
        </w:rPr>
        <w:t xml:space="preserve">Investor Relations 2017-2019</w:t>
      </w:r>
      <w:r>
        <w:t xml:space="preserve">. La capitalisation post-annonce du nouveau groupe est estimée à 13 Md$.</w:t>
      </w:r>
    </w:p>
  </w:footnote>
  <w:footnote w:id="229">
    <w:p>
      <w:pPr>
        <w:pStyle w:val="FootnoteText"/>
      </w:pPr>
      <w:r>
        <w:rPr>
          <w:rStyle w:val="FootnoteReference"/>
        </w:rPr>
        <w:footnoteRef/>
      </w:r>
      <w:r>
        <w:t xml:space="preserve"> </w:t>
      </w:r>
      <w:r>
        <w:t xml:space="preserve">Servier,</w:t>
      </w:r>
      <w:r>
        <w:t xml:space="preserve"> </w:t>
      </w:r>
      <w:r>
        <w:rPr>
          <w:i/>
          <w:iCs/>
        </w:rPr>
        <w:t xml:space="preserve">Communiqué sur l’acquisition du portefeuille d’oncologie d’Agios Pharmaceuticals</w:t>
      </w:r>
      <w:r>
        <w:t xml:space="preserve">, mars 2021 ; closing du 1er avril 2021. Structure : 1,8 Md$ upfront, plus jusqu’à 200 M$ de paiements conditionnels. Servier, contrôlé par la Fondation Internationale de Recherche Servier, échappe à la pression des marchés cotés.</w:t>
      </w:r>
    </w:p>
  </w:footnote>
  <w:footnote w:id="230">
    <w:p>
      <w:pPr>
        <w:pStyle w:val="FootnoteText"/>
      </w:pPr>
      <w:r>
        <w:rPr>
          <w:rStyle w:val="FootnoteReference"/>
        </w:rPr>
        <w:footnoteRef/>
      </w:r>
      <w:r>
        <w:t xml:space="preserve"> </w:t>
      </w:r>
      <w:r>
        <w:t xml:space="preserve">Worldline,</w:t>
      </w:r>
      <w:r>
        <w:t xml:space="preserve"> </w:t>
      </w:r>
      <w:r>
        <w:rPr>
          <w:i/>
          <w:iCs/>
        </w:rPr>
        <w:t xml:space="preserve">Annonce de l’offre publique sur Ingenico</w:t>
      </w:r>
      <w:r>
        <w:t xml:space="preserve">, 3 février 2020 ; clôture officielle 28 octobre 2020. Valeur implicite : 7,8 Md€, structure 81 % en actions Worldline et 19 % en cash.</w:t>
      </w:r>
      <w:r>
        <w:t xml:space="preserve"> </w:t>
      </w:r>
      <w:r>
        <w:rPr>
          <w:i/>
          <w:iCs/>
        </w:rPr>
        <w:t xml:space="preserve">Le Monde Informatique</w:t>
      </w:r>
      <w:r>
        <w:t xml:space="preserve">,</w:t>
      </w:r>
      <w:r>
        <w:t xml:space="preserve"> </w:t>
      </w:r>
      <w:r>
        <w:rPr>
          <w:i/>
          <w:iCs/>
        </w:rPr>
        <w:t xml:space="preserve">Worldline rachète Ingenico pour devenir géant du paiement</w:t>
      </w:r>
      <w:r>
        <w:t xml:space="preserve">, février 2020.</w:t>
      </w:r>
    </w:p>
  </w:footnote>
  <w:footnote w:id="231">
    <w:p>
      <w:pPr>
        <w:pStyle w:val="FootnoteText"/>
      </w:pPr>
      <w:r>
        <w:rPr>
          <w:rStyle w:val="FootnoteReference"/>
        </w:rPr>
        <w:footnoteRef/>
      </w:r>
      <w:r>
        <w:t xml:space="preserve"> </w:t>
      </w:r>
      <w:r>
        <w:t xml:space="preserve">OCDE,</w:t>
      </w:r>
      <w:r>
        <w:t xml:space="preserve"> </w:t>
      </w:r>
      <w:r>
        <w:rPr>
          <w:i/>
          <w:iCs/>
        </w:rPr>
        <w:t xml:space="preserve">Base Erosion and Profit Shifting Project</w:t>
      </w:r>
      <w:r>
        <w:t xml:space="preserve">, rapports annuels 2015-2024. Sur le cas Lafarge-Holcim, voir Observatoire des multinationales,</w:t>
      </w:r>
      <w:r>
        <w:t xml:space="preserve"> </w:t>
      </w:r>
      <w:r>
        <w:rPr>
          <w:i/>
          <w:iCs/>
        </w:rPr>
        <w:t xml:space="preserve">Lafarge-Holcim : fusion, conséquences industrielles et fiscales</w:t>
      </w:r>
      <w:r>
        <w:t xml:space="preserve">, 2015-2016.</w:t>
      </w:r>
    </w:p>
  </w:footnote>
  <w:footnote w:id="232">
    <w:p>
      <w:pPr>
        <w:pStyle w:val="FootnoteText"/>
      </w:pPr>
      <w:r>
        <w:rPr>
          <w:rStyle w:val="FootnoteReference"/>
        </w:rPr>
        <w:footnoteRef/>
      </w:r>
      <w:r>
        <w:t xml:space="preserve"> </w:t>
      </w:r>
      <w:r>
        <w:t xml:space="preserve">Vernimmen,</w:t>
      </w:r>
      <w:r>
        <w:t xml:space="preserve"> </w:t>
      </w:r>
      <w:r>
        <w:rPr>
          <w:i/>
          <w:iCs/>
        </w:rPr>
        <w:t xml:space="preserve">Dividendes du CAC 40 en hausse de 8,5 % en 2024</w:t>
      </w:r>
      <w:r>
        <w:t xml:space="preserve">, lettre n°223, 2025 ; BFM Bourse et TradingSat,</w:t>
      </w:r>
      <w:r>
        <w:t xml:space="preserve"> </w:t>
      </w:r>
      <w:r>
        <w:rPr>
          <w:i/>
          <w:iCs/>
        </w:rPr>
        <w:t xml:space="preserve">Les groupes du CAC 40 ont rendu plus de 98 Md€ à leurs actionnaires en 2024</w:t>
      </w:r>
      <w:r>
        <w:t xml:space="preserve">, 2025. Décomposition : 72,8 Md€ de dividendes cash, 25,5 Md€ de rachats d’actions. Investissements parallèles du CAC 40 en 2024 : 116,6 Md€, en hausse de 22 %.</w:t>
      </w:r>
    </w:p>
  </w:footnote>
  <w:footnote w:id="233">
    <w:p>
      <w:pPr>
        <w:pStyle w:val="FootnoteText"/>
      </w:pPr>
      <w:r>
        <w:rPr>
          <w:rStyle w:val="FootnoteReference"/>
        </w:rPr>
        <w:footnoteRef/>
      </w:r>
      <w:r>
        <w:t xml:space="preserve"> </w:t>
      </w:r>
      <w:r>
        <w:t xml:space="preserve">Banque de France,</w:t>
      </w:r>
      <w:r>
        <w:t xml:space="preserve"> </w:t>
      </w:r>
      <w:r>
        <w:rPr>
          <w:i/>
          <w:iCs/>
        </w:rPr>
        <w:t xml:space="preserve">La détention des actions des sociétés françaises du CAC 40 par les non-résidents augmente très légèrement en 2024</w:t>
      </w:r>
      <w:r>
        <w:t xml:space="preserve">, bulletin n°255, novembre-décembre 2024. Capitalisation totale CAC 40 fin 2024 : 2 165 Md€. Part non-résidente : 50,0 %, soit 1 083 Md€. Sur 35 sociétés analysées : 19 détenues à plus de 50 % par des non-résidents, 11 entre 30 et 50 %, 5 à moins de 30 %.</w:t>
      </w:r>
    </w:p>
  </w:footnote>
  <w:footnote w:id="234">
    <w:p>
      <w:pPr>
        <w:pStyle w:val="FootnoteText"/>
      </w:pPr>
      <w:r>
        <w:rPr>
          <w:rStyle w:val="FootnoteReference"/>
        </w:rPr>
        <w:footnoteRef/>
      </w:r>
      <w:r>
        <w:t xml:space="preserve"> </w:t>
      </w:r>
      <w:r>
        <w:t xml:space="preserve">Banque de France, bulletin n°255 précité. Investissements de portefeuille : 92,9 % du total non-résident ; investissements directs : 7,1 %. Origine : 40 % zone euro, 34 % États-Unis, 26 % reste du monde.</w:t>
      </w:r>
    </w:p>
  </w:footnote>
  <w:footnote w:id="235">
    <w:p>
      <w:pPr>
        <w:pStyle w:val="FootnoteText"/>
      </w:pPr>
      <w:r>
        <w:rPr>
          <w:rStyle w:val="FootnoteReference"/>
        </w:rPr>
        <w:footnoteRef/>
      </w:r>
      <w:r>
        <w:t xml:space="preserve"> </w:t>
      </w:r>
      <w:r>
        <w:t xml:space="preserve">BFM Bourse,</w:t>
      </w:r>
      <w:r>
        <w:t xml:space="preserve"> </w:t>
      </w:r>
      <w:r>
        <w:rPr>
          <w:i/>
          <w:iCs/>
        </w:rPr>
        <w:t xml:space="preserve">L’inquiétante mainmise des géants américains de la gestion d’actifs sur les marchés</w:t>
      </w:r>
      <w:r>
        <w:t xml:space="preserve">, 2020. Les chiffres BlackRock 2,1 % et Vanguard 2,0 % datent de 2020 ; les estimations 2024 ne sont pas publiées avec la même granularité, mais l’ordre de grandeur reste proche.</w:t>
      </w:r>
    </w:p>
  </w:footnote>
  <w:footnote w:id="236">
    <w:p>
      <w:pPr>
        <w:pStyle w:val="FootnoteText"/>
      </w:pPr>
      <w:r>
        <w:rPr>
          <w:rStyle w:val="FootnoteReference"/>
        </w:rPr>
        <w:footnoteRef/>
      </w:r>
      <w:r>
        <w:t xml:space="preserve"> </w:t>
      </w:r>
      <w:r>
        <w:t xml:space="preserve">Calcul OVLA. Hypothèses : croissance nominale moyenne des dividendes du CAC 40 6 % par an (moyenne 2014-2024 selon Vernimmen) ; part non-résidente stable à 50 %. Cumul des dividendes versés à l’étranger sur la décennie 2024-2034 estimé à 510-540 Md€.</w:t>
      </w:r>
    </w:p>
  </w:footnote>
  <w:footnote w:id="239">
    <w:p>
      <w:pPr>
        <w:pStyle w:val="FootnoteText"/>
      </w:pPr>
      <w:r>
        <w:rPr>
          <w:rStyle w:val="FootnoteReference"/>
        </w:rPr>
        <w:footnoteRef/>
      </w:r>
      <w:r>
        <w:t xml:space="preserve"> </w:t>
      </w:r>
      <w:r>
        <w:t xml:space="preserve">Ordres de grandeur d’allocation domestique : Norges Bank Investment Management,</w:t>
      </w:r>
      <w:r>
        <w:t xml:space="preserve"> </w:t>
      </w:r>
      <w:r>
        <w:rPr>
          <w:i/>
          <w:iCs/>
        </w:rPr>
        <w:t xml:space="preserve">Government Pension Fund Global</w:t>
      </w:r>
      <w:r>
        <w:t xml:space="preserve"> </w:t>
      </w:r>
      <w:r>
        <w:rPr>
          <w:i/>
          <w:iCs/>
        </w:rPr>
        <w:t xml:space="preserve">- Annual Report 2024</w:t>
      </w:r>
      <w:r>
        <w:t xml:space="preserve">, 2025 (règles d’investissement définies par le ministère norvégien des Finances ; exposition actions Norvège marginale en pratique). ABP,</w:t>
      </w:r>
      <w:r>
        <w:t xml:space="preserve"> </w:t>
      </w:r>
      <w:r>
        <w:rPr>
          <w:i/>
          <w:iCs/>
        </w:rPr>
        <w:t xml:space="preserve">Annual Report 2024</w:t>
      </w:r>
      <w:r>
        <w:t xml:space="preserve">, 2025 (allocation Europe et exposition domestique limitée). CPP Investments,</w:t>
      </w:r>
      <w:r>
        <w:t xml:space="preserve"> </w:t>
      </w:r>
      <w:r>
        <w:rPr>
          <w:i/>
          <w:iCs/>
        </w:rPr>
        <w:t xml:space="preserve">Fiscal 2025 Annual Report</w:t>
      </w:r>
      <w:r>
        <w:t xml:space="preserve">, 2025 (allocation Canada autour d’un quart du portefeuille). CDPQ,</w:t>
      </w:r>
      <w:r>
        <w:t xml:space="preserve"> </w:t>
      </w:r>
      <w:r>
        <w:rPr>
          <w:i/>
          <w:iCs/>
        </w:rPr>
        <w:t xml:space="preserve">Engagement Québec</w:t>
      </w:r>
      <w:r>
        <w:t xml:space="preserve">, 2024, et</w:t>
      </w:r>
      <w:r>
        <w:t xml:space="preserve"> </w:t>
      </w:r>
      <w:r>
        <w:rPr>
          <w:i/>
          <w:iCs/>
        </w:rPr>
        <w:t xml:space="preserve">Rapport annuel 2024</w:t>
      </w:r>
      <w:r>
        <w:t xml:space="preserve">, 2025 (exposition Québec environ un quart). Thinking Ahead Institute,</w:t>
      </w:r>
      <w:r>
        <w:t xml:space="preserve"> </w:t>
      </w:r>
      <w:r>
        <w:rPr>
          <w:i/>
          <w:iCs/>
        </w:rPr>
        <w:t xml:space="preserve">Global Pension Assets Study 2025</w:t>
      </w:r>
      <w:r>
        <w:t xml:space="preserve">, 2025, pour les ratios d’allocation domestique des principaux fonds publics. Les fourchettes citées sont des ordres de grandeur publics, susceptibles de varier selon les classes d’actifs et la conjoncture.</w:t>
      </w:r>
    </w:p>
  </w:footnote>
  <w:footnote w:id="240">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2025. Encours fonds de pension en pourcentage du PIB : Pays-Bas 200-220 %, Canada 40 %, Norvège 280 %, Australie 148 %, États-Unis 130 %, Royaume-Uni 120 %. PIB France 2024 : environ 2 950 Md€. Une cible de 50 % du PIB représenterait 1 475 Md€ en stock stationnaire.</w:t>
      </w:r>
    </w:p>
  </w:footnote>
  <w:footnote w:id="241">
    <w:p>
      <w:pPr>
        <w:pStyle w:val="FootnoteText"/>
      </w:pPr>
      <w:r>
        <w:rPr>
          <w:rStyle w:val="FootnoteReference"/>
        </w:rPr>
        <w:footnoteRef/>
      </w:r>
      <w:r>
        <w:t xml:space="preserve"> </w:t>
      </w:r>
      <w:r>
        <w:t xml:space="preserve">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242">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 voir aussi CDPQ,</w:t>
      </w:r>
      <w:r>
        <w:t xml:space="preserve"> </w:t>
      </w:r>
      <w:r>
        <w:rPr>
          <w:i/>
          <w:iCs/>
        </w:rPr>
        <w:t xml:space="preserve">Department of Commerce investigation targeting CSeries aircraft program</w:t>
      </w:r>
      <w:r>
        <w:t xml:space="preserve">. Acquisition de 30 % de BT Holdco en novembre 2015 pour 1,5 Md$ US. Sortie via la cession Alstom-Bombardier Transport, closing 29 janvier 2021.</w:t>
      </w:r>
    </w:p>
  </w:footnote>
  <w:footnote w:id="243">
    <w:p>
      <w:pPr>
        <w:pStyle w:val="FootnoteText"/>
      </w:pPr>
      <w:r>
        <w:rPr>
          <w:rStyle w:val="FootnoteReference"/>
        </w:rPr>
        <w:footnoteRef/>
      </w:r>
      <w:r>
        <w:t xml:space="preserve"> </w:t>
      </w:r>
      <w:r>
        <w:t xml:space="preserve">ABP / APG,</w:t>
      </w:r>
      <w:r>
        <w:t xml:space="preserve"> </w:t>
      </w:r>
      <w:r>
        <w:rPr>
          <w:i/>
          <w:iCs/>
        </w:rPr>
        <w:t xml:space="preserve">Plan d’investissements à impact 2024-2030</w:t>
      </w:r>
      <w:r>
        <w:t xml:space="preserve">, communiqué 2024 ; couverture</w:t>
      </w:r>
      <w:r>
        <w:t xml:space="preserve"> </w:t>
      </w:r>
      <w:r>
        <w:rPr>
          <w:i/>
          <w:iCs/>
        </w:rPr>
        <w:t xml:space="preserve">ESG News</w:t>
      </w:r>
      <w:r>
        <w:t xml:space="preserve">, 2024. La part dédiée aux investissements domestiques inclut notamment 5 Md€ pour les logements locatifs sociaux néerlandais.</w:t>
      </w:r>
    </w:p>
  </w:footnote>
  <w:footnote w:id="244">
    <w:p>
      <w:pPr>
        <w:pStyle w:val="FootnoteText"/>
      </w:pPr>
      <w:r>
        <w:rPr>
          <w:rStyle w:val="FootnoteReference"/>
        </w:rPr>
        <w:footnoteRef/>
      </w:r>
      <w:r>
        <w:t xml:space="preserve"> </w:t>
      </w:r>
      <w:r>
        <w:t xml:space="preserve">USS,</w:t>
      </w:r>
      <w:r>
        <w:t xml:space="preserve"> </w:t>
      </w:r>
      <w:r>
        <w:rPr>
          <w:i/>
          <w:iCs/>
        </w:rPr>
        <w:t xml:space="preserve">USS invests in Heathrow Airport</w:t>
      </w:r>
      <w:r>
        <w:t xml:space="preserve">, communication 2013/2014 ; IPE,</w:t>
      </w:r>
      <w:r>
        <w:t xml:space="preserve"> </w:t>
      </w:r>
      <w:r>
        <w:rPr>
          <w:i/>
          <w:iCs/>
        </w:rPr>
        <w:t xml:space="preserve">USS buys 8% stake in Heathrow Airport</w:t>
      </w:r>
      <w:r>
        <w:t xml:space="preserve">, 2013. Acquisition de 8,65 % de FGP Topco pour 392 M£ en octobre 2013. Vente complète en décembre 2024.</w:t>
      </w:r>
    </w:p>
  </w:footnote>
  <w:footnote w:id="245">
    <w:p>
      <w:pPr>
        <w:pStyle w:val="FootnoteText"/>
      </w:pPr>
      <w:r>
        <w:rPr>
          <w:rStyle w:val="FootnoteReference"/>
        </w:rPr>
        <w:footnoteRef/>
      </w:r>
      <w:r>
        <w:t xml:space="preserve"> </w:t>
      </w:r>
      <w:r>
        <w:t xml:space="preserve">Bernard est un personnage composite, construit à partir de plusieurs entretiens avec des dirigeants d’ETI familiales en cours de transmission dans le Grand-Ouest (Bretagne, Pays de la Loire, Normandie). Les ordres de grandeur financiers - taille de l’ETI, multiples d’EBITDA proposés par les trois pistes d’acquéreurs -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246">
    <w:p>
      <w:pPr>
        <w:pStyle w:val="FootnoteText"/>
      </w:pPr>
      <w:r>
        <w:rPr>
          <w:rStyle w:val="FootnoteReference"/>
        </w:rPr>
        <w:footnoteRef/>
      </w:r>
    </w:p>
  </w:footnote>
  <w:footnote w:id="247">
    <w:p>
      <w:pPr>
        <w:pStyle w:val="FootnoteText"/>
      </w:pPr>
      <w:r>
        <w:rPr>
          <w:rStyle w:val="FootnoteReference"/>
        </w:rPr>
        <w:footnoteRef/>
      </w:r>
    </w:p>
  </w:footnote>
  <w:footnote w:id="248">
    <w:p>
      <w:pPr>
        <w:pStyle w:val="FootnoteText"/>
      </w:pPr>
      <w:r>
        <w:rPr>
          <w:rStyle w:val="FootnoteReference"/>
        </w:rPr>
        <w:footnoteRef/>
      </w:r>
    </w:p>
  </w:footnote>
  <w:footnote w:id="249">
    <w:p>
      <w:pPr>
        <w:pStyle w:val="FootnoteText"/>
      </w:pPr>
      <w:r>
        <w:rPr>
          <w:rStyle w:val="FootnoteReference"/>
        </w:rPr>
        <w:footnoteRef/>
      </w:r>
    </w:p>
  </w:footnote>
  <w:footnote w:id="251">
    <w:p>
      <w:pPr>
        <w:pStyle w:val="FootnoteText"/>
      </w:pPr>
      <w:r>
        <w:rPr>
          <w:rStyle w:val="FootnoteReference"/>
        </w:rPr>
        <w:footnoteRef/>
      </w:r>
    </w:p>
  </w:footnote>
  <w:footnote w:id="254">
    <w:p>
      <w:pPr>
        <w:pStyle w:val="FootnoteText"/>
      </w:pPr>
      <w:r>
        <w:rPr>
          <w:rStyle w:val="FootnoteReference"/>
        </w:rPr>
        <w:footnoteRef/>
      </w:r>
      <w:r>
        <w:t xml:space="preserve"> </w:t>
      </w:r>
      <w:r>
        <w:t xml:space="preserve">La notion de « cercle vertueux du capital domestique » est ancrée dans la littérature sur les fonds de pension comme acteurs structurels des marchés de capitaux nationaux. Voir notamment : Davis E. P.,</w:t>
      </w:r>
      <w:r>
        <w:t xml:space="preserve"> </w:t>
      </w:r>
      <w:r>
        <w:rPr>
          <w:i/>
          <w:iCs/>
        </w:rPr>
        <w:t xml:space="preserve">Pension Funds: Retirement-Income Security and Capital Markets</w:t>
      </w:r>
      <w:r>
        <w:t xml:space="preserve">, Oxford University Press, 1995 ; OCDE,</w:t>
      </w:r>
      <w:r>
        <w:t xml:space="preserve"> </w:t>
      </w:r>
      <w:r>
        <w:rPr>
          <w:i/>
          <w:iCs/>
        </w:rPr>
        <w:t xml:space="preserve">Pensions Markets in Focus</w:t>
      </w:r>
      <w:r>
        <w:t xml:space="preserve">, édition 2024, chapitre sur le rôle des fonds de pension dans le financement de l’économie domestique. Pour la Suède : Lannoo K.,</w:t>
      </w:r>
      <w:r>
        <w:t xml:space="preserve"> </w:t>
      </w:r>
      <w:r>
        <w:rPr>
          <w:i/>
          <w:iCs/>
        </w:rPr>
        <w:t xml:space="preserve">Pension Funds and Capital Markets</w:t>
      </w:r>
      <w:r>
        <w:t xml:space="preserve">, CEPS, 2022.</w:t>
      </w:r>
    </w:p>
  </w:footnote>
  <w:footnote w:id="255">
    <w:p>
      <w:pPr>
        <w:pStyle w:val="FootnoteText"/>
      </w:pPr>
      <w:r>
        <w:rPr>
          <w:rStyle w:val="FootnoteReference"/>
        </w:rPr>
        <w:footnoteRef/>
      </w:r>
      <w:r>
        <w:t xml:space="preserve"> </w:t>
      </w:r>
      <w:r>
        <w:t xml:space="preserve">Allocation des fonds AP suédois 2024 (rapports annuels AP1, AP2, AP3, AP4) : part actions suédoises comprise entre 9 % et 22,1 % du portefeuille. Fonds AMF : 23 % actions suédoises (rapport annuel 2024). Fonds Alecta : exposition aux actions et obligations d’entreprises suédoises supérieure à 30 % (rapport annuel 2024). Sources : sites institutionnels respectifs des fonds.</w:t>
      </w:r>
    </w:p>
  </w:footnote>
  <w:footnote w:id="256">
    <w:p>
      <w:pPr>
        <w:pStyle w:val="FootnoteText"/>
      </w:pPr>
      <w:r>
        <w:rPr>
          <w:rStyle w:val="FootnoteReference"/>
        </w:rPr>
        <w:footnoteRef/>
      </w:r>
      <w:r>
        <w:t xml:space="preserve"> </w:t>
      </w:r>
      <w:r>
        <w:t xml:space="preserve">ABP (Stichting Pensioenfonds ABP) : actifs sous gestion 532 Md€ en 2025 (rapport annuel 2024 et European Pensions). PFZW (Pensioenfonds Zorg en Welzijn) : actifs sous gestion 245 Md€ en 2024 (rapport annuel 2024). Le PIB néerlandais s’élève à environ 1 100 Md€ en 2024 (Eurostat). La somme ABP + PFZW excède ainsi le PIB néerlandais — caractéristique unique des Pays-Bas dans l’OCDE.</w:t>
      </w:r>
    </w:p>
  </w:footnote>
  <w:footnote w:id="260">
    <w:p>
      <w:pPr>
        <w:pStyle w:val="FootnoteText"/>
      </w:pPr>
      <w:r>
        <w:rPr>
          <w:rStyle w:val="FootnoteReference"/>
        </w:rPr>
        <w:footnoteRef/>
      </w:r>
      <w:r>
        <w:t xml:space="preserve"> </w:t>
      </w:r>
      <w:r>
        <w:t xml:space="preserve">Banque de Suède (Riksbanken),</w:t>
      </w:r>
      <w:r>
        <w:t xml:space="preserve"> </w:t>
      </w:r>
      <w:r>
        <w:rPr>
          <w:i/>
          <w:iCs/>
        </w:rPr>
        <w:t xml:space="preserve">Historical Monetary Policy Statistics</w:t>
      </w:r>
      <w:r>
        <w:t xml:space="preserve">, 2024. Le taux marginal d’emprunt a été porté à 500 % le 16 septembre 1992 pour défendre la couronne contre les attaques spéculatives, avant que la Suède n’abandonne le rattachement à l’ECU le 19 novembre 1992. Sur la crise budgétaire suédoise 1990-1994 : Lars Jonung, « The Swedish model for resolving the banking crisis of 1991-93 », Riksbank Research Paper, 2009.</w:t>
      </w:r>
    </w:p>
  </w:footnote>
  <w:footnote w:id="261">
    <w:p>
      <w:pPr>
        <w:pStyle w:val="FootnoteText"/>
      </w:pPr>
      <w:r>
        <w:rPr>
          <w:rStyle w:val="FootnoteReference"/>
        </w:rPr>
        <w:footnoteRef/>
      </w:r>
      <w:r>
        <w:t xml:space="preserve"> </w:t>
      </w:r>
      <w:r>
        <w:t xml:space="preserve">Bo Könberg, Edward Palmer, Annika Sundén, « The 1994 Swedish Pension Reform - An Overview »,</w:t>
      </w:r>
      <w:r>
        <w:t xml:space="preserve"> </w:t>
      </w:r>
      <w:r>
        <w:rPr>
          <w:i/>
          <w:iCs/>
        </w:rPr>
        <w:t xml:space="preserve">International Social Security Review</w:t>
      </w:r>
      <w:r>
        <w:t xml:space="preserve">, vol. 59, 2006. Le groupe de travail comprenait les sociaux-démocrates, les modérés, le parti du Centre, les libéraux et les démocrates-chrétiens - soit cinq des sept formations alors représentées au Riksdag.</w:t>
      </w:r>
    </w:p>
  </w:footnote>
  <w:footnote w:id="262">
    <w:p>
      <w:pPr>
        <w:pStyle w:val="FootnoteText"/>
      </w:pPr>
      <w:r>
        <w:rPr>
          <w:rStyle w:val="FootnoteReference"/>
        </w:rPr>
        <w:footnoteRef/>
      </w:r>
      <w:r>
        <w:t xml:space="preserve"> </w:t>
      </w:r>
      <w:r>
        <w:t xml:space="preserve">Edward Palmer, « The Swedish Pension Reform Model: Framework and Issues »,</w:t>
      </w:r>
      <w:r>
        <w:t xml:space="preserve"> </w:t>
      </w:r>
      <w:r>
        <w:rPr>
          <w:i/>
          <w:iCs/>
        </w:rPr>
        <w:t xml:space="preserve">World Bank Social Protection Discussion Paper</w:t>
      </w:r>
      <w:r>
        <w:t xml:space="preserve">, n° 0012, 2000 (https://documents1.worldbank.org/curated/en/559651468761095868/pdf/multi0page.pdf). Palmer, économiste à l’Uppsala University, a co-conçu le mécanisme du compte notionnel (NDC) avec Bo Könberg.</w:t>
      </w:r>
    </w:p>
  </w:footnote>
  <w:footnote w:id="263">
    <w:p>
      <w:pPr>
        <w:pStyle w:val="FootnoteText"/>
      </w:pPr>
      <w:r>
        <w:rPr>
          <w:rStyle w:val="FootnoteReference"/>
        </w:rPr>
        <w:footnoteRef/>
      </w:r>
      <w:r>
        <w:t xml:space="preserve"> </w:t>
      </w:r>
      <w:r>
        <w:t xml:space="preserve">Sénat français,</w:t>
      </w:r>
      <w:r>
        <w:t xml:space="preserve"> </w:t>
      </w:r>
      <w:r>
        <w:rPr>
          <w:i/>
          <w:iCs/>
        </w:rPr>
        <w:t xml:space="preserve">Réformer la protection sociale : les leçons du modèle suédois</w:t>
      </w:r>
      <w:r>
        <w:t xml:space="preserve">, Rapport d’information n° 377, 2006 (https://www.senat.fr/rap/r06-377/r06-37710.html). Cadre voté en 1994 à 85 % du Parlement suédois, législation définitive en 1998, entrée en vigueur 1ᵉʳ janvier 1999 avec une montée en charge par cohortes 1938-1953.</w:t>
      </w:r>
    </w:p>
  </w:footnote>
  <w:footnote w:id="264">
    <w:p>
      <w:pPr>
        <w:pStyle w:val="FootnoteText"/>
      </w:pPr>
      <w:r>
        <w:rPr>
          <w:rStyle w:val="FootnoteReference"/>
        </w:rPr>
        <w:footnoteRef/>
      </w:r>
      <w:r>
        <w:t xml:space="preserve"> </w:t>
      </w:r>
      <w:r>
        <w:t xml:space="preserve">Ole Settergren, « The Automatic Balance Mechanism of the Swedish Pension System »,</w:t>
      </w:r>
      <w:r>
        <w:t xml:space="preserve"> </w:t>
      </w:r>
      <w:r>
        <w:rPr>
          <w:i/>
          <w:iCs/>
        </w:rPr>
        <w:t xml:space="preserve">NSIB Working Paper</w:t>
      </w:r>
      <w:r>
        <w:t xml:space="preserve">, 2001 (https://www.pensionsmyndigheten.se/content/dam/pensionsmyndigheten/blanketter-broschyrer-faktablad/other-languages/archive-reports,-working-papers-and-studies/The%20Automatic%20Balance%20Mechanism%20of%20the%20Swedish%20Pension%20Reform.pdf). Le taux de cotisation à l’inkomstpension est stabilisé à 16 % du salaire brut depuis 1999 (16,5 % pendant la période transitoire 1995-1998).</w:t>
      </w:r>
    </w:p>
  </w:footnote>
  <w:footnote w:id="265">
    <w:p>
      <w:pPr>
        <w:pStyle w:val="FootnoteText"/>
      </w:pPr>
      <w:r>
        <w:rPr>
          <w:rStyle w:val="FootnoteReference"/>
        </w:rPr>
        <w:footnoteRef/>
      </w:r>
      <w:r>
        <w:t xml:space="preserve"> </w:t>
      </w:r>
      <w:r>
        <w:t xml:space="preserve">Alecta,</w:t>
      </w:r>
      <w:r>
        <w:t xml:space="preserve"> </w:t>
      </w:r>
      <w:r>
        <w:rPr>
          <w:i/>
          <w:iCs/>
        </w:rPr>
        <w:t xml:space="preserve">Tjänstepension</w:t>
      </w:r>
      <w:r>
        <w:t xml:space="preserve">, 2024 ; Collectum,</w:t>
      </w:r>
      <w:r>
        <w:t xml:space="preserve"> </w:t>
      </w:r>
      <w:r>
        <w:rPr>
          <w:i/>
          <w:iCs/>
        </w:rPr>
        <w:t xml:space="preserve">Rapport annuel 2024</w:t>
      </w:r>
      <w:r>
        <w:t xml:space="preserve">. ITP couvre les employés du privé (deux régimes selon génération), SAF-LO les ouvriers ; les régimes sont obligatoires</w:t>
      </w:r>
      <w:r>
        <w:t xml:space="preserve"> </w:t>
      </w:r>
      <w:r>
        <w:rPr>
          <w:i/>
          <w:iCs/>
        </w:rPr>
        <w:t xml:space="preserve">de facto</w:t>
      </w:r>
      <w:r>
        <w:t xml:space="preserve"> </w:t>
      </w:r>
      <w:r>
        <w:t xml:space="preserve">dès lors que l’employeur est partie à une convention collective, ce qui est le cas pour près de 90 % des salariés suédois.</w:t>
      </w:r>
    </w:p>
  </w:footnote>
  <w:footnote w:id="266">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(https://www.fondapol.org/etude/la-capitalisation-un-moyen-de-sortir-par-le-haut-de-la-crise-des-retraites/). Comparaison Suède-France des cotisations totales retraite, données 2024.</w:t>
      </w:r>
    </w:p>
  </w:footnote>
  <w:footnote w:id="267">
    <w:p>
      <w:pPr>
        <w:pStyle w:val="FootnoteText"/>
      </w:pPr>
      <w:r>
        <w:rPr>
          <w:rStyle w:val="FootnoteReference"/>
        </w:rPr>
        <w:footnoteRef/>
      </w:r>
      <w:r>
        <w:t xml:space="preserve"> </w:t>
      </w:r>
      <w:r>
        <w:t xml:space="preserve">Pensionsmyndigheten,</w:t>
      </w:r>
      <w:r>
        <w:t xml:space="preserve"> </w:t>
      </w:r>
      <w:r>
        <w:rPr>
          <w:i/>
          <w:iCs/>
        </w:rPr>
        <w:t xml:space="preserve">Pensionssystemet i bilder och siffror 2024</w:t>
      </w:r>
      <w:r>
        <w:t xml:space="preserve">, 2024 (https://www.pensionsmyndigheten.se/statistik). Bénéficiaires de la garantipension : environ 1,2 million de personnes en décembre 2024 ; supplément moyen de l’ordre de 2 000 SEK/mois en complément des droits acquis.</w:t>
      </w:r>
    </w:p>
  </w:footnote>
  <w:footnote w:id="268">
    <w:p>
      <w:pPr>
        <w:pStyle w:val="FootnoteText"/>
      </w:pPr>
      <w:r>
        <w:rPr>
          <w:rStyle w:val="FootnoteReference"/>
        </w:rPr>
        <w:footnoteRef/>
      </w:r>
      <w:r>
        <w:t xml:space="preserve"> </w:t>
      </w:r>
      <w:r>
        <w:t xml:space="preserve">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69">
    <w:p>
      <w:pPr>
        <w:pStyle w:val="FootnoteText"/>
      </w:pPr>
      <w:r>
        <w:rPr>
          <w:rStyle w:val="FootnoteReference"/>
        </w:rPr>
        <w:footnoteRef/>
      </w:r>
      <w:r>
        <w:t xml:space="preserve"> </w:t>
      </w:r>
      <w:r>
        <w:t xml:space="preserve">AP1, AP2, AP3, AP4, communiqué conjoint, 2024 : « The AP Funds strengthen the income pension system by SEK 182 billion » (https://ap2.se/en/the-ap-funds-strengthen-the-income-pension-system-by-sek-182-billion/).</w:t>
      </w:r>
    </w:p>
  </w:footnote>
  <w:footnote w:id="270">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Frais de gestion AP7 Såfa : 0,05 % par an. Rendement de la poche actions AP7 en 2024 : 27,3 % nominal. Encours total AP7 fin 2024 : 126,2 milliards d’euros (113 Md€ poche actions, 13,2 Md€ poche obligations).</w:t>
      </w:r>
    </w:p>
  </w:footnote>
  <w:footnote w:id="271">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novembre 2025 (https://www.oecd.org/en/publications/2025/11/pensions-at-a-glance-2025_76510fe4/). Dépense publique de retraite : Suède 7,2 % du PIB, France 13,9 % du PIB, moyenne OCDE 9,1 %, données 2023-2024.</w:t>
      </w:r>
    </w:p>
  </w:footnote>
  <w:footnote w:id="272">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Suède, 2025. Taux de remplacement net retraite pour une cohorte née en 2002, carrière complète à temps plein, départ à l’âge légal : Suède 65,3 %, France 73,9 %, moyenne OCDE 73 %.</w:t>
      </w:r>
    </w:p>
  </w:footnote>
  <w:footnote w:id="273">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(https://www.thinkingaheadinstitute.org/research-papers/global-pension-assets-study-2025/). Encours fonds de pension 2024 en % du PIB : Suède 114,2 % (en baisse depuis le pic de 134 % en 2021), France 7 %.</w:t>
      </w:r>
    </w:p>
  </w:footnote>
  <w:footnote w:id="274">
    <w:p>
      <w:pPr>
        <w:pStyle w:val="FootnoteText"/>
      </w:pPr>
      <w:r>
        <w:rPr>
          <w:rStyle w:val="FootnoteReference"/>
        </w:rPr>
        <w:footnoteRef/>
      </w:r>
      <w:r>
        <w:t xml:space="preserve"> </w:t>
      </w:r>
      <w:r>
        <w:t xml:space="preserve">Dealroom,</w:t>
      </w:r>
      <w:r>
        <w:t xml:space="preserve"> </w:t>
      </w:r>
      <w:r>
        <w:rPr>
          <w:i/>
          <w:iCs/>
        </w:rPr>
        <w:t xml:space="preserve">Sweden 2024 Full Report</w:t>
      </w:r>
      <w:r>
        <w:t xml:space="preserve">, 2025 (https://dealroom.co/guides/sweden) ; Atomico,</w:t>
      </w:r>
      <w:r>
        <w:t xml:space="preserve"> </w:t>
      </w:r>
      <w:r>
        <w:rPr>
          <w:i/>
          <w:iCs/>
        </w:rPr>
        <w:t xml:space="preserve">State of European Tech 2024</w:t>
      </w:r>
      <w:r>
        <w:t xml:space="preserve">, 2024. Stockholm : 41 licornes (valorisation &gt; 1 Md USD), deuxième écosystème mondial par habitant après la Silicon Valley.</w:t>
      </w:r>
    </w:p>
  </w:footnote>
  <w:footnote w:id="275">
    <w:p>
      <w:pPr>
        <w:pStyle w:val="FootnoteText"/>
      </w:pPr>
      <w:r>
        <w:rPr>
          <w:rStyle w:val="FootnoteReference"/>
        </w:rPr>
        <w:footnoteRef/>
      </w:r>
      <w:r>
        <w:t xml:space="preserve"> </w:t>
      </w:r>
      <w:r>
        <w:t xml:space="preserve">AP7,</w:t>
      </w:r>
      <w:r>
        <w:t xml:space="preserve"> </w:t>
      </w:r>
      <w:r>
        <w:rPr>
          <w:i/>
          <w:iCs/>
        </w:rPr>
        <w:t xml:space="preserve">Annual Report 2015</w:t>
      </w:r>
      <w:r>
        <w:t xml:space="preserve">, 2016. Révision du glide path d’AP7 Såfa en 2015, après les pertes 2008-2009 sur la PPM : aplatissement de la trajectoire, allocation actions maintenue plus longtemps (100 % jusqu’à 55 ans, puis baisse progressive de 2 points par an jusqu’à 75 ans).</w:t>
      </w:r>
    </w:p>
  </w:footnote>
  <w:footnote w:id="276">
    <w:p>
      <w:pPr>
        <w:pStyle w:val="FootnoteText"/>
      </w:pPr>
      <w:r>
        <w:rPr>
          <w:rStyle w:val="FootnoteReference"/>
        </w:rPr>
        <w:footnoteRef/>
      </w:r>
      <w:r>
        <w:t xml:space="preserve"> </w:t>
      </w:r>
      <w:r>
        <w:t xml:space="preserve">Ole Settergren, « The Automatic Balance Mechanism »,</w:t>
      </w:r>
      <w:r>
        <w:t xml:space="preserve"> </w:t>
      </w:r>
      <w:r>
        <w:rPr>
          <w:i/>
          <w:iCs/>
        </w:rPr>
        <w:t xml:space="preserve">op. cit.</w:t>
      </w:r>
      <w:r>
        <w:t xml:space="preserve"> </w:t>
      </w:r>
      <w:r>
        <w:t xml:space="preserve">; Pensionsmyndigheten, rapports annuels 2010, 2011, 2020. Activations de la</w:t>
      </w:r>
      <w:r>
        <w:t xml:space="preserve"> </w:t>
      </w:r>
      <w:r>
        <w:rPr>
          <w:i/>
          <w:iCs/>
        </w:rPr>
        <w:t xml:space="preserve">bromsen</w:t>
      </w:r>
      <w:r>
        <w:t xml:space="preserve"> </w:t>
      </w:r>
      <w:r>
        <w:t xml:space="preserve">en 2010, 2011 (séquelles 2008-2009) et 2020 (COVID), avec ajustements à la baisse des pensions de l’ordre de 0,5 à 3 %.</w:t>
      </w:r>
    </w:p>
  </w:footnote>
  <w:footnote w:id="277">
    <w:p>
      <w:pPr>
        <w:pStyle w:val="FootnoteText"/>
      </w:pPr>
      <w:r>
        <w:rPr>
          <w:rStyle w:val="FootnoteReference"/>
        </w:rPr>
        <w:footnoteRef/>
      </w:r>
      <w:r>
        <w:t xml:space="preserve"> </w:t>
      </w:r>
      <w:r>
        <w:rPr>
          <w:i/>
          <w:iCs/>
        </w:rPr>
        <w:t xml:space="preserve">La Presse</w:t>
      </w:r>
      <w:r>
        <w:t xml:space="preserve">,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78">
    <w:p>
      <w:pPr>
        <w:pStyle w:val="FootnoteText"/>
      </w:pPr>
      <w:r>
        <w:rPr>
          <w:rStyle w:val="FootnoteReference"/>
        </w:rPr>
        <w:footnoteRef/>
      </w:r>
      <w:r>
        <w:t xml:space="preserve"> </w:t>
      </w:r>
      <w:r>
        <w:t xml:space="preserve">Eurostat,</w:t>
      </w:r>
      <w:r>
        <w:t xml:space="preserve"> </w:t>
      </w:r>
      <w:r>
        <w:rPr>
          <w:i/>
          <w:iCs/>
        </w:rPr>
        <w:t xml:space="preserve">Gender Pension Gap</w:t>
      </w:r>
      <w:r>
        <w:t xml:space="preserve">, données 2023 ; OCDE,</w:t>
      </w:r>
      <w:r>
        <w:t xml:space="preserve"> </w:t>
      </w:r>
      <w:r>
        <w:rPr>
          <w:i/>
          <w:iCs/>
        </w:rPr>
        <w:t xml:space="preserve">Pensions at a Glance 2025</w:t>
      </w:r>
      <w:r>
        <w:t xml:space="preserve">. Écart femmes-hommes en pension : Suède environ 20 % (femmes à 80 % des hommes), France environ 15 % (femmes à 85 % des hommes), moyenne UE 26 %.</w:t>
      </w:r>
    </w:p>
  </w:footnote>
  <w:footnote w:id="280">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(https://www.paulkeating.net.au/shop/item/the-story-of-modern-superannuation-31-october-2007). Récit autobiographique de Keating sur la séquence 1983-1992 :</w:t>
      </w:r>
      <w:r>
        <w:t xml:space="preserve"> </w:t>
      </w:r>
      <w:r>
        <w:rPr>
          <w:i/>
          <w:iCs/>
        </w:rPr>
        <w:t xml:space="preserve">Prices and Incomes Accord</w:t>
      </w:r>
      <w:r>
        <w:t xml:space="preserve"> </w:t>
      </w:r>
      <w:r>
        <w:t xml:space="preserve">Mark I (1983), Mark II (1985), élargissement par voie d’awards industriels (1987-1991), et</w:t>
      </w:r>
      <w:r>
        <w:t xml:space="preserve"> </w:t>
      </w:r>
      <w:r>
        <w:rPr>
          <w:i/>
          <w:iCs/>
        </w:rPr>
        <w:t xml:space="preserve">Superannuation Guarantee Act</w:t>
      </w:r>
      <w:r>
        <w:t xml:space="preserve"> </w:t>
      </w:r>
      <w:r>
        <w:t xml:space="preserve">(1992).</w:t>
      </w:r>
    </w:p>
  </w:footnote>
  <w:footnote w:id="281">
    <w:p>
      <w:pPr>
        <w:pStyle w:val="FootnoteText"/>
      </w:pPr>
      <w:r>
        <w:rPr>
          <w:rStyle w:val="FootnoteReference"/>
        </w:rPr>
        <w:footnoteRef/>
      </w:r>
      <w:r>
        <w:t xml:space="preserve"> </w:t>
      </w:r>
      <w:r>
        <w:t xml:space="preserve">Bill Kelty a été secrétaire général de l’ACTU (Australian Council of Trade Unions) de 1983 à 2000. Son rôle dans la négociation de l’Accord Mark II et de l’extension de la</w:t>
      </w:r>
      <w:r>
        <w:t xml:space="preserve"> </w:t>
      </w:r>
      <w:r>
        <w:rPr>
          <w:i/>
          <w:iCs/>
        </w:rPr>
        <w:t xml:space="preserve">superannuation</w:t>
      </w:r>
      <w:r>
        <w:t xml:space="preserve"> </w:t>
      </w:r>
      <w:r>
        <w:t xml:space="preserve">aux ouvriers est documenté dans : John Edwards,</w:t>
      </w:r>
      <w:r>
        <w:t xml:space="preserve"> </w:t>
      </w:r>
      <w:r>
        <w:rPr>
          <w:i/>
          <w:iCs/>
        </w:rPr>
        <w:t xml:space="preserve">Keating: The Inside Story</w:t>
      </w:r>
      <w:r>
        <w:t xml:space="preserve">, Viking, 1996 ; et dans les archives du Treasury australien.</w:t>
      </w:r>
    </w:p>
  </w:footnote>
  <w:footnote w:id="282">
    <w:p>
      <w:pPr>
        <w:pStyle w:val="FootnoteText"/>
      </w:pPr>
      <w:r>
        <w:rPr>
          <w:rStyle w:val="FootnoteReference"/>
        </w:rPr>
        <w:footnoteRef/>
      </w:r>
      <w:r>
        <w:t xml:space="preserve"> </w:t>
      </w:r>
      <w:r>
        <w:rPr>
          <w:i/>
          <w:iCs/>
        </w:rPr>
        <w:t xml:space="preserve">Superannuation Guarantee (Administration) Act 1992</w:t>
      </w:r>
      <w:r>
        <w:t xml:space="preserve">, Royal Assent 21 août 1992, entrée en vigueur 1ᵉʳ juillet 1992 (https://www.austlii.edu.au/cgi-bin/viewdb/au/legis/cth/consol_act/sga1992430/). Taux initial 3 %, montée programmée jusqu’à 9 % en 2002.</w:t>
      </w:r>
    </w:p>
  </w:footnote>
  <w:footnote w:id="283">
    <w:p>
      <w:pPr>
        <w:pStyle w:val="FootnoteText"/>
      </w:pPr>
      <w:r>
        <w:rPr>
          <w:rStyle w:val="FootnoteReference"/>
        </w:rPr>
        <w:footnoteRef/>
      </w:r>
      <w:r>
        <w:t xml:space="preserve"> </w:t>
      </w:r>
      <w:r>
        <w:t xml:space="preserve">ATO (Australian Taxation Office),</w:t>
      </w:r>
      <w:r>
        <w:t xml:space="preserve"> </w:t>
      </w:r>
      <w:r>
        <w:rPr>
          <w:i/>
          <w:iCs/>
        </w:rPr>
        <w:t xml:space="preserve">Key Superannuation Rates and Thresholds</w:t>
      </w:r>
      <w:r>
        <w:t xml:space="preserve">, historique des taux SG 1992-2025 (https://www.ato.gov.au/tax-rates-and-codes/key-superannuation-rates-and-thresholds/super-guarantee). Gel à 9,5 % de 2014-2015 à 2020-2021 sous les gouvernements Abbott, Turnbull et Morrison.</w:t>
      </w:r>
    </w:p>
  </w:footnote>
  <w:footnote w:id="284">
    <w:p>
      <w:pPr>
        <w:pStyle w:val="FootnoteText"/>
      </w:pPr>
      <w:r>
        <w:rPr>
          <w:rStyle w:val="FootnoteReference"/>
        </w:rPr>
        <w:footnoteRef/>
      </w:r>
      <w:r>
        <w:t xml:space="preserve"> </w:t>
      </w:r>
      <w:r>
        <w:t xml:space="preserve">ATO,</w:t>
      </w:r>
      <w:r>
        <w:t xml:space="preserve"> </w:t>
      </w:r>
      <w:r>
        <w:rPr>
          <w:i/>
          <w:iCs/>
        </w:rPr>
        <w:t xml:space="preserve">op. cit.</w:t>
      </w:r>
      <w:r>
        <w:t xml:space="preserve"> </w:t>
      </w:r>
      <w:r>
        <w:t xml:space="preserve">Taux SG : 10,0 % (2021-22), 10,5 % (2022-23), 11,0 % (2023-24), 11,5 % (2024-25), 12,0 % (depuis le 1ᵉʳ juillet 2025), stabilisé.</w:t>
      </w:r>
    </w:p>
  </w:footnote>
  <w:footnote w:id="285">
    <w:p>
      <w:pPr>
        <w:pStyle w:val="FootnoteText"/>
      </w:pPr>
      <w:r>
        <w:rPr>
          <w:rStyle w:val="FootnoteReference"/>
        </w:rPr>
        <w:footnoteRef/>
      </w:r>
      <w:r>
        <w:t xml:space="preserve"> </w:t>
      </w:r>
      <w:r>
        <w:t xml:space="preserve">APRA,</w:t>
      </w:r>
      <w:r>
        <w:t xml:space="preserve"> </w:t>
      </w:r>
      <w:r>
        <w:rPr>
          <w:i/>
          <w:iCs/>
        </w:rPr>
        <w:t xml:space="preserve">Quarterly Superannuation Performance Statistics</w:t>
      </w:r>
      <w:r>
        <w:t xml:space="preserve"> </w:t>
      </w:r>
      <w:r>
        <w:rPr>
          <w:i/>
          <w:iCs/>
        </w:rPr>
        <w:t xml:space="preserve">- June 2025</w:t>
      </w:r>
      <w:r>
        <w:t xml:space="preserve">, 2025 (https://www.apra.gov.au/quarterly-superannuation-performance-statistics-highlights-june-2025). Encours total : 4,3 trillions AUD (environ 2 600 Md€), dont 3,2 T en fonds régulés APRA et 1,1 T en fonds auto-gérés (SMSF,</w:t>
      </w:r>
      <w:r>
        <w:t xml:space="preserve"> </w:t>
      </w:r>
      <w:r>
        <w:rPr>
          <w:i/>
          <w:iCs/>
        </w:rPr>
        <w:t xml:space="preserve">self-managed super funds</w:t>
      </w:r>
      <w:r>
        <w:t xml:space="preserve">).</w:t>
      </w:r>
    </w:p>
  </w:footnote>
  <w:footnote w:id="286">
    <w:p>
      <w:pPr>
        <w:pStyle w:val="FootnoteText"/>
      </w:pPr>
      <w:r>
        <w:rPr>
          <w:rStyle w:val="FootnoteReference"/>
        </w:rPr>
        <w:footnoteRef/>
      </w:r>
      <w:r>
        <w:t xml:space="preserve"> </w:t>
      </w:r>
      <w:r>
        <w:t xml:space="preserve">AustralianSuper,</w:t>
      </w:r>
      <w:r>
        <w:t xml:space="preserve"> </w:t>
      </w:r>
      <w:r>
        <w:rPr>
          <w:i/>
          <w:iCs/>
        </w:rPr>
        <w:t xml:space="preserve">2024-25 Annual Report</w:t>
      </w:r>
      <w:r>
        <w:t xml:space="preserve">, 2025 (https://www.australiansuper.com/about-us/annual-report) ; APRA,</w:t>
      </w:r>
      <w:r>
        <w:t xml:space="preserve"> </w:t>
      </w:r>
      <w:r>
        <w:rPr>
          <w:i/>
          <w:iCs/>
        </w:rPr>
        <w:t xml:space="preserve">Top 10 Super Funds</w:t>
      </w:r>
      <w:r>
        <w:t xml:space="preserve">, 2025. AustralianSuper : 385 Md AUD, 3,67 millions de membres au 30 juin 2025.</w:t>
      </w:r>
    </w:p>
  </w:footnote>
  <w:footnote w:id="287">
    <w:p>
      <w:pPr>
        <w:pStyle w:val="FootnoteText"/>
      </w:pPr>
      <w:r>
        <w:rPr>
          <w:rStyle w:val="FootnoteReference"/>
        </w:rPr>
        <w:footnoteRef/>
      </w:r>
      <w:r>
        <w:t xml:space="preserve"> </w:t>
      </w:r>
      <w:r>
        <w:t xml:space="preserve">AustralianSuper,</w:t>
      </w:r>
      <w:r>
        <w:t xml:space="preserve"> </w:t>
      </w:r>
      <w:r>
        <w:rPr>
          <w:i/>
          <w:iCs/>
        </w:rPr>
        <w:t xml:space="preserve">FY25 Investment Performance</w:t>
      </w:r>
      <w:r>
        <w:t xml:space="preserve">, juillet 2025 (https://www.australiansuper.com/investments/investment-articles/2025/07/fy25-investment-performance). Option</w:t>
      </w:r>
      <w:r>
        <w:t xml:space="preserve"> </w:t>
      </w:r>
      <w:r>
        <w:rPr>
          <w:i/>
          <w:iCs/>
        </w:rPr>
        <w:t xml:space="preserve">Balanced</w:t>
      </w:r>
      <w:r>
        <w:t xml:space="preserve"> </w:t>
      </w:r>
      <w:r>
        <w:t xml:space="preserve">: 7,94 % annualisé sur 10 ans glissants, 8,53 % sur 5 ans, 8,72 % sur 3 ans (au 30 juin 2025, net de frais).</w:t>
      </w:r>
    </w:p>
  </w:footnote>
  <w:footnote w:id="288">
    <w:p>
      <w:pPr>
        <w:pStyle w:val="FootnoteText"/>
      </w:pPr>
      <w:r>
        <w:rPr>
          <w:rStyle w:val="FootnoteReference"/>
        </w:rPr>
        <w:footnoteRef/>
      </w:r>
      <w:r>
        <w:t xml:space="preserve"> </w:t>
      </w:r>
      <w:r>
        <w:t xml:space="preserve">APRA,</w:t>
      </w:r>
      <w:r>
        <w:t xml:space="preserve"> </w:t>
      </w:r>
      <w:r>
        <w:rPr>
          <w:i/>
          <w:iCs/>
        </w:rPr>
        <w:t xml:space="preserve">2025 Annual Superannuation Performance Test</w:t>
      </w:r>
      <w:r>
        <w:t xml:space="preserve"> </w:t>
      </w:r>
      <w:r>
        <w:rPr>
          <w:i/>
          <w:iCs/>
        </w:rPr>
        <w:t xml:space="preserve">- MySuper Products</w:t>
      </w:r>
      <w:r>
        <w:t xml:space="preserve">, 2025 (https://www.apra.gov.au/2025-annual-superannuation-performance-test-mysuper-products). Premier test 2021 : 52 produits MySuper en échec, environ 1 million de membres affectés ; test 2025 : 0 échec sur 52 produits évalués. Le test compare le rendement net de chaque produit à un benchmark composite sur 8 ans.</w:t>
      </w:r>
    </w:p>
  </w:footnote>
  <w:footnote w:id="289">
    <w:p>
      <w:pPr>
        <w:pStyle w:val="FootnoteText"/>
      </w:pPr>
      <w:r>
        <w:rPr>
          <w:rStyle w:val="FootnoteReference"/>
        </w:rPr>
        <w:footnoteRef/>
      </w:r>
      <w:r>
        <w:t xml:space="preserve"> </w:t>
      </w:r>
      <w:r>
        <w:t xml:space="preserve">ACCC,</w:t>
      </w:r>
      <w:r>
        <w:t xml:space="preserve"> </w:t>
      </w:r>
      <w:r>
        <w:rPr>
          <w:i/>
          <w:iCs/>
        </w:rPr>
        <w:t xml:space="preserve">Sydney Aviation Alliance acquisition of Sydney Airport</w:t>
      </w:r>
      <w:r>
        <w:t xml:space="preserve">,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90">
    <w:p>
      <w:pPr>
        <w:pStyle w:val="FootnoteText"/>
      </w:pPr>
      <w:r>
        <w:rPr>
          <w:rStyle w:val="FootnoteReference"/>
        </w:rPr>
        <w:footnoteRef/>
      </w:r>
      <w:r>
        <w:t xml:space="preserve"> </w:t>
      </w:r>
      <w:r>
        <w:t xml:space="preserve">Deloitte,</w:t>
      </w:r>
      <w:r>
        <w:t xml:space="preserve"> </w:t>
      </w:r>
      <w:r>
        <w:rPr>
          <w:i/>
          <w:iCs/>
        </w:rPr>
        <w:t xml:space="preserve">Dynamics of the Australian Superannuation System</w:t>
      </w:r>
      <w:r>
        <w:t xml:space="preserve">, 2024 (https://www.investordaily.com.au/superannuation/54865-super-on-track-to-represent-more-than-half-of-asx-market-cap-deloitte). Détention par les fonds</w:t>
      </w:r>
      <w:r>
        <w:t xml:space="preserve"> </w:t>
      </w:r>
      <w:r>
        <w:rPr>
          <w:i/>
          <w:iCs/>
        </w:rPr>
        <w:t xml:space="preserve">super</w:t>
      </w:r>
      <w:r>
        <w:t xml:space="preserve"> </w:t>
      </w:r>
      <w:r>
        <w:t xml:space="preserve">: environ 35 % de la capitalisation de l’ASX en 2024, projection à 60 % à l’horizon 2038.</w:t>
      </w:r>
    </w:p>
  </w:footnote>
  <w:footnote w:id="292">
    <w:p>
      <w:pPr>
        <w:pStyle w:val="FootnoteText"/>
      </w:pPr>
      <w:r>
        <w:rPr>
          <w:rStyle w:val="FootnoteReference"/>
        </w:rPr>
        <w:footnoteRef/>
      </w:r>
      <w:r>
        <w:t xml:space="preserve"> </w:t>
      </w:r>
      <w:r>
        <w:t xml:space="preserve">Lee Kuan Yew,</w:t>
      </w:r>
      <w:r>
        <w:t xml:space="preserve"> </w:t>
      </w:r>
      <w:r>
        <w:rPr>
          <w:i/>
          <w:iCs/>
        </w:rPr>
        <w:t xml:space="preserve">From Third World to First: The Singapore Story 1965-2000</w:t>
      </w:r>
      <w:r>
        <w:t xml:space="preserve">, HarperCollins, 2000. Chapitres 9 (« CPF, the Bedrock of Social Security ») et 10 (« A Home-Owning Society »). Lee décrit le CPF comme « la pierre angulaire » de son projet de société de propriétaires épargnants plutôt qu’une société d’allocataires.</w:t>
      </w:r>
    </w:p>
  </w:footnote>
  <w:footnote w:id="293">
    <w:p>
      <w:pPr>
        <w:pStyle w:val="FootnoteText"/>
      </w:pPr>
      <w:r>
        <w:rPr>
          <w:rStyle w:val="FootnoteReference"/>
        </w:rPr>
        <w:footnoteRef/>
      </w:r>
      <w:r>
        <w:t xml:space="preserve"> </w:t>
      </w:r>
      <w:r>
        <w:t xml:space="preserve">Goh Keng Swee a été ministre des Finances de Singapour de 1959 à 1965, puis à nouveau de 1967 à 1970, sous le PM Lee Kuan Yew. Sur son rôle dans la formation de la politique économique de Singapour : Tan Siok Sun,</w:t>
      </w:r>
      <w:r>
        <w:t xml:space="preserve"> </w:t>
      </w:r>
      <w:r>
        <w:rPr>
          <w:i/>
          <w:iCs/>
        </w:rPr>
        <w:t xml:space="preserve">Goh Keng Swee: A Portrait</w:t>
      </w:r>
      <w:r>
        <w:t xml:space="preserve">, Editions Didier Millet, 2007. Il a aussi été ministre de la Défense, puis ministre de l’Éducation.</w:t>
      </w:r>
    </w:p>
  </w:footnote>
  <w:footnote w:id="294">
    <w:p>
      <w:pPr>
        <w:pStyle w:val="FootnoteText"/>
      </w:pPr>
      <w:r>
        <w:rPr>
          <w:rStyle w:val="FootnoteReference"/>
        </w:rPr>
        <w:footnoteRef/>
      </w:r>
      <w:r>
        <w:t xml:space="preserve"> </w:t>
      </w:r>
      <w:r>
        <w:t xml:space="preserve">Lee Kuan Yew,</w:t>
      </w:r>
      <w:r>
        <w:t xml:space="preserve"> </w:t>
      </w:r>
      <w:r>
        <w:rPr>
          <w:i/>
          <w:iCs/>
        </w:rPr>
        <w:t xml:space="preserve">From Third World to First</w:t>
      </w:r>
      <w:r>
        <w:t xml:space="preserve">,</w:t>
      </w:r>
      <w:r>
        <w:t xml:space="preserve"> </w:t>
      </w:r>
      <w:r>
        <w:rPr>
          <w:i/>
          <w:iCs/>
        </w:rPr>
        <w:t xml:space="preserve">op. cit.</w:t>
      </w:r>
      <w:r>
        <w:t xml:space="preserve">, p. 116 : « My primary concern was to give every citizen a stake in the country and its future. »</w:t>
      </w:r>
    </w:p>
  </w:footnote>
  <w:footnote w:id="295">
    <w:p>
      <w:pPr>
        <w:pStyle w:val="FootnoteText"/>
      </w:pPr>
      <w:r>
        <w:rPr>
          <w:rStyle w:val="FootnoteReference"/>
        </w:rPr>
        <w:footnoteRef/>
      </w:r>
      <w:r>
        <w:t xml:space="preserve"> </w:t>
      </w:r>
      <w:r>
        <w:t xml:space="preserve">Department of Statistics Singapore,</w:t>
      </w:r>
      <w:r>
        <w:t xml:space="preserve"> </w:t>
      </w:r>
      <w:r>
        <w:rPr>
          <w:i/>
          <w:iCs/>
        </w:rPr>
        <w:t xml:space="preserve">Home Ownership Rate</w:t>
      </w:r>
      <w:r>
        <w:t xml:space="preserve">, 2024 (https://www.singstat.gov.sg). Taux d’accession à la propriété : 90,9 % en 2024, dont environ 80 % en logement public HDB.</w:t>
      </w:r>
    </w:p>
  </w:footnote>
  <w:footnote w:id="296">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 2025 (https://www.cpf.gov.sg/content/dam/web/member/infohub/documents/CPF%20Annual%20Report%202024%20Part%201.pdf). Architecture des quatre comptes : Ordinary Account (OA, 2,5 % d’intérêt garanti), Special Account (SA, 4 % garanti, fermé aux 55+ depuis le 19 janvier 2025), MediSave Account (MA, 4 % garanti), Retirement Account (RA, créé à 55 ans, 4 % garanti).</w:t>
      </w:r>
    </w:p>
  </w:footnote>
  <w:footnote w:id="297">
    <w:p>
      <w:pPr>
        <w:pStyle w:val="FootnoteText"/>
      </w:pPr>
      <w:r>
        <w:rPr>
          <w:rStyle w:val="FootnoteReference"/>
        </w:rPr>
        <w:footnoteRef/>
      </w:r>
      <w:r>
        <w:t xml:space="preserve"> </w:t>
      </w:r>
      <w:r>
        <w:t xml:space="preserve">CPF Board,</w:t>
      </w:r>
      <w:r>
        <w:t xml:space="preserve"> </w:t>
      </w:r>
      <w:r>
        <w:rPr>
          <w:i/>
          <w:iCs/>
        </w:rPr>
        <w:t xml:space="preserve">Contribution Rates from 1 January 2026</w:t>
      </w:r>
      <w:r>
        <w:t xml:space="preserve">, 2025 (https://www.cpf.gov.sg/employer/infohub/news/cpf-related-announcements/new-contribution-rates). Pour les ≤ 55 ans : 17 % employeur + 20 % salarié = 37 % total. Au-delà : 55-60 ans 34 %, 60-65 ans 25 %, 65-70 ans 16,5 %, &gt; 70 ans 12,5 %. Plafond contributif : 8 000 SGD/mois depuis le 1ᵉʳ janvier 2026.</w:t>
      </w:r>
    </w:p>
  </w:footnote>
  <w:footnote w:id="298">
    <w:p>
      <w:pPr>
        <w:pStyle w:val="FootnoteText"/>
      </w:pPr>
      <w:r>
        <w:rPr>
          <w:rStyle w:val="FootnoteReference"/>
        </w:rPr>
        <w:footnoteRef/>
      </w:r>
      <w:r>
        <w:t xml:space="preserve"> </w:t>
      </w:r>
      <w:r>
        <w:t xml:space="preserve">GIC,</w:t>
      </w:r>
      <w:r>
        <w:t xml:space="preserve"> </w:t>
      </w:r>
      <w:r>
        <w:rPr>
          <w:i/>
          <w:iCs/>
        </w:rPr>
        <w:t xml:space="preserve">Annual Report 2024-25</w:t>
      </w:r>
      <w:r>
        <w:t xml:space="preserve">, 2025 (https://www.gic.com.sg). GIC ne publie pas le total exact de ses encours mais celui-ci est estimé par les analystes financiers (notamment</w:t>
      </w:r>
      <w:r>
        <w:t xml:space="preserve"> </w:t>
      </w:r>
      <w:r>
        <w:rPr>
          <w:i/>
          <w:iCs/>
        </w:rPr>
        <w:t xml:space="preserve">SWF Institute</w:t>
      </w:r>
      <w:r>
        <w:t xml:space="preserve">) à environ 800 milliards de dollars US à mi-2025. GIC gère également une partie des réserves du CPF via les</w:t>
      </w:r>
      <w:r>
        <w:t xml:space="preserve"> </w:t>
      </w:r>
      <w:r>
        <w:rPr>
          <w:i/>
          <w:iCs/>
        </w:rPr>
        <w:t xml:space="preserve">Special Singapore Government Securities</w:t>
      </w:r>
      <w:r>
        <w:t xml:space="preserve"> </w:t>
      </w:r>
      <w:r>
        <w:t xml:space="preserve">(SSGS).</w:t>
      </w:r>
    </w:p>
  </w:footnote>
  <w:footnote w:id="299">
    <w:p>
      <w:pPr>
        <w:pStyle w:val="FootnoteText"/>
      </w:pPr>
      <w:r>
        <w:rPr>
          <w:rStyle w:val="FootnoteReference"/>
        </w:rPr>
        <w:footnoteRef/>
      </w:r>
      <w:r>
        <w:t xml:space="preserve"> </w:t>
      </w:r>
      <w:r>
        <w:t xml:space="preserve">Workers’ Party Singapore,</w:t>
      </w:r>
      <w:r>
        <w:t xml:space="preserve"> </w:t>
      </w:r>
      <w:r>
        <w:rPr>
          <w:i/>
          <w:iCs/>
        </w:rPr>
        <w:t xml:space="preserve">CPF: What is at Stake for You</w:t>
      </w:r>
      <w:r>
        <w:t xml:space="preserve">, plateforme programmatique 2020-2025 (https://www.wp.sg/cpf-what-is-at-stake-for-you). Le Workers’ Party propose de partager une partie de l’écart entre les rendements GIC et les taux CPF garantis avec les membres.</w:t>
      </w:r>
    </w:p>
  </w:footnote>
  <w:footnote w:id="300">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w:t>
      </w:r>
      <w:r>
        <w:t xml:space="preserve"> </w:t>
      </w:r>
      <w:r>
        <w:rPr>
          <w:i/>
          <w:iCs/>
        </w:rPr>
        <w:t xml:space="preserve">op. cit.</w:t>
      </w:r>
      <w:r>
        <w:t xml:space="preserve"> </w:t>
      </w:r>
      <w:r>
        <w:t xml:space="preserve">Encours total CPF : 609,5 Md SGD à fin 2024, 4,2 millions de membres actifs. Intérêts crédités sur l’année : 22,4 Md SGD, dont 1,9 Md de bonus d’intérêt extra pour les bas soldes et les seniors.</w:t>
      </w:r>
    </w:p>
  </w:footnote>
  <w:footnote w:id="301">
    <w:p>
      <w:pPr>
        <w:pStyle w:val="FootnoteText"/>
      </w:pPr>
      <w:r>
        <w:rPr>
          <w:rStyle w:val="FootnoteReference"/>
        </w:rPr>
        <w:footnoteRef/>
      </w:r>
      <w:r>
        <w:t xml:space="preserve"> </w:t>
      </w:r>
      <w:r>
        <w:t xml:space="preserve">CPF Board,</w:t>
      </w:r>
      <w:r>
        <w:t xml:space="preserve"> </w:t>
      </w:r>
      <w:r>
        <w:rPr>
          <w:i/>
          <w:iCs/>
        </w:rPr>
        <w:t xml:space="preserve">Closure of Special Account for members aged 55 and above</w:t>
      </w:r>
      <w:r>
        <w:t xml:space="preserve">, 19 janvier 2025 (https://www.cpf.gov.sg). Les fonds SA des 55+ ont été redirigés vers le RA pour la part en-dessous du</w:t>
      </w:r>
      <w:r>
        <w:t xml:space="preserve"> </w:t>
      </w:r>
      <w:r>
        <w:rPr>
          <w:i/>
          <w:iCs/>
        </w:rPr>
        <w:t xml:space="preserve">Full Retirement Sum</w:t>
      </w:r>
      <w:r>
        <w:t xml:space="preserve">, et vers l’OA pour le reste, dans un objectif de simplification.</w:t>
      </w:r>
    </w:p>
  </w:footnote>
  <w:footnote w:id="302">
    <w:p>
      <w:pPr>
        <w:pStyle w:val="FootnoteText"/>
      </w:pPr>
      <w:r>
        <w:rPr>
          <w:rStyle w:val="FootnoteReference"/>
        </w:rPr>
        <w:footnoteRef/>
      </w:r>
      <w:r>
        <w:t xml:space="preserve"> </w:t>
      </w:r>
      <w:r>
        <w:t xml:space="preserve">Ministry of Finance Singapore,</w:t>
      </w:r>
      <w:r>
        <w:t xml:space="preserve"> </w:t>
      </w:r>
      <w:r>
        <w:rPr>
          <w:i/>
          <w:iCs/>
        </w:rPr>
        <w:t xml:space="preserve">Majulah Package</w:t>
      </w:r>
      <w:r>
        <w:t xml:space="preserve">, annonce du Premier ministre Lee Hsien Loong, 20 août 2023. Programme de 7 milliards SGD ciblant les Singapouriens nés entre 1965 et 1973, sous forme d’abondements aux comptes CPF, de bonus retraite et de soutien à l’emploi des seniors.</w:t>
      </w:r>
    </w:p>
  </w:footnote>
  <w:footnote w:id="303">
    <w:p>
      <w:pPr>
        <w:pStyle w:val="FootnoteText"/>
      </w:pPr>
      <w:r>
        <w:rPr>
          <w:rStyle w:val="FootnoteReference"/>
        </w:rPr>
        <w:footnoteRef/>
      </w:r>
      <w:r>
        <w:t xml:space="preserve"> </w:t>
      </w:r>
      <w:r>
        <w:t xml:space="preserve">Ministry of Manpower Singapore,</w:t>
      </w:r>
      <w:r>
        <w:t xml:space="preserve"> </w:t>
      </w:r>
      <w:r>
        <w:rPr>
          <w:i/>
          <w:iCs/>
        </w:rPr>
        <w:t xml:space="preserve">Silver Support Scheme</w:t>
      </w:r>
      <w:r>
        <w:t xml:space="preserve">, 2024 (https://www.silversupport.gov.sg). Critères d’éligibilité : 65 ans et plus, contributions CPF totales à 55 ans inférieures à 140 000 SGD, logement HDB 1-5 pièces, faible revenu familial par tête.</w:t>
      </w:r>
    </w:p>
  </w:footnote>
  <w:footnote w:id="304">
    <w:p>
      <w:pPr>
        <w:pStyle w:val="FootnoteText"/>
      </w:pPr>
      <w:r>
        <w:rPr>
          <w:rStyle w:val="FootnoteReference"/>
        </w:rPr>
        <w:footnoteRef/>
      </w:r>
      <w:r>
        <w:t xml:space="preserve"> </w:t>
      </w:r>
      <w:r>
        <w:t xml:space="preserve">Milliman,</w:t>
      </w:r>
      <w:r>
        <w:t xml:space="preserve"> </w:t>
      </w:r>
      <w:r>
        <w:rPr>
          <w:i/>
          <w:iCs/>
        </w:rPr>
        <w:t xml:space="preserve">Singapore Retirement Savings Gender Gap</w:t>
      </w:r>
      <w:r>
        <w:t xml:space="preserve"> </w:t>
      </w:r>
      <w:r>
        <w:rPr>
          <w:i/>
          <w:iCs/>
        </w:rPr>
        <w:t xml:space="preserve">- 2021 Update</w:t>
      </w:r>
      <w:r>
        <w:t xml:space="preserve">, 2021 (https://www.milliman.com/en/insight/singapore-retirement-savings-gender-gap-update). Solde CPF moyen des femmes : 90,7 % de celui des hommes en 2019, écart porté à 7-8 % pour la tranche 60-65 ans.</w:t>
      </w:r>
    </w:p>
  </w:footnote>
  <w:footnote w:id="305">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307">
    <w:p>
      <w:pPr>
        <w:pStyle w:val="FootnoteText"/>
      </w:pPr>
      <w:r>
        <w:rPr>
          <w:rStyle w:val="FootnoteReference"/>
        </w:rPr>
        <w:footnoteRef/>
      </w:r>
      <w:r>
        <w:t xml:space="preserve"> </w:t>
      </w:r>
      <w:r>
        <w:t xml:space="preserve">Juan Gabriel Valdés,</w:t>
      </w:r>
      <w:r>
        <w:t xml:space="preserve"> </w:t>
      </w:r>
      <w:r>
        <w:rPr>
          <w:i/>
          <w:iCs/>
        </w:rPr>
        <w:t xml:space="preserve">Pinochet’s Economists: The Chicago School in Chile</w:t>
      </w:r>
      <w:r>
        <w:t xml:space="preserve">, Cambridge University Press, 1995. Sur le</w:t>
      </w:r>
      <w:r>
        <w:t xml:space="preserve"> </w:t>
      </w:r>
      <w:r>
        <w:rPr>
          <w:i/>
          <w:iCs/>
        </w:rPr>
        <w:t xml:space="preserve">Chile-Chicago Project</w:t>
      </w:r>
      <w:r>
        <w:t xml:space="preserve"> </w:t>
      </w:r>
      <w:r>
        <w:t xml:space="preserve">signé en 1956 entre l’Universidad Católica et Chicago : Harberger y a enseigné régulièrement, et près d’une centaine d’économistes chiliens ont été formés à Chicago entre 1957 et 1980. Le noyau dur - Sergio de Castro, Pablo Baraona, Álvaro Bardón, Rolf Lüders - accède aux postes économiques clés à partir de 1975.</w:t>
      </w:r>
    </w:p>
  </w:footnote>
  <w:footnote w:id="308">
    <w:p>
      <w:pPr>
        <w:pStyle w:val="FootnoteText"/>
      </w:pPr>
      <w:r>
        <w:rPr>
          <w:rStyle w:val="FootnoteReference"/>
        </w:rPr>
        <w:footnoteRef/>
      </w:r>
      <w:r>
        <w:t xml:space="preserve"> </w:t>
      </w:r>
      <w:r>
        <w:rPr>
          <w:i/>
          <w:iCs/>
        </w:rPr>
        <w:t xml:space="preserve">El Ladrillo: Bases de la política económica del gobierno militar chileno</w:t>
      </w:r>
      <w:r>
        <w:t xml:space="preserve">,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309">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Récit détaillé de la séquence 1975-1990. José Piñera, ministre du Travail de décembre 1978 à décembre 1980, a publié</w:t>
      </w:r>
      <w:r>
        <w:t xml:space="preserve"> </w:t>
      </w:r>
      <w:r>
        <w:rPr>
          <w:i/>
          <w:iCs/>
        </w:rPr>
        <w:t xml:space="preserve">El cascabel al gato: La batalla por la reforma previsional</w:t>
      </w:r>
      <w:r>
        <w:t xml:space="preserve">, Zig-Zag, 1991, où il revendique la paternité directe du modèle.</w:t>
      </w:r>
    </w:p>
  </w:footnote>
  <w:footnote w:id="310">
    <w:p>
      <w:pPr>
        <w:pStyle w:val="FootnoteText"/>
      </w:pPr>
      <w:r>
        <w:rPr>
          <w:rStyle w:val="FootnoteReference"/>
        </w:rPr>
        <w:footnoteRef/>
      </w:r>
      <w:r>
        <w:t xml:space="preserve"> </w:t>
      </w:r>
      <w:r>
        <w:t xml:space="preserve">Décret-loi n° 3500,</w:t>
      </w:r>
      <w:r>
        <w:t xml:space="preserve"> </w:t>
      </w:r>
      <w:r>
        <w:rPr>
          <w:i/>
          <w:iCs/>
        </w:rPr>
        <w:t xml:space="preserve">Diario Oficial de la República de Chile</w:t>
      </w:r>
      <w:r>
        <w:t xml:space="preserve">, 13 novembre 1980 ; entrée en vigueur 1ᵉʳ mai 1981. Texte intégral et historique des modifications : Biblioteca del Congreso Nacional, Ley Chile (https://www.bcn.cl).</w:t>
      </w:r>
    </w:p>
  </w:footnote>
  <w:footnote w:id="311">
    <w:p>
      <w:pPr>
        <w:pStyle w:val="FootnoteText"/>
      </w:pPr>
      <w:r>
        <w:rPr>
          <w:rStyle w:val="FootnoteReference"/>
        </w:rPr>
        <w:footnoteRef/>
      </w:r>
      <w:r>
        <w:t xml:space="preserve"> </w:t>
      </w:r>
      <w:r>
        <w:t xml:space="preserve">José Piñera,</w:t>
      </w:r>
      <w:r>
        <w:t xml:space="preserve"> </w:t>
      </w:r>
      <w:r>
        <w:rPr>
          <w:i/>
          <w:iCs/>
        </w:rPr>
        <w:t xml:space="preserve">El cascabel al gato</w:t>
      </w:r>
      <w:r>
        <w:t xml:space="preserve">,</w:t>
      </w:r>
      <w:r>
        <w:t xml:space="preserve"> </w:t>
      </w:r>
      <w:r>
        <w:rPr>
          <w:i/>
          <w:iCs/>
        </w:rPr>
        <w:t xml:space="preserve">op. cit.</w:t>
      </w:r>
      <w:r>
        <w:t xml:space="preserve"> </w:t>
      </w:r>
      <w:r>
        <w:t xml:space="preserve">; reprise dans Sebastián Edwards,</w:t>
      </w:r>
      <w:r>
        <w:t xml:space="preserve"> </w:t>
      </w:r>
      <w:r>
        <w:rPr>
          <w:i/>
          <w:iCs/>
        </w:rPr>
        <w:t xml:space="preserve">The Chile Project</w:t>
      </w:r>
      <w:r>
        <w:t xml:space="preserve">,</w:t>
      </w:r>
      <w:r>
        <w:t xml:space="preserve"> </w:t>
      </w:r>
      <w:r>
        <w:rPr>
          <w:i/>
          <w:iCs/>
        </w:rPr>
        <w:t xml:space="preserve">op. cit.</w:t>
      </w:r>
      <w:r>
        <w:t xml:space="preserve"> </w:t>
      </w:r>
      <w:r>
        <w:t xml:space="preserve">Les calculs présentés au moment du lancement du DL 3500 retenaient un rendement réel cible de 5,5 % par an et un taux de remplacement projeté entre 60 et 70 % pour une carrière complète.</w:t>
      </w:r>
    </w:p>
  </w:footnote>
  <w:footnote w:id="312">
    <w:p>
      <w:pPr>
        <w:pStyle w:val="FootnoteText"/>
      </w:pPr>
      <w:r>
        <w:rPr>
          <w:rStyle w:val="FootnoteReference"/>
        </w:rPr>
        <w:footnoteRef/>
      </w:r>
      <w:r>
        <w:t xml:space="preserve"> </w:t>
      </w:r>
      <w:r>
        <w:t xml:space="preserve">Caja de Previsión de la Defensa Nacional (CAPREDENA) - fondée en 1915 - et Dirección de Previsión de Carabineros de Chile (DIPRECA) - fondée en 1933 - couvrent respectivement les forces armées et la police. Les deux régimes, par répartition, restent en vigueur en 2025. Voir Comisión Bravo,</w:t>
      </w:r>
      <w:r>
        <w:t xml:space="preserve"> </w:t>
      </w:r>
      <w:r>
        <w:rPr>
          <w:i/>
          <w:iCs/>
        </w:rPr>
        <w:t xml:space="preserve">Informe Final</w:t>
      </w:r>
      <w:r>
        <w:t xml:space="preserve">, 2015, chapitre 4.</w:t>
      </w:r>
    </w:p>
  </w:footnote>
  <w:footnote w:id="313">
    <w:p>
      <w:pPr>
        <w:pStyle w:val="FootnoteText"/>
      </w:pPr>
      <w:r>
        <w:rPr>
          <w:rStyle w:val="FootnoteReference"/>
        </w:rPr>
        <w:footnoteRef/>
      </w:r>
      <w:r>
        <w:t xml:space="preserve"> </w:t>
      </w:r>
      <w:r>
        <w:t xml:space="preserve">Banque mondiale,</w:t>
      </w:r>
      <w:r>
        <w:t xml:space="preserve"> </w:t>
      </w:r>
      <w:r>
        <w:rPr>
          <w:i/>
          <w:iCs/>
        </w:rPr>
        <w:t xml:space="preserve">Averting the Old Age Crisis: Policies to Protect the Old and Promote Growth</w:t>
      </w:r>
      <w:r>
        <w:t xml:space="preserve">, Oxford University Press, 1994. Le rapport recommandait explicitement le « modèle à trois piliers », dont l’un capitalisé sur le modèle chilien.</w:t>
      </w:r>
    </w:p>
  </w:footnote>
  <w:footnote w:id="314">
    <w:p>
      <w:pPr>
        <w:pStyle w:val="FootnoteText"/>
      </w:pPr>
      <w:r>
        <w:rPr>
          <w:rStyle w:val="FootnoteReference"/>
        </w:rPr>
        <w:footnoteRef/>
      </w:r>
      <w:r>
        <w:t xml:space="preserve"> </w:t>
      </w:r>
      <w:r>
        <w:t xml:space="preserve">Isabel Ortiz, Fabio Durán-Valverde, Stefan Urban, Veronika Wodsak,</w:t>
      </w:r>
      <w:r>
        <w:t xml:space="preserve"> </w:t>
      </w:r>
      <w:r>
        <w:rPr>
          <w:i/>
          <w:iCs/>
        </w:rPr>
        <w:t xml:space="preserve">Reversing Pension Privatizations: Rebuilding Public Pension Systems in Eastern European and Latin American Countries (2000-2018)</w:t>
      </w:r>
      <w:r>
        <w:t xml:space="preserve">, International Labour Organization, ESS Working Paper n° 63, 2018 (https://www.ilo.org/publications/reversing-pension-privatizations-rebuilding-public-pension-systems).</w:t>
      </w:r>
    </w:p>
  </w:footnote>
  <w:footnote w:id="315">
    <w:p>
      <w:pPr>
        <w:pStyle w:val="FootnoteText"/>
      </w:pPr>
      <w:r>
        <w:rPr>
          <w:rStyle w:val="FootnoteReference"/>
        </w:rPr>
        <w:footnoteRef/>
      </w:r>
      <w:r>
        <w:t xml:space="preserve"> </w:t>
      </w:r>
      <w:r>
        <w:t xml:space="preserve">OCDE,</w:t>
      </w:r>
      <w:r>
        <w:t xml:space="preserve"> </w:t>
      </w:r>
      <w:r>
        <w:rPr>
          <w:i/>
          <w:iCs/>
        </w:rPr>
        <w:t xml:space="preserve">Pensions at a Glance 2021</w:t>
      </w:r>
      <w:r>
        <w:t xml:space="preserve">, novembre 2021, fiche Chili. Taux de remplacement net hommes / femmes carrière complète à temps plein, hors PGU : 38,5 % / 35,4 %.</w:t>
      </w:r>
    </w:p>
  </w:footnote>
  <w:footnote w:id="316">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fiche Chili. Avec PGU intégrée : 45,7 % / 43 % ; moyenne OCDE 50,7 %. La PGU a été créée par la Loi 21419 du 4 février 2022, en fin de second mandat de Sebastián Piñera.</w:t>
      </w:r>
    </w:p>
  </w:footnote>
  <w:footnote w:id="317">
    <w:p>
      <w:pPr>
        <w:pStyle w:val="FootnoteText"/>
      </w:pPr>
      <w:r>
        <w:rPr>
          <w:rStyle w:val="FootnoteReference"/>
        </w:rPr>
        <w:footnoteRef/>
      </w:r>
      <w:r>
        <w:t xml:space="preserve"> </w:t>
      </w:r>
      <w:r>
        <w:t xml:space="preserve">Superintendencia de Pensiones de Chile,</w:t>
      </w:r>
      <w:r>
        <w:t xml:space="preserve"> </w:t>
      </w:r>
      <w:r>
        <w:rPr>
          <w:i/>
          <w:iCs/>
        </w:rPr>
        <w:t xml:space="preserve">Estadísticas: Montos de pensión por modalidad</w:t>
      </w:r>
      <w:r>
        <w:t xml:space="preserve">, données 2024 (https://www.spensiones.cl). Pension contributive AFP moyenne, toutes modalités confondues : entre 200 000 et 250 000 CLP/mois selon la cohorte et le sexe.</w:t>
      </w:r>
    </w:p>
  </w:footnote>
  <w:footnote w:id="318">
    <w:p>
      <w:pPr>
        <w:pStyle w:val="FootnoteText"/>
      </w:pPr>
      <w:r>
        <w:rPr>
          <w:rStyle w:val="FootnoteReference"/>
        </w:rPr>
        <w:footnoteRef/>
      </w:r>
      <w:r>
        <w:t xml:space="preserve"> </w:t>
      </w:r>
      <w:r>
        <w:t xml:space="preserve">Superintendencia de Pensiones,</w:t>
      </w:r>
      <w:r>
        <w:t xml:space="preserve"> </w:t>
      </w:r>
      <w:r>
        <w:rPr>
          <w:i/>
          <w:iCs/>
        </w:rPr>
        <w:t xml:space="preserve">Rentabilidad histórica de los Fondos de Pensiones</w:t>
      </w:r>
      <w:r>
        <w:t xml:space="preserve">, séries 1981-2024. Rendement réel annualisé brut moyen, tous fonds confondus, sur la période 1981-2024 : 3-4 % par an selon les fonds (les fonds A, plus exposés actions, atteignent 4 % sur longue période ; les fonds plus conservateurs descendent vers 2,5 %).</w:t>
      </w:r>
    </w:p>
  </w:footnote>
  <w:footnote w:id="319">
    <w:p>
      <w:pPr>
        <w:pStyle w:val="FootnoteText"/>
      </w:pPr>
      <w:r>
        <w:rPr>
          <w:rStyle w:val="FootnoteReference"/>
        </w:rPr>
        <w:footnoteRef/>
      </w:r>
      <w:r>
        <w:t xml:space="preserve"> </w:t>
      </w:r>
      <w:r>
        <w:t xml:space="preserve">Superintendencia de Pensiones,</w:t>
      </w:r>
      <w:r>
        <w:t xml:space="preserve"> </w:t>
      </w:r>
      <w:r>
        <w:rPr>
          <w:i/>
          <w:iCs/>
        </w:rPr>
        <w:t xml:space="preserve">Licitación 2023-2025</w:t>
      </w:r>
      <w:r>
        <w:t xml:space="preserve"> </w:t>
      </w:r>
      <w:r>
        <w:rPr>
          <w:i/>
          <w:iCs/>
        </w:rPr>
        <w:t xml:space="preserve">- Comisiones AFP</w:t>
      </w:r>
      <w:r>
        <w:t xml:space="preserve">, 2023 ; KPMG Chile,</w:t>
      </w:r>
      <w:r>
        <w:t xml:space="preserve"> </w:t>
      </w:r>
      <w:r>
        <w:rPr>
          <w:i/>
          <w:iCs/>
        </w:rPr>
        <w:t xml:space="preserve">Reforma Previsional 2025</w:t>
      </w:r>
      <w:r>
        <w:t xml:space="preserve"> </w:t>
      </w:r>
      <w:r>
        <w:rPr>
          <w:i/>
          <w:iCs/>
        </w:rPr>
        <w:t xml:space="preserve">- Análisis comparado</w:t>
      </w:r>
      <w:r>
        <w:t xml:space="preserve">, mars 2025. Les commissions des sept AFP en vigueur en 2025 : Uno 0,46 %, Modelo 0,58 %, Planvital 1,16 %, Habitat 1,27 %, Capital 1,44 %, Cuprum 1,44 %, Provida 1,45 %. SIS : 1,5 % en moyenne, collecté par les AFP au profit d’un assureur en marché ouvert.</w:t>
      </w:r>
    </w:p>
  </w:footnote>
  <w:footnote w:id="320">
    <w:p>
      <w:pPr>
        <w:pStyle w:val="FootnoteText"/>
      </w:pPr>
      <w:r>
        <w:rPr>
          <w:rStyle w:val="FootnoteReference"/>
        </w:rPr>
        <w:footnoteRef/>
      </w:r>
      <w:r>
        <w:t xml:space="preserve"> </w:t>
      </w:r>
      <w:r>
        <w:t xml:space="preserve">Comisión Asesora Presidencial sobre el Sistema de Pensiones (</w:t>
      </w:r>
      <w:r>
        <w:rPr>
          <w:i/>
          <w:iCs/>
        </w:rPr>
        <w:t xml:space="preserve">Comisión Bravo</w:t>
      </w:r>
      <w:r>
        <w:t xml:space="preserve">),</w:t>
      </w:r>
      <w:r>
        <w:t xml:space="preserve"> </w:t>
      </w:r>
      <w:r>
        <w:rPr>
          <w:i/>
          <w:iCs/>
        </w:rPr>
        <w:t xml:space="preserve">Informe Final</w:t>
      </w:r>
      <w:r>
        <w:t xml:space="preserve">, septembre 2015 (https://www.previsionsocial.gob.cl). Densité de cotisation moyenne mesurée : 51,8 % pour les femmes, 64,7 % pour les hommes, sur la période 1981-2013. INE Chile,</w:t>
      </w:r>
      <w:r>
        <w:t xml:space="preserve"> </w:t>
      </w:r>
      <w:r>
        <w:rPr>
          <w:i/>
          <w:iCs/>
        </w:rPr>
        <w:t xml:space="preserve">Encuesta Suplementaria de Ingresos</w:t>
      </w:r>
      <w:r>
        <w:t xml:space="preserve">, 2024 : informalité du marché du travail entre 27 % (mesure stricte) et 38 % (mesure élargie aux plateformes).</w:t>
      </w:r>
    </w:p>
  </w:footnote>
  <w:footnote w:id="321">
    <w:p>
      <w:pPr>
        <w:pStyle w:val="FootnoteText"/>
      </w:pPr>
      <w:r>
        <w:rPr>
          <w:rStyle w:val="FootnoteReference"/>
        </w:rPr>
        <w:footnoteRef/>
      </w:r>
      <w:r>
        <w:t xml:space="preserve"> </w:t>
      </w:r>
      <w:r>
        <w:rPr>
          <w:i/>
          <w:iCs/>
        </w:rPr>
        <w:t xml:space="preserve">La Tercera</w:t>
      </w:r>
      <w:r>
        <w:t xml:space="preserve">, « La marcha más grande desde el retorno a la democracia », 25 juillet 2016. Les estimations divergent - 750 000 selon les autorités, 1,5 million selon les organisateurs et plusieurs analystes -, mais le caractère historique de l’événement n’est pas contesté.</w:t>
      </w:r>
    </w:p>
  </w:footnote>
  <w:footnote w:id="322">
    <w:p>
      <w:pPr>
        <w:pStyle w:val="FootnoteText"/>
      </w:pPr>
      <w:r>
        <w:rPr>
          <w:rStyle w:val="FootnoteReference"/>
        </w:rPr>
        <w:footnoteRef/>
      </w:r>
      <w:r>
        <w:t xml:space="preserve"> </w:t>
      </w:r>
      <w:r>
        <w:t xml:space="preserve">SERVEL (Servicio Electoral de Chile),</w:t>
      </w:r>
      <w:r>
        <w:t xml:space="preserve"> </w:t>
      </w:r>
      <w:r>
        <w:rPr>
          <w:i/>
          <w:iCs/>
        </w:rPr>
        <w:t xml:space="preserve">Resultados oficiales Plebiscito Nacional 25 de octubre de 2020</w:t>
      </w:r>
      <w:r>
        <w:t xml:space="preserve"> </w:t>
      </w:r>
      <w:r>
        <w:t xml:space="preserve">(https://www.servel.cl). Apruebo : 78,27 %, Rechazo : 21,73 %, participation 50,9 % des inscrits.</w:t>
      </w:r>
    </w:p>
  </w:footnote>
  <w:footnote w:id="323">
    <w:p>
      <w:pPr>
        <w:pStyle w:val="FootnoteText"/>
      </w:pPr>
      <w:r>
        <w:rPr>
          <w:rStyle w:val="FootnoteReference"/>
        </w:rPr>
        <w:footnoteRef/>
      </w:r>
      <w:r>
        <w:t xml:space="preserve"> </w:t>
      </w:r>
      <w:r>
        <w:t xml:space="preserve">Banco Central de Chile,</w:t>
      </w:r>
      <w:r>
        <w:t xml:space="preserve"> </w:t>
      </w:r>
      <w:r>
        <w:rPr>
          <w:i/>
          <w:iCs/>
        </w:rPr>
        <w:t xml:space="preserve">Working Paper n° 991, The Macroeconomic Effects of the COVID-19 Pension Withdrawals in Chile</w:t>
      </w:r>
      <w:r>
        <w:t xml:space="preserve">, 2023 ; BIS Working Paper n° 1176,</w:t>
      </w:r>
      <w:r>
        <w:t xml:space="preserve"> </w:t>
      </w:r>
      <w:r>
        <w:rPr>
          <w:i/>
          <w:iCs/>
        </w:rPr>
        <w:t xml:space="preserve">Pension Withdrawals and Household Behaviour: Evidence from Chile</w:t>
      </w:r>
      <w:r>
        <w:t xml:space="preserve">, 2024. Total des trois retraits autorisés par les Lois 21248 (juillet 2020), 21295 (décembre 2020) et 21330 (avril 2021) : 55,8 milliards de dollars américains, soit 20,3 + 19,2 + 16,3 Md USD.</w:t>
      </w:r>
    </w:p>
  </w:footnote>
  <w:footnote w:id="324">
    <w:p>
      <w:pPr>
        <w:pStyle w:val="FootnoteText"/>
      </w:pPr>
      <w:r>
        <w:rPr>
          <w:rStyle w:val="FootnoteReference"/>
        </w:rPr>
        <w:footnoteRef/>
      </w:r>
      <w:r>
        <w:t xml:space="preserve"> </w:t>
      </w:r>
      <w:r>
        <w:t xml:space="preserve">SERVEL,</w:t>
      </w:r>
      <w:r>
        <w:t xml:space="preserve"> </w:t>
      </w:r>
      <w:r>
        <w:rPr>
          <w:i/>
          <w:iCs/>
        </w:rPr>
        <w:t xml:space="preserve">Resultados oficiales Elección Presidencial 2021</w:t>
      </w:r>
      <w:r>
        <w:t xml:space="preserve"> </w:t>
      </w:r>
      <w:r>
        <w:t xml:space="preserve">- premier tour 21 novembre 2021 (Kast 27,91 %, Boric 25,83 %), second tour 19 décembre 2021 (Boric 55,87 %, Kast 44,13 %).</w:t>
      </w:r>
    </w:p>
  </w:footnote>
  <w:footnote w:id="325">
    <w:p>
      <w:pPr>
        <w:pStyle w:val="FootnoteText"/>
      </w:pPr>
      <w:r>
        <w:rPr>
          <w:rStyle w:val="FootnoteReference"/>
        </w:rPr>
        <w:footnoteRef/>
      </w:r>
      <w:r>
        <w:t xml:space="preserve"> </w:t>
      </w:r>
      <w:r>
        <w:t xml:space="preserve">Congreso Nacional de Chile,</w:t>
      </w:r>
      <w:r>
        <w:t xml:space="preserve"> </w:t>
      </w:r>
      <w:r>
        <w:rPr>
          <w:i/>
          <w:iCs/>
        </w:rPr>
        <w:t xml:space="preserve">Resultado votación en sala</w:t>
      </w:r>
      <w:r>
        <w:t xml:space="preserve"> </w:t>
      </w:r>
      <w:r>
        <w:rPr>
          <w:i/>
          <w:iCs/>
        </w:rPr>
        <w:t xml:space="preserve">- Proyecto de Ley de Reforma Previsional</w:t>
      </w:r>
      <w:r>
        <w:t xml:space="preserve">, 29 janvier 2025 ; Loi n° 21735,</w:t>
      </w:r>
      <w:r>
        <w:t xml:space="preserve"> </w:t>
      </w:r>
      <w:r>
        <w:rPr>
          <w:i/>
          <w:iCs/>
        </w:rPr>
        <w:t xml:space="preserve">Diario Oficial</w:t>
      </w:r>
      <w:r>
        <w:t xml:space="preserve">, mars 2025 (https://www.bcn.cl). Vote final : 110 pour, 38 contre, 2 abstentions.</w:t>
      </w:r>
    </w:p>
  </w:footnote>
  <w:footnote w:id="326">
    <w:p>
      <w:pPr>
        <w:pStyle w:val="FootnoteText"/>
      </w:pPr>
      <w:r>
        <w:rPr>
          <w:rStyle w:val="FootnoteReference"/>
        </w:rPr>
        <w:footnoteRef/>
      </w:r>
      <w:r>
        <w:t xml:space="preserve"> </w:t>
      </w:r>
      <w:r>
        <w:t xml:space="preserve">KPMG Chile,</w:t>
      </w:r>
      <w:r>
        <w:t xml:space="preserve"> </w:t>
      </w:r>
      <w:r>
        <w:rPr>
          <w:i/>
          <w:iCs/>
        </w:rPr>
        <w:t xml:space="preserve">Reforma Previsional 2025</w:t>
      </w:r>
      <w:r>
        <w:t xml:space="preserve"> </w:t>
      </w:r>
      <w:r>
        <w:rPr>
          <w:i/>
          <w:iCs/>
        </w:rPr>
        <w:t xml:space="preserve">- Implementación de la nueva cotización del empleador</w:t>
      </w:r>
      <w:r>
        <w:t xml:space="preserve">, février 2025 ; Lockton Chile,</w:t>
      </w:r>
      <w:r>
        <w:t xml:space="preserve"> </w:t>
      </w:r>
      <w:r>
        <w:rPr>
          <w:i/>
          <w:iCs/>
        </w:rPr>
        <w:t xml:space="preserve">Notas de la Reforma Previsional 21735</w:t>
      </w:r>
      <w:r>
        <w:t xml:space="preserve">,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327">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 Chili, novembre 2025 (https://www.oecd.org/pensions/pensions-at-a-glance/). Projection post-réforme 21735 pleinement déployée : taux de remplacement net 61,3 % hommes / 61,1 % femmes, à comparer aux 38,5 % / 35,4 % de la fiche 2021 hors PGU.</w:t>
      </w:r>
    </w:p>
  </w:footnote>
  <w:footnote w:id="331">
    <w:p>
      <w:pPr>
        <w:pStyle w:val="FootnoteText"/>
      </w:pPr>
      <w:r>
        <w:rPr>
          <w:rStyle w:val="FootnoteReference"/>
        </w:rPr>
        <w:footnoteRef/>
      </w:r>
      <w:r>
        <w:t xml:space="preserve"> </w:t>
      </w:r>
      <w:r>
        <w:t xml:space="preserve">Pour la Suède : Bo Könberg, Edward Palmer, Annika Sundén, « The 1994 Swedish Pension Reform »,</w:t>
      </w:r>
      <w:r>
        <w:t xml:space="preserve"> </w:t>
      </w:r>
      <w:r>
        <w:rPr>
          <w:i/>
          <w:iCs/>
        </w:rPr>
        <w:t xml:space="preserve">International Social Security Review</w:t>
      </w:r>
      <w:r>
        <w:t xml:space="preserve">, vol. 59, 2006. Pour l’Australie :</w:t>
      </w:r>
      <w:r>
        <w:t xml:space="preserve"> </w:t>
      </w:r>
      <w:r>
        <w:rPr>
          <w:i/>
          <w:iCs/>
        </w:rPr>
        <w:t xml:space="preserve">Superannuation Guarantee (Administration) Act 1992</w:t>
      </w:r>
      <w:r>
        <w:t xml:space="preserve">,</w:t>
      </w:r>
      <w:r>
        <w:t xml:space="preserve"> </w:t>
      </w:r>
      <w:r>
        <w:rPr>
          <w:i/>
          <w:iCs/>
        </w:rPr>
        <w:t xml:space="preserve">Royal Assent</w:t>
      </w:r>
      <w:r>
        <w:t xml:space="preserve"> </w:t>
      </w:r>
      <w:r>
        <w:t xml:space="preserve">du 21 août 1992 ; ATO,</w:t>
      </w:r>
      <w:r>
        <w:t xml:space="preserve"> </w:t>
      </w:r>
      <w:r>
        <w:rPr>
          <w:i/>
          <w:iCs/>
        </w:rPr>
        <w:t xml:space="preserve">Key Superannuation Rates and Thresholds</w:t>
      </w:r>
      <w:r>
        <w:t xml:space="preserve">, 2025 (palier de 12 % atteint en juillet 2025). Pour le Royaume-Uni :</w:t>
      </w:r>
      <w:r>
        <w:t xml:space="preserve"> </w:t>
      </w:r>
      <w:r>
        <w:rPr>
          <w:i/>
          <w:iCs/>
        </w:rPr>
        <w:t xml:space="preserve">Pensions Act 2008</w:t>
      </w:r>
      <w:r>
        <w:t xml:space="preserve"> </w:t>
      </w:r>
      <w:r>
        <w:t xml:space="preserve">; The Pensions Regulator,</w:t>
      </w:r>
      <w:r>
        <w:t xml:space="preserve"> </w:t>
      </w:r>
      <w:r>
        <w:rPr>
          <w:i/>
          <w:iCs/>
        </w:rPr>
        <w:t xml:space="preserve">Workplace Pensions: Annual Report 2024</w:t>
      </w:r>
      <w:r>
        <w:t xml:space="preserve">. Pour le Canada : Office of the Superintendent of Financial Institutions,</w:t>
      </w:r>
      <w:r>
        <w:t xml:space="preserve"> </w:t>
      </w:r>
      <w:r>
        <w:rPr>
          <w:i/>
          <w:iCs/>
        </w:rPr>
        <w:t xml:space="preserve">Actuarial Report on the Canada Pension Plan</w:t>
      </w:r>
      <w:r>
        <w:t xml:space="preserve">, 2024.</w:t>
      </w:r>
    </w:p>
  </w:footnote>
  <w:footnote w:id="332">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janvier 2026. Indicateur conjoncturel de fécondité : 1,56 enfant par femme en 2025, en recul continu depuis le pic de 2,03 en 2010, plus bas niveau enregistré depuis 1915 hors guerres.</w:t>
      </w:r>
    </w:p>
  </w:footnote>
  <w:footnote w:id="333">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Ratio cotisants/retraités tous régimes : 1,79 en 2024, projection à 1,41 en 2070 dans le scénario central.</w:t>
      </w:r>
    </w:p>
  </w:footnote>
  <w:footnote w:id="334">
    <w:p>
      <w:pPr>
        <w:pStyle w:val="FootnoteText"/>
      </w:pPr>
      <w:r>
        <w:rPr>
          <w:rStyle w:val="FootnoteReference"/>
        </w:rPr>
        <w:footnoteRef/>
      </w:r>
      <w:r>
        <w:t xml:space="preserve"> </w:t>
      </w:r>
      <w:r>
        <w:t xml:space="preserve">ATO,</w:t>
      </w:r>
      <w:r>
        <w:t xml:space="preserve"> </w:t>
      </w:r>
      <w:r>
        <w:rPr>
          <w:i/>
          <w:iCs/>
        </w:rPr>
        <w:t xml:space="preserve">Key Superannuation Rates</w:t>
      </w:r>
      <w:r>
        <w:t xml:space="preserve">, historique 1992-2025. Gel à 9 % sous Howard 2002-2007, regel à 9,25 % sous Abbott 2014. Reprise sous Albanese en 2021, atteinte de 12 % en juillet 2025.</w:t>
      </w:r>
    </w:p>
  </w:footnote>
  <w:footnote w:id="335">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en baisse depuis le pic de 36 Md€ en 2010. Rendement réel net 2024 : +6,46 %. Rendement annualisé 2003-2024 : 4,1 %.</w:t>
      </w:r>
    </w:p>
  </w:footnote>
  <w:footnote w:id="336">
    <w:p>
      <w:pPr>
        <w:pStyle w:val="FootnoteText"/>
      </w:pPr>
      <w:r>
        <w:rPr>
          <w:rStyle w:val="FootnoteReference"/>
        </w:rPr>
        <w:footnoteRef/>
      </w:r>
      <w:r>
        <w:t xml:space="preserve"> </w:t>
      </w:r>
      <w:r>
        <w:t xml:space="preserve">France Stratégie,</w:t>
      </w:r>
      <w:r>
        <w:t xml:space="preserve"> </w:t>
      </w:r>
      <w:r>
        <w:rPr>
          <w:i/>
          <w:iCs/>
        </w:rPr>
        <w:t xml:space="preserve">Eurobonds retraite : faisabilité et modalités</w:t>
      </w:r>
      <w:r>
        <w:t xml:space="preserve">,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337">
    <w:p>
      <w:pPr>
        <w:pStyle w:val="FootnoteText"/>
      </w:pPr>
      <w:r>
        <w:rPr>
          <w:rStyle w:val="FootnoteReference"/>
        </w:rPr>
        <w:footnoteRef/>
      </w:r>
      <w:r>
        <w:t xml:space="preserve"> </w:t>
      </w:r>
      <w:r>
        <w:t xml:space="preserve">FIPECO,</w:t>
      </w:r>
      <w:r>
        <w:t xml:space="preserve"> </w:t>
      </w:r>
      <w:r>
        <w:rPr>
          <w:i/>
          <w:iCs/>
        </w:rPr>
        <w:t xml:space="preserve">La CSG, son montant et son affectation</w:t>
      </w:r>
      <w:r>
        <w:t xml:space="preserve">, 2025 ; DG Trésor,</w:t>
      </w:r>
      <w:r>
        <w:t xml:space="preserve"> </w:t>
      </w:r>
      <w:r>
        <w:rPr>
          <w:i/>
          <w:iCs/>
        </w:rPr>
        <w:t xml:space="preserve">Rapport économique, social et financier 2025</w:t>
      </w:r>
      <w:r>
        <w:t xml:space="preserve">. Rendement d’un point de CSG 2024 : 16-17 Md€ sur la masse globale des revenus assujettis.</w:t>
      </w:r>
    </w:p>
  </w:footnote>
  <w:footnote w:id="338">
    <w:p>
      <w:pPr>
        <w:pStyle w:val="FootnoteText"/>
      </w:pPr>
      <w:r>
        <w:rPr>
          <w:rStyle w:val="FootnoteReference"/>
        </w:rPr>
        <w:footnoteRef/>
      </w:r>
      <w:r>
        <w:t xml:space="preserve"> </w:t>
      </w:r>
      <w:r>
        <w:t xml:space="preserve">INSEE,</w:t>
      </w:r>
      <w:r>
        <w:t xml:space="preserve"> </w:t>
      </w:r>
      <w:r>
        <w:rPr>
          <w:i/>
          <w:iCs/>
        </w:rPr>
        <w:t xml:space="preserve">Comptes nationaux 2025</w:t>
      </w:r>
      <w:r>
        <w:t xml:space="preserve">. Masse salariale brute du secteur privé France 2027 estimée à ~1 100 Md€ constants 2026. Une cotisation patronale nouvelle de 1 % rapporte donc à pleine charge ~11 Md€/an, 2 % ~22 Md€/an.</w:t>
      </w:r>
    </w:p>
  </w:footnote>
  <w:footnote w:id="339">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déficit du système de retraites -5 Md€ en 2025, -6,6 Md€ en 2030, -45 Md€ en 2070, soit -1,4 % du PIB à cet horizon.</w:t>
      </w:r>
    </w:p>
  </w:footnote>
  <w:footnote w:id="340">
    <w:p>
      <w:pPr>
        <w:pStyle w:val="FootnoteText"/>
      </w:pPr>
      <w:r>
        <w:rPr>
          <w:rStyle w:val="FootnoteReference"/>
        </w:rPr>
        <w:footnoteRef/>
      </w:r>
      <w:r>
        <w:t xml:space="preserve"> </w:t>
      </w:r>
      <w:r>
        <w:t xml:space="preserve">Commission européenne,</w:t>
      </w:r>
      <w:r>
        <w:t xml:space="preserve"> </w:t>
      </w:r>
      <w:r>
        <w:rPr>
          <w:i/>
          <w:iCs/>
        </w:rPr>
        <w:t xml:space="preserve">2024 Ageing Report: Economic and Budgetary Projections for the EU Member States (2022-2070)</w:t>
      </w:r>
      <w:r>
        <w:t xml:space="preserve">, mai 2024. Passif implicite des retraites France évalué à environ 417 % du PIB en 2021 sous taux d’actualisation de 1 %. Méthode comparée dans Jean-Marc Daniel,</w:t>
      </w:r>
      <w:r>
        <w:t xml:space="preserve"> </w:t>
      </w:r>
      <w:r>
        <w:rPr>
          <w:i/>
          <w:iCs/>
        </w:rPr>
        <w:t xml:space="preserve">Les comptes publics de la France</w:t>
      </w:r>
      <w:r>
        <w:t xml:space="preserve">, La Documentation française, 2023.</w:t>
      </w:r>
    </w:p>
  </w:footnote>
  <w:footnote w:id="341">
    <w:p>
      <w:pPr>
        <w:pStyle w:val="FootnoteText"/>
      </w:pPr>
      <w:r>
        <w:rPr>
          <w:rStyle w:val="FootnoteReference"/>
        </w:rPr>
        <w:footnoteRef/>
      </w:r>
      <w:r>
        <w:t xml:space="preserve"> </w:t>
      </w:r>
      <w:r>
        <w:t xml:space="preserve">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w:t>
      </w:r>
      <w:r>
        <w:t xml:space="preserve"> </w:t>
      </w:r>
      <w:r>
        <w:rPr>
          <w:i/>
          <w:iCs/>
        </w:rPr>
        <w:t xml:space="preserve">Poland: Pension Reform and Future Pension Adequacy</w:t>
      </w:r>
      <w:r>
        <w:t xml:space="preserve">, 2017.</w:t>
      </w:r>
    </w:p>
  </w:footnote>
  <w:footnote w:id="342">
    <w:p>
      <w:pPr>
        <w:pStyle w:val="FootnoteText"/>
      </w:pPr>
      <w:r>
        <w:rPr>
          <w:rStyle w:val="FootnoteReference"/>
        </w:rPr>
        <w:footnoteRef/>
      </w:r>
      <w:r>
        <w:t xml:space="preserve"> </w:t>
      </w:r>
      <w:r>
        <w:t xml:space="preserve">NEST Corporation,</w:t>
      </w:r>
      <w:r>
        <w:t xml:space="preserve"> </w:t>
      </w:r>
      <w:r>
        <w:rPr>
          <w:i/>
          <w:iCs/>
        </w:rPr>
        <w:t xml:space="preserve">Annual Report and Accounts 2024-25</w:t>
      </w:r>
      <w:r>
        <w:t xml:space="preserve">, 2025. NEST gère 49,7 Md£ d’actifs au 31 mars 2025, pour ~13 millions de membres, couverture estimée 80 % des éligibles.</w:t>
      </w:r>
      <w:r>
        <w:t xml:space="preserve"> </w:t>
      </w:r>
      <w:r>
        <w:rPr>
          <w:i/>
          <w:iCs/>
        </w:rPr>
        <w:t xml:space="preserve">Pensions Act 2008</w:t>
      </w:r>
      <w:r>
        <w:t xml:space="preserve">, staging octobre 2012 (&gt; 50 000 salariés) à avril 2018 (TPE), taux porté à 8 % en avril 2019.</w:t>
      </w:r>
    </w:p>
  </w:footnote>
  <w:footnote w:id="343">
    <w:p>
      <w:pPr>
        <w:pStyle w:val="FootnoteText"/>
      </w:pPr>
      <w:r>
        <w:rPr>
          <w:rStyle w:val="FootnoteReference"/>
        </w:rPr>
        <w:footnoteRef/>
      </w:r>
      <w:r>
        <w:t xml:space="preserve"> </w:t>
      </w:r>
      <w:r>
        <w:t xml:space="preserve">BMAS,</w:t>
      </w:r>
      <w:r>
        <w:t xml:space="preserve"> </w:t>
      </w:r>
      <w:r>
        <w:rPr>
          <w:i/>
          <w:iCs/>
        </w:rPr>
        <w:t xml:space="preserve">Alterssicherung in Deutschland 2024</w:t>
      </w:r>
      <w:r>
        <w:t xml:space="preserve">, 2024. ~9,7 millions d’actifs détenaient un contrat Riester en cours en 2024, sur un pic de 16,5 millions de contrats cumulés émis depuis 2002. Coût budgétaire annuel des subventions Riester : ~4 Md€/an, taux d’adoption &lt; 30 % du public cible.</w:t>
      </w:r>
    </w:p>
  </w:footnote>
  <w:footnote w:id="344">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Plus de 11 millions de PER détenus fin 2024 (loi PACTE 2019-486 du 22 mai 2019). Encours total ~110 Md€, encours moyen ~3 400 €. Cour des comptes,</w:t>
      </w:r>
      <w:r>
        <w:t xml:space="preserve"> </w:t>
      </w:r>
      <w:r>
        <w:rPr>
          <w:i/>
          <w:iCs/>
        </w:rPr>
        <w:t xml:space="preserve">Le système de retraite par capitalisation en France</w:t>
      </w:r>
      <w:r>
        <w:t xml:space="preserve">, rapport public thématique, février 2024 - concentration des versements PER sur les déciles supérieurs.</w:t>
      </w:r>
    </w:p>
  </w:footnote>
  <w:footnote w:id="345">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Échantillon représentatif d’environ 1 000 personnes interrogées en ligne. Voir aussi Cercle de l’Épargne / Amphitéa,</w:t>
      </w:r>
      <w:r>
        <w:t xml:space="preserve"> </w:t>
      </w:r>
      <w:r>
        <w:rPr>
          <w:i/>
          <w:iCs/>
        </w:rPr>
        <w:t xml:space="preserve">Les Français, l’épargne et la retraite 2025</w:t>
      </w:r>
      <w:r>
        <w:t xml:space="preserve">, IFOP, 1 000 répondants, 25-26 mars 2025 : 62 % des non-retraités estiment qu’il faut commencer à épargner avant 35 ans, 48 % chez les 18-24 ans.</w:t>
      </w:r>
    </w:p>
  </w:footnote>
  <w:footnote w:id="346">
    <w:p>
      <w:pPr>
        <w:pStyle w:val="FootnoteText"/>
      </w:pPr>
      <w:r>
        <w:rPr>
          <w:rStyle w:val="FootnoteReference"/>
        </w:rPr>
        <w:footnoteRef/>
      </w:r>
      <w:r>
        <w:t xml:space="preserve"> </w:t>
      </w:r>
      <w:r>
        <w:t xml:space="preserve">Autorité des marchés financiers,</w:t>
      </w:r>
      <w:r>
        <w:t xml:space="preserve"> </w:t>
      </w:r>
      <w:r>
        <w:rPr>
          <w:i/>
          <w:iCs/>
        </w:rPr>
        <w:t xml:space="preserve">Baromètre 2024 de l’épargne et de l’investissement</w:t>
      </w:r>
      <w:r>
        <w:t xml:space="preserve">, octobre 2024, 2 044 répondants.</w:t>
      </w:r>
    </w:p>
  </w:footnote>
  <w:footnote w:id="347">
    <w:p>
      <w:pPr>
        <w:pStyle w:val="FootnoteText"/>
      </w:pPr>
      <w:r>
        <w:rPr>
          <w:rStyle w:val="FootnoteReference"/>
        </w:rPr>
        <w:footnoteRef/>
      </w:r>
      <w:r>
        <w:t xml:space="preserve"> </w:t>
      </w:r>
      <w:r>
        <w:t xml:space="preserve">Positions publiques documentées dans Bertrand Martinot,</w:t>
      </w:r>
      <w:r>
        <w:t xml:space="preserve"> </w:t>
      </w:r>
      <w:r>
        <w:rPr>
          <w:i/>
          <w:iCs/>
        </w:rPr>
        <w:t xml:space="preserve">La capitalisation : un moyen de sortir par le haut de la crise des retraites ?</w:t>
      </w:r>
      <w:r>
        <w:t xml:space="preserve">, Fondation pour l’innovation politique, octobre 2024, annexe 3. Position CFDT : Marylise Léon, entretien</w:t>
      </w:r>
      <w:r>
        <w:t xml:space="preserve"> </w:t>
      </w:r>
      <w:r>
        <w:rPr>
          <w:i/>
          <w:iCs/>
        </w:rPr>
        <w:t xml:space="preserve">Les Échos</w:t>
      </w:r>
      <w:r>
        <w:t xml:space="preserve">, 12 mars 2025. Position CFE-CGC : Christelle Thieffine, février 2025.</w:t>
      </w:r>
    </w:p>
  </w:footnote>
  <w:footnote w:id="348">
    <w:p>
      <w:pPr>
        <w:pStyle w:val="FootnoteText"/>
      </w:pPr>
      <w:r>
        <w:rPr>
          <w:rStyle w:val="FootnoteReference"/>
        </w:rPr>
        <w:footnoteRef/>
      </w:r>
      <w:r>
        <w:t xml:space="preserve"> </w:t>
      </w:r>
      <w:r>
        <w:t xml:space="preserve">Loi n° 97-277 du 25 mars 1997, dite « loi Thomas ». Portée par le député Jean-Pierre Thomas (RPR), votée sous le gouvernement Juppé. Abrogée par la loi n° 2002-73 du 17 janvier 2002 (loi de modernisation sociale).</w:t>
      </w:r>
    </w:p>
  </w:footnote>
  <w:footnote w:id="349">
    <w:p>
      <w:pPr>
        <w:pStyle w:val="FootnoteText"/>
      </w:pPr>
      <w:r>
        <w:rPr>
          <w:rStyle w:val="FootnoteReference"/>
        </w:rPr>
        <w:footnoteRef/>
      </w:r>
      <w:r>
        <w:t xml:space="preserve"> </w:t>
      </w:r>
      <w:r>
        <w:t xml:space="preserve">Jean-Paul Delevoye,</w:t>
      </w:r>
      <w:r>
        <w:t xml:space="preserve"> </w:t>
      </w:r>
      <w:r>
        <w:rPr>
          <w:i/>
          <w:iCs/>
        </w:rPr>
        <w:t xml:space="preserve">Pour un système universel de retraite</w:t>
      </w:r>
      <w:r>
        <w:t xml:space="preserve">, rapport au Premier ministre, juillet 2019. Démission du Haut-commissaire le 16 décembre 2019. Grèves cumulées les plus longues depuis 1995 (45 jours à la RATP).</w:t>
      </w:r>
    </w:p>
  </w:footnote>
  <w:footnote w:id="350">
    <w:p>
      <w:pPr>
        <w:pStyle w:val="FootnoteText"/>
      </w:pPr>
      <w:r>
        <w:rPr>
          <w:rStyle w:val="FootnoteReference"/>
        </w:rPr>
        <w:footnoteRef/>
      </w:r>
      <w:r>
        <w:t xml:space="preserve"> </w:t>
      </w:r>
      <w:r>
        <w:t xml:space="preserve">Loi n° 2023-270 du 14 avril 2023 de financement rectificative de la sécurité sociale, validée par DC 2023-849. LFSS 2026 suspendant l’application du recul de l’âge aux générations nées avant le 1ᵉʳ janvier 1969.</w:t>
      </w:r>
    </w:p>
  </w:footnote>
  <w:footnote w:id="351">
    <w:p>
      <w:pPr>
        <w:pStyle w:val="FootnoteText"/>
      </w:pPr>
      <w:r>
        <w:rPr>
          <w:rStyle w:val="FootnoteReference"/>
        </w:rPr>
        <w:footnoteRef/>
      </w:r>
      <w:r>
        <w:t xml:space="preserve"> </w:t>
      </w:r>
      <w:r>
        <w:t xml:space="preserve">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352">
    <w:p>
      <w:pPr>
        <w:pStyle w:val="FootnoteText"/>
      </w:pPr>
      <w:r>
        <w:rPr>
          <w:rStyle w:val="FootnoteReference"/>
        </w:rPr>
        <w:footnoteRef/>
      </w:r>
      <w:r>
        <w:t xml:space="preserve"> </w:t>
      </w:r>
      <w:r>
        <w:t xml:space="preserve">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353">
    <w:p>
      <w:pPr>
        <w:pStyle w:val="FootnoteText"/>
      </w:pPr>
      <w:r>
        <w:rPr>
          <w:rStyle w:val="FootnoteReference"/>
        </w:rPr>
        <w:footnoteRef/>
      </w:r>
      <w:r>
        <w:t xml:space="preserve"> </w:t>
      </w:r>
      <w:r>
        <w:t xml:space="preserve">CEDH,</w:t>
      </w:r>
      <w:r>
        <w:t xml:space="preserve"> </w:t>
      </w:r>
      <w:r>
        <w:rPr>
          <w:i/>
          <w:iCs/>
        </w:rPr>
        <w:t xml:space="preserve">Apostolakis c. Grèce</w:t>
      </w:r>
      <w:r>
        <w:t xml:space="preserve">, requête 39574/07, arrêt du 22 octobre 2009. Fonctionnaire grec</w:t>
      </w:r>
      <w:r>
        <w:t xml:space="preserve"> </w:t>
      </w:r>
      <w:r>
        <w:rPr>
          <w:b/>
          <w:bCs/>
        </w:rPr>
        <w:t xml:space="preserve">condamné pénalement</w:t>
      </w:r>
      <w:r>
        <w:t xml:space="preserve"> </w:t>
      </w:r>
      <w:r>
        <w:t xml:space="preserve">dont les droits à pension et la couverture sociale ont été intégralement supprimés. Violation de l’article 1 du protocole 1.</w:t>
      </w:r>
    </w:p>
  </w:footnote>
  <w:footnote w:id="354">
    <w:p>
      <w:pPr>
        <w:pStyle w:val="FootnoteText"/>
      </w:pPr>
      <w:r>
        <w:rPr>
          <w:rStyle w:val="FootnoteReference"/>
        </w:rPr>
        <w:footnoteRef/>
      </w:r>
      <w:r>
        <w:t xml:space="preserve"> </w:t>
      </w:r>
      <w:r>
        <w:t xml:space="preserve">CEDH,</w:t>
      </w:r>
      <w:r>
        <w:t xml:space="preserve"> </w:t>
      </w:r>
      <w:r>
        <w:rPr>
          <w:i/>
          <w:iCs/>
        </w:rPr>
        <w:t xml:space="preserve">Béláné Nagy c. Hongrie</w:t>
      </w:r>
      <w:r>
        <w:t xml:space="preserve">, Grande Chambre, requête n° 53080/13, arrêt du 13 décembre 2016. Une pension versée pendant plusieurs années crée une expectative légitime, dont la suppression rétroactive constitue une violation de l’article 1 du protocole 1.</w:t>
      </w:r>
    </w:p>
  </w:footnote>
  <w:footnote w:id="355">
    <w:p>
      <w:pPr>
        <w:pStyle w:val="FootnoteText"/>
      </w:pPr>
      <w:r>
        <w:rPr>
          <w:rStyle w:val="FootnoteReference"/>
        </w:rPr>
        <w:footnoteRef/>
      </w:r>
      <w:r>
        <w:t xml:space="preserve"> </w:t>
      </w:r>
      <w:r>
        <w:t xml:space="preserve">CEDH,</w:t>
      </w:r>
      <w:r>
        <w:t xml:space="preserve"> </w:t>
      </w:r>
      <w:r>
        <w:rPr>
          <w:i/>
          <w:iCs/>
        </w:rPr>
        <w:t xml:space="preserve">Stec et autres c. Royaume-Uni</w:t>
      </w:r>
      <w:r>
        <w:t xml:space="preserve">, Grande Chambre, requêtes 65731/01 et 65900/01, arrêt du 12 avril 2006. Les différences de traitement fondées sur l’âge sont admises si elles poursuivent un but légitime et reposent sur une justification objective et raisonnable.</w:t>
      </w:r>
    </w:p>
  </w:footnote>
  <w:footnote w:id="356">
    <w:p>
      <w:pPr>
        <w:pStyle w:val="FootnoteText"/>
      </w:pPr>
      <w:r>
        <w:rPr>
          <w:rStyle w:val="FootnoteReference"/>
        </w:rPr>
        <w:footnoteRef/>
      </w:r>
      <w:r>
        <w:t xml:space="preserve"> </w:t>
      </w:r>
      <w:r>
        <w:t xml:space="preserve">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358">
    <w:p>
      <w:pPr>
        <w:pStyle w:val="FootnoteText"/>
      </w:pPr>
      <w:r>
        <w:rPr>
          <w:rStyle w:val="FootnoteReference"/>
        </w:rPr>
        <w:footnoteRef/>
      </w:r>
      <w:r>
        <w:t xml:space="preserve"> </w:t>
      </w:r>
      <w:r>
        <w:t xml:space="preserve">Pensionsmyndigheten,</w:t>
      </w:r>
      <w:r>
        <w:t xml:space="preserve"> </w:t>
      </w:r>
      <w:r>
        <w:rPr>
          <w:i/>
          <w:iCs/>
        </w:rPr>
        <w:t xml:space="preserve">Pensionsöverenskommelsen 1994</w:t>
      </w:r>
      <w:r>
        <w:t xml:space="preserve">, archives. Vote de principe au Riksdag le 8 juin 1994. Cinq formations signataires : Sociaux-démocrates, Modérés, Parti du Centre, Libéraux, Démocrates-chrétiens - soit ~85 % du Parlement. Modifications ultérieures soumises à un</w:t>
      </w:r>
      <w:r>
        <w:t xml:space="preserve"> </w:t>
      </w:r>
      <w:r>
        <w:rPr>
          <w:i/>
          <w:iCs/>
        </w:rPr>
        <w:t xml:space="preserve">Pensionsgruppen</w:t>
      </w:r>
      <w:r>
        <w:t xml:space="preserve"> </w:t>
      </w:r>
      <w:r>
        <w:t xml:space="preserve">garant du consensus.</w:t>
      </w:r>
    </w:p>
  </w:footnote>
  <w:footnote w:id="359">
    <w:p>
      <w:pPr>
        <w:pStyle w:val="FootnoteText"/>
      </w:pPr>
      <w:r>
        <w:rPr>
          <w:rStyle w:val="FootnoteReference"/>
        </w:rPr>
        <w:footnoteRef/>
      </w:r>
      <w:r>
        <w:t xml:space="preserve"> </w:t>
      </w:r>
      <w:r>
        <w:t xml:space="preserve">Adair Turner, John Hills, Jeannie Drake,</w:t>
      </w:r>
      <w:r>
        <w:t xml:space="preserve"> </w:t>
      </w:r>
      <w:r>
        <w:rPr>
          <w:i/>
          <w:iCs/>
        </w:rPr>
        <w:t xml:space="preserve">Pensions: Challenges and Choices</w:t>
      </w:r>
      <w:r>
        <w:t xml:space="preserve"> </w:t>
      </w:r>
      <w:r>
        <w:t xml:space="preserve">(octobre 2004),</w:t>
      </w:r>
      <w:r>
        <w:t xml:space="preserve"> </w:t>
      </w:r>
      <w:r>
        <w:rPr>
          <w:i/>
          <w:iCs/>
        </w:rPr>
        <w:t xml:space="preserve">A New Pension Settlement for the Twenty-First Century</w:t>
      </w:r>
      <w:r>
        <w:t xml:space="preserve"> </w:t>
      </w:r>
      <w:r>
        <w:t xml:space="preserve">(novembre 2005),</w:t>
      </w:r>
      <w:r>
        <w:t xml:space="preserve"> </w:t>
      </w:r>
      <w:r>
        <w:rPr>
          <w:i/>
          <w:iCs/>
        </w:rPr>
        <w:t xml:space="preserve">Implementing an Integrated Package of Pension Reforms</w:t>
      </w:r>
      <w:r>
        <w:t xml:space="preserve"> </w:t>
      </w:r>
      <w:r>
        <w:t xml:space="preserve">(avril 2006).</w:t>
      </w:r>
      <w:r>
        <w:t xml:space="preserve"> </w:t>
      </w:r>
      <w:r>
        <w:rPr>
          <w:i/>
          <w:iCs/>
        </w:rPr>
        <w:t xml:space="preserve">Pensions Act 2008</w:t>
      </w:r>
      <w:r>
        <w:t xml:space="preserve"> </w:t>
      </w:r>
      <w:r>
        <w:t xml:space="preserve">voté avec soutien des trois grandes formations.</w:t>
      </w:r>
    </w:p>
  </w:footnote>
  <w:footnote w:id="360">
    <w:p>
      <w:pPr>
        <w:pStyle w:val="FootnoteText"/>
      </w:pPr>
      <w:r>
        <w:rPr>
          <w:rStyle w:val="FootnoteReference"/>
        </w:rPr>
        <w:footnoteRef/>
      </w:r>
      <w:r>
        <w:t xml:space="preserve"> </w:t>
      </w:r>
      <w:r>
        <w:t xml:space="preserve">Pensionsmyndigheten,</w:t>
      </w:r>
      <w:r>
        <w:t xml:space="preserve"> </w:t>
      </w:r>
      <w:r>
        <w:rPr>
          <w:i/>
          <w:iCs/>
        </w:rPr>
        <w:t xml:space="preserve">Orange Report 2024: Annual Report of the Swedish Pension System</w:t>
      </w:r>
      <w:r>
        <w:t xml:space="preserve">, 2025. Cotisation retraite totale Suède stabilisée à 18,5 % depuis 1999 sans modification du principe central. Le</w:t>
      </w:r>
      <w:r>
        <w:t xml:space="preserve"> </w:t>
      </w:r>
      <w:r>
        <w:rPr>
          <w:i/>
          <w:iCs/>
        </w:rPr>
        <w:t xml:space="preserve">Pensionsgruppen</w:t>
      </w:r>
      <w:r>
        <w:t xml:space="preserve"> </w:t>
      </w:r>
      <w:r>
        <w:t xml:space="preserve">parlementaire continue de se réunir et de valider à l’unanimité les ajustements paramétriques.</w:t>
      </w:r>
    </w:p>
  </w:footnote>
  <w:footnote w:id="361">
    <w:p>
      <w:pPr>
        <w:pStyle w:val="FootnoteText"/>
      </w:pPr>
      <w:r>
        <w:rPr>
          <w:rStyle w:val="FootnoteReference"/>
        </w:rPr>
        <w:footnoteRef/>
      </w:r>
      <w:r>
        <w:t xml:space="preserve"> </w:t>
      </w:r>
      <w:r>
        <w:t xml:space="preserve">De Nederlandsche Bank,</w:t>
      </w:r>
      <w:r>
        <w:t xml:space="preserve"> </w:t>
      </w:r>
      <w:r>
        <w:rPr>
          <w:i/>
          <w:iCs/>
        </w:rPr>
        <w:t xml:space="preserve">Annual Report 2024</w:t>
      </w:r>
      <w:r>
        <w:t xml:space="preserve">, 2025 ;</w:t>
      </w:r>
      <w:r>
        <w:t xml:space="preserve"> </w:t>
      </w:r>
      <w:r>
        <w:rPr>
          <w:i/>
          <w:iCs/>
        </w:rPr>
        <w:t xml:space="preserve">Wet toekomst pensioenen</w:t>
      </w:r>
      <w:r>
        <w:t xml:space="preserve"> </w:t>
      </w:r>
      <w:r>
        <w:t xml:space="preserve">adoptée définitivement par la</w:t>
      </w:r>
      <w:r>
        <w:t xml:space="preserve"> </w:t>
      </w:r>
      <w:r>
        <w:rPr>
          <w:i/>
          <w:iCs/>
        </w:rPr>
        <w:t xml:space="preserve">Eerste Kamer</w:t>
      </w:r>
      <w:r>
        <w:t xml:space="preserve"> </w:t>
      </w:r>
      <w:r>
        <w:t xml:space="preserve">le 30 mai 2023 (46 voix contre 27), entrée en vigueur le 1ᵉʳ juillet 2023, deadline de bascule des fonds professionnels au 1ᵉʳ janvier 2028.</w:t>
      </w:r>
    </w:p>
  </w:footnote>
  <w:footnote w:id="363">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 John Edwards,</w:t>
      </w:r>
      <w:r>
        <w:t xml:space="preserve"> </w:t>
      </w:r>
      <w:r>
        <w:rPr>
          <w:i/>
          <w:iCs/>
        </w:rPr>
        <w:t xml:space="preserve">Keating: The Inside Story</w:t>
      </w:r>
      <w:r>
        <w:t xml:space="preserve">, Viking, 1996.</w:t>
      </w:r>
      <w:r>
        <w:t xml:space="preserve"> </w:t>
      </w:r>
      <w:r>
        <w:rPr>
          <w:i/>
          <w:iCs/>
        </w:rPr>
        <w:t xml:space="preserve">Prices and Incomes Accord Mark II</w:t>
      </w:r>
      <w:r>
        <w:t xml:space="preserve"> </w:t>
      </w:r>
      <w:r>
        <w:t xml:space="preserve">signé en septembre 1985 entre le gouvernement Hawke et l’ACTU (Bill Kelty, secrétaire général).</w:t>
      </w:r>
    </w:p>
  </w:footnote>
  <w:footnote w:id="364">
    <w:p>
      <w:pPr>
        <w:pStyle w:val="FootnoteText"/>
      </w:pPr>
      <w:r>
        <w:rPr>
          <w:rStyle w:val="FootnoteReference"/>
        </w:rPr>
        <w:footnoteRef/>
      </w:r>
      <w:r>
        <w:t xml:space="preserve"> </w:t>
      </w:r>
      <w:r>
        <w:t xml:space="preserve">Office of the Superintendent of Financial Institutions,</w:t>
      </w:r>
      <w:r>
        <w:t xml:space="preserve"> </w:t>
      </w:r>
      <w:r>
        <w:rPr>
          <w:i/>
          <w:iCs/>
        </w:rPr>
        <w:t xml:space="preserve">Actuarial Report on the Canada Pension Plan</w:t>
      </w:r>
      <w:r>
        <w:t xml:space="preserve">, 2024. Accord fédéral-provinces ratifié en 1996,</w:t>
      </w:r>
      <w:r>
        <w:t xml:space="preserve"> </w:t>
      </w:r>
      <w:r>
        <w:rPr>
          <w:i/>
          <w:iCs/>
        </w:rPr>
        <w:t xml:space="preserve">Canada Pension Plan Investment Board Act</w:t>
      </w:r>
      <w:r>
        <w:t xml:space="preserve"> </w:t>
      </w:r>
      <w:r>
        <w:t xml:space="preserve">adoptée en décembre 1997. Taux paritaire combiné porté de 5,6 % en 1996 à 9,9 % en 2003 par paliers paramétriques.</w:t>
      </w:r>
    </w:p>
  </w:footnote>
  <w:footnote w:id="365">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Coût budgétaire direct du</w:t>
      </w:r>
      <w:r>
        <w:t xml:space="preserve"> </w:t>
      </w:r>
      <w:r>
        <w:rPr>
          <w:i/>
          <w:iCs/>
        </w:rPr>
        <w:t xml:space="preserve">Superannuation Guarantee</w:t>
      </w:r>
      <w:r>
        <w:t xml:space="preserve"> </w:t>
      </w:r>
      <w:r>
        <w:t xml:space="preserve">pour le Commonwealth australien depuis 1992 : ~0,1 % du PIB, lié aux</w:t>
      </w:r>
      <w:r>
        <w:t xml:space="preserve"> </w:t>
      </w:r>
      <w:r>
        <w:rPr>
          <w:i/>
          <w:iCs/>
        </w:rPr>
        <w:t xml:space="preserve">concessional contributions</w:t>
      </w:r>
      <w:r>
        <w:t xml:space="preserve">. Le mécanisme repose intégralement sur la cotisation patronale, absorbée via la modération salariale négociée dans l’Accord Hawke-Kelty Mark II de 1985.</w:t>
      </w:r>
    </w:p>
  </w:footnote>
  <w:footnote w:id="367">
    <w:p>
      <w:pPr>
        <w:pStyle w:val="FootnoteText"/>
      </w:pPr>
      <w:r>
        <w:rPr>
          <w:rStyle w:val="FootnoteReference"/>
        </w:rPr>
        <w:footnoteRef/>
      </w:r>
      <w:r>
        <w:t xml:space="preserve"> </w:t>
      </w:r>
      <w:r>
        <w:t xml:space="preserve">Congreso Nacional de Chile,</w:t>
      </w:r>
      <w:r>
        <w:t xml:space="preserve"> </w:t>
      </w:r>
      <w:r>
        <w:rPr>
          <w:i/>
          <w:iCs/>
        </w:rPr>
        <w:t xml:space="preserve">Resultado votación en sala</w:t>
      </w:r>
      <w:r>
        <w:t xml:space="preserve"> </w:t>
      </w:r>
      <w:r>
        <w:rPr>
          <w:i/>
          <w:iCs/>
        </w:rPr>
        <w:t xml:space="preserve">- Proyecto de Ley de Reforma Previsional</w:t>
      </w:r>
      <w:r>
        <w:t xml:space="preserve">, 29 janvier 2025 ; Loi n° 21735,</w:t>
      </w:r>
      <w:r>
        <w:t xml:space="preserve"> </w:t>
      </w:r>
      <w:r>
        <w:rPr>
          <w:i/>
          <w:iCs/>
        </w:rPr>
        <w:t xml:space="preserve">Diario Oficial</w:t>
      </w:r>
      <w:r>
        <w:t xml:space="preserve">, mars 2025. Décomposition de la cotisation patronale de 8,5 % introduite progressivement à horizon 2035 : 4,5 % vers compte individuel AFP, 1,5 % FAPP prêt remboursable, 2,5 % FAPP solidaire intergénérationnel.</w:t>
      </w:r>
    </w:p>
  </w:footnote>
  <w:footnote w:id="368">
    <w:p>
      <w:pPr>
        <w:pStyle w:val="FootnoteText"/>
      </w:pPr>
      <w:r>
        <w:rPr>
          <w:rStyle w:val="FootnoteReference"/>
        </w:rPr>
        <w:footnoteRef/>
      </w:r>
      <w:r>
        <w:t xml:space="preserve"> </w:t>
      </w:r>
      <w:r>
        <w:t xml:space="preserve">Caisse de dépôt et placement du Québec,</w:t>
      </w:r>
      <w:r>
        <w:t xml:space="preserve"> </w:t>
      </w:r>
      <w:r>
        <w:rPr>
          <w:i/>
          <w:iCs/>
        </w:rPr>
        <w:t xml:space="preserve">Rapport annuel 2024</w:t>
      </w:r>
      <w:r>
        <w:t xml:space="preserve">, 2025 (https://www.cdpq.com). Encours net : 473 Md CAD$ au 31 décembre 2024. AGIRC-ARRCO,</w:t>
      </w:r>
      <w:r>
        <w:t xml:space="preserve"> </w:t>
      </w:r>
      <w:r>
        <w:rPr>
          <w:i/>
          <w:iCs/>
        </w:rPr>
        <w:t xml:space="preserve">Rapport annuel 2024</w:t>
      </w:r>
      <w:r>
        <w:t xml:space="preserve">, 2025 : 27 millions de cotisants actifs, 14 millions de retraités. Modèle CDPQ : direction des investissements indépendante, conseil mixte, mandat public clair.</w:t>
      </w:r>
    </w:p>
  </w:footnote>
  <w:footnote w:id="369">
    <w:p>
      <w:pPr>
        <w:pStyle w:val="FootnoteText"/>
      </w:pPr>
      <w:r>
        <w:rPr>
          <w:rStyle w:val="FootnoteReference"/>
        </w:rPr>
        <w:footnoteRef/>
      </w:r>
      <w:r>
        <w:t xml:space="preserve"> </w:t>
      </w:r>
      <w:r>
        <w:t xml:space="preserve">ABP,</w:t>
      </w:r>
      <w:r>
        <w:t xml:space="preserve"> </w:t>
      </w:r>
      <w:r>
        <w:rPr>
          <w:i/>
          <w:iCs/>
        </w:rPr>
        <w:t xml:space="preserve">Annual Report 2024</w:t>
      </w:r>
      <w:r>
        <w:t xml:space="preserve">, 2025 : ~540 Md€ d’encours, gouvernance paritaire, fonds professionnel néerlandais le plus important. AGIRC-ARRCO,</w:t>
      </w:r>
      <w:r>
        <w:t xml:space="preserve"> </w:t>
      </w:r>
      <w:r>
        <w:rPr>
          <w:i/>
          <w:iCs/>
        </w:rPr>
        <w:t xml:space="preserve">Rapport annuel 2024</w:t>
      </w:r>
      <w:r>
        <w:t xml:space="preserve">, 2025 : architecture paritaire stabilisée depuis 1947 (AGIRC) et 1961 (ARRCO), fusionnés en 2019, sans rupture institutionnelle malgré les alternances politiques.</w:t>
      </w:r>
    </w:p>
  </w:footnote>
  <w:footnote w:id="370">
    <w:p>
      <w:pPr>
        <w:pStyle w:val="FootnoteText"/>
      </w:pPr>
      <w:r>
        <w:rPr>
          <w:rStyle w:val="FootnoteReference"/>
        </w:rPr>
        <w:footnoteRef/>
      </w:r>
      <w:r>
        <w:t xml:space="preserve"> </w:t>
      </w:r>
      <w:r>
        <w:t xml:space="preserve">The Pensions Regulator,</w:t>
      </w:r>
      <w:r>
        <w:t xml:space="preserve"> </w:t>
      </w:r>
      <w:r>
        <w:rPr>
          <w:i/>
          <w:iCs/>
        </w:rPr>
        <w:t xml:space="preserve">Annual Report and Accounts 2024-25</w:t>
      </w:r>
      <w:r>
        <w:t xml:space="preserve">, 2025. Budget annuel ~100 M£, financé en partie par les cotisations des fonds régulés. Modèle d’AAI à compétence unique créé par le</w:t>
      </w:r>
      <w:r>
        <w:t xml:space="preserve"> </w:t>
      </w:r>
      <w:r>
        <w:rPr>
          <w:i/>
          <w:iCs/>
        </w:rPr>
        <w:t xml:space="preserve">Pensions Act 2004</w:t>
      </w:r>
      <w:r>
        <w:t xml:space="preserve">. APRA pour l’Australie, DNB pour les Pays-Bas : modèles équivalents.</w:t>
      </w:r>
    </w:p>
  </w:footnote>
  <w:footnote w:id="371">
    <w:p>
      <w:pPr>
        <w:pStyle w:val="FootnoteText"/>
      </w:pPr>
      <w:r>
        <w:rPr>
          <w:rStyle w:val="FootnoteReference"/>
        </w:rPr>
        <w:footnoteRef/>
      </w:r>
      <w:r>
        <w:t xml:space="preserve"> </w:t>
      </w:r>
      <w:r>
        <w:t xml:space="preserve">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72">
    <w:p>
      <w:pPr>
        <w:pStyle w:val="FootnoteText"/>
      </w:pPr>
      <w:r>
        <w:rPr>
          <w:rStyle w:val="FootnoteReference"/>
        </w:rPr>
        <w:footnoteRef/>
      </w:r>
      <w:r>
        <w:t xml:space="preserve"> </w:t>
      </w:r>
      <w:r>
        <w:t xml:space="preserve">APRA,</w:t>
      </w:r>
      <w:r>
        <w:t xml:space="preserve"> </w:t>
      </w:r>
      <w:r>
        <w:rPr>
          <w:i/>
          <w:iCs/>
        </w:rPr>
        <w:t xml:space="preserve">2025 Annual Superannuation Performance Test</w:t>
      </w:r>
      <w:r>
        <w:t xml:space="preserve"> </w:t>
      </w:r>
      <w:r>
        <w:rPr>
          <w:i/>
          <w:iCs/>
        </w:rPr>
        <w:t xml:space="preserve">- MySuper Products</w:t>
      </w:r>
      <w:r>
        <w:t xml:space="preserve">, 2025. Le test compare le rendement net de chaque produit à un benchmark composite sur 8 ans. Premier test 2021 : 52 produits évalués, plusieurs en échec. Test 2025 : 0 échec sur 52 produits.</w:t>
      </w:r>
    </w:p>
  </w:footnote>
  <w:footnote w:id="373">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mars 2025 ; Thinking Ahead Institute,</w:t>
      </w:r>
      <w:r>
        <w:t xml:space="preserve"> </w:t>
      </w:r>
      <w:r>
        <w:rPr>
          <w:i/>
          <w:iCs/>
        </w:rPr>
        <w:t xml:space="preserve">Global Pension Assets Study 2025</w:t>
      </w:r>
      <w:r>
        <w:t xml:space="preserve">, Willis Towers Watson, 2025. Ordres de grandeur d’allocation domestique : CDPQ ~25 % Québec, CPPIB ~25 % Canada, ABP exposition domestique limitée mais ciblée (notamment 5 Md€ logements locatifs sociaux néerlandais sur 2024-2030).</w:t>
      </w:r>
    </w:p>
  </w:footnote>
  <w:footnote w:id="374">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(acquisition 30 % BT Holdco/Bombardier, novembre 2015). ABP/APG,</w:t>
      </w:r>
      <w:r>
        <w:t xml:space="preserve"> </w:t>
      </w:r>
      <w:r>
        <w:rPr>
          <w:i/>
          <w:iCs/>
        </w:rPr>
        <w:t xml:space="preserve">Plan d’investissements à impact 2024-2030</w:t>
      </w:r>
      <w:r>
        <w:t xml:space="preserve">, communiqué 2024. USS,</w:t>
      </w:r>
      <w:r>
        <w:t xml:space="preserve"> </w:t>
      </w:r>
      <w:r>
        <w:rPr>
          <w:i/>
          <w:iCs/>
        </w:rPr>
        <w:t xml:space="preserve">USS invests in Heathrow Airport</w:t>
      </w:r>
      <w:r>
        <w:t xml:space="preserve">, communications 2013/2024 (acquisition 8,65 % FGP Topco, octobre 2013, vente complète décembre 2024).</w:t>
      </w:r>
    </w:p>
  </w:footnote>
  <w:footnote w:id="375">
    <w:p>
      <w:pPr>
        <w:pStyle w:val="FootnoteText"/>
      </w:pPr>
      <w:r>
        <w:rPr>
          <w:rStyle w:val="FootnoteReference"/>
        </w:rPr>
        <w:footnoteRef/>
      </w:r>
      <w:r>
        <w:t xml:space="preserve"> </w:t>
      </w:r>
      <w:r>
        <w:t xml:space="preserve">CPP Investments,</w:t>
      </w:r>
      <w:r>
        <w:t xml:space="preserve"> </w:t>
      </w:r>
      <w:r>
        <w:rPr>
          <w:i/>
          <w:iCs/>
        </w:rPr>
        <w:t xml:space="preserve">Annual Report Fiscal 2025</w:t>
      </w:r>
      <w:r>
        <w:t xml:space="preserve">, 2025 (https://www.cppinvestments.com). Actifs nets sous gestion : 714,4 Md CAD au 31 mars 2025, 780,7 Md CAD au 31 décembre 2025. Publication systématique des frais, votes ESG, rapports trimestriels.</w:t>
      </w:r>
    </w:p>
  </w:footnote>
  <w:footnote w:id="376">
    <w:p>
      <w:pPr>
        <w:pStyle w:val="FootnoteText"/>
      </w:pPr>
      <w:r>
        <w:rPr>
          <w:rStyle w:val="FootnoteReference"/>
        </w:rPr>
        <w:footnoteRef/>
      </w:r>
      <w:r>
        <w:t xml:space="preserve"> </w:t>
      </w:r>
      <w:r>
        <w:t xml:space="preserve">Cour des comptes,</w:t>
      </w:r>
      <w:r>
        <w:t xml:space="preserve"> </w:t>
      </w:r>
      <w:r>
        <w:rPr>
          <w:i/>
          <w:iCs/>
        </w:rPr>
        <w:t xml:space="preserve">Le système de retraite par capitalisation en France</w:t>
      </w:r>
      <w:r>
        <w:t xml:space="preserve">,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377">
    <w:p>
      <w:pPr>
        <w:pStyle w:val="FootnoteText"/>
      </w:pPr>
      <w:r>
        <w:rPr>
          <w:rStyle w:val="FootnoteReference"/>
        </w:rPr>
        <w:footnoteRef/>
      </w:r>
      <w:r>
        <w:t xml:space="preserve"> </w:t>
      </w:r>
      <w:r>
        <w:t xml:space="preserve">Trois rapports successifs : Adair Turner, John Hills, Jeannie Drake,</w:t>
      </w:r>
      <w:r>
        <w:t xml:space="preserve"> </w:t>
      </w:r>
      <w:r>
        <w:rPr>
          <w:i/>
          <w:iCs/>
        </w:rPr>
        <w:t xml:space="preserve">Pensions: Challenges and Choices</w:t>
      </w:r>
      <w:r>
        <w:t xml:space="preserve"> </w:t>
      </w:r>
      <w:r>
        <w:t xml:space="preserve">(octobre 2004) ;</w:t>
      </w:r>
      <w:r>
        <w:t xml:space="preserve"> </w:t>
      </w:r>
      <w:r>
        <w:rPr>
          <w:i/>
          <w:iCs/>
        </w:rPr>
        <w:t xml:space="preserve">A New Pension Settlement for the Twenty-First Century</w:t>
      </w:r>
      <w:r>
        <w:t xml:space="preserve"> </w:t>
      </w:r>
      <w:r>
        <w:t xml:space="preserve">(novembre 2005) ;</w:t>
      </w:r>
      <w:r>
        <w:t xml:space="preserve"> </w:t>
      </w:r>
      <w:r>
        <w:rPr>
          <w:i/>
          <w:iCs/>
        </w:rPr>
        <w:t xml:space="preserve">Implementing an Integrated Package of Pension Reforms</w:t>
      </w:r>
      <w:r>
        <w:t xml:space="preserve"> </w:t>
      </w:r>
      <w:r>
        <w:t xml:space="preserve">(avril 2006). Ratifiés transpartisans avant le</w:t>
      </w:r>
      <w:r>
        <w:t xml:space="preserve"> </w:t>
      </w:r>
      <w:r>
        <w:rPr>
          <w:i/>
          <w:iCs/>
        </w:rPr>
        <w:t xml:space="preserve">Pensions Act 2007</w:t>
      </w:r>
      <w:r>
        <w:t xml:space="preserve"> </w:t>
      </w:r>
      <w:r>
        <w:t xml:space="preserve">puis le</w:t>
      </w:r>
      <w:r>
        <w:t xml:space="preserve"> </w:t>
      </w:r>
      <w:r>
        <w:rPr>
          <w:i/>
          <w:iCs/>
        </w:rPr>
        <w:t xml:space="preserve">Pensions Act 2008</w:t>
      </w:r>
      <w:r>
        <w:t xml:space="preserve">.</w:t>
      </w:r>
    </w:p>
  </w:footnote>
  <w:footnote w:id="378">
    <w:p>
      <w:pPr>
        <w:pStyle w:val="FootnoteText"/>
      </w:pPr>
      <w:r>
        <w:rPr>
          <w:rStyle w:val="FootnoteReference"/>
        </w:rPr>
        <w:footnoteRef/>
      </w:r>
      <w:r>
        <w:t xml:space="preserve"> </w:t>
      </w:r>
      <w:r>
        <w:t xml:space="preserve">SER (Sociaal-Economische Raad),</w:t>
      </w:r>
      <w:r>
        <w:t xml:space="preserve"> </w:t>
      </w:r>
      <w:r>
        <w:rPr>
          <w:i/>
          <w:iCs/>
        </w:rPr>
        <w:t xml:space="preserve">Naar een toekomstbestendig pensioenstelsel</w:t>
      </w:r>
      <w:r>
        <w:t xml:space="preserve">, avis publié le 5 juin 2019, suivi du</w:t>
      </w:r>
      <w:r>
        <w:t xml:space="preserve"> </w:t>
      </w:r>
      <w:r>
        <w:rPr>
          <w:i/>
          <w:iCs/>
        </w:rPr>
        <w:t xml:space="preserve">Pensioenakkoord</w:t>
      </w:r>
      <w:r>
        <w:t xml:space="preserve"> </w:t>
      </w:r>
      <w:r>
        <w:t xml:space="preserve">signé le même jour entre gouvernement Rutte III, organisations patronales (VNO-NCW, MKB-Nederland) et syndicats (FNV, CNV, MHP). Précédent comparable au modèle Hawke-Kelty australien sur l’articulation accord paritaire / loi.</w:t>
      </w:r>
    </w:p>
  </w:footnote>
  <w:footnote w:id="379">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 Institut Montaigne,</w:t>
      </w:r>
      <w:r>
        <w:t xml:space="preserve"> </w:t>
      </w:r>
      <w:r>
        <w:rPr>
          <w:i/>
          <w:iCs/>
        </w:rPr>
        <w:t xml:space="preserve">Retraites : pour une réforme qui dure</w:t>
      </w:r>
      <w:r>
        <w:t xml:space="preserve">, janvier 2025. Les deux études convergent sur la nécessité d’une campagne de pédagogie publique préalable.</w:t>
      </w:r>
    </w:p>
  </w:footnote>
  <w:footnote w:id="383">
    <w:p>
      <w:pPr>
        <w:pStyle w:val="FootnoteText"/>
      </w:pPr>
      <w:r>
        <w:rPr>
          <w:rStyle w:val="FootnoteReference"/>
        </w:rPr>
        <w:footnoteRef/>
      </w:r>
      <w:r>
        <w:t xml:space="preserve"> </w:t>
      </w:r>
      <w:r>
        <w:t xml:space="preserve">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389">
    <w:p>
      <w:pPr>
        <w:pStyle w:val="FootnoteText"/>
      </w:pPr>
      <w:r>
        <w:rPr>
          <w:rStyle w:val="FootnoteReference"/>
        </w:rPr>
        <w:footnoteRef/>
      </w:r>
      <w:r>
        <w:t xml:space="preserve"> </w:t>
      </w:r>
      <w:r>
        <w:t xml:space="preserve">Department for Work and Pensions,</w:t>
      </w:r>
      <w:r>
        <w:t xml:space="preserve"> </w:t>
      </w:r>
      <w:r>
        <w:rPr>
          <w:i/>
          <w:iCs/>
        </w:rPr>
        <w:t xml:space="preserve">Ten Years of Automatic Enrolment in Workplace Pensions</w:t>
      </w:r>
      <w:r>
        <w:t xml:space="preserve">, octobre 2022 ; DWP,</w:t>
      </w:r>
      <w:r>
        <w:t xml:space="preserve"> </w:t>
      </w:r>
      <w:r>
        <w:rPr>
          <w:i/>
          <w:iCs/>
        </w:rPr>
        <w:t xml:space="preserve">Workplace Pension Participation and Saving Trends 2008-2023</w:t>
      </w:r>
      <w:r>
        <w:t xml:space="preserve">, 2024. Coût annuel du</w:t>
      </w:r>
      <w:r>
        <w:t xml:space="preserve"> </w:t>
      </w:r>
      <w:r>
        <w:rPr>
          <w:i/>
          <w:iCs/>
        </w:rPr>
        <w:t xml:space="preserve">tax relief</w:t>
      </w:r>
      <w:r>
        <w:t xml:space="preserve"> </w:t>
      </w:r>
      <w:r>
        <w:t xml:space="preserve">sur les contributions à l’auto-enrolment estimé entre 1,1 et 1,7 Md£/an sur 2018-2023.</w:t>
      </w:r>
    </w:p>
  </w:footnote>
  <w:footnote w:id="392">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w:t>
      </w:r>
      <w:r>
        <w:t xml:space="preserve"> </w:t>
      </w:r>
      <w:r>
        <w:rPr>
          <w:i/>
          <w:iCs/>
        </w:rPr>
        <w:t xml:space="preserve">Funding ratio</w:t>
      </w:r>
      <w:r>
        <w:t xml:space="preserve"> </w:t>
      </w:r>
      <w:r>
        <w:t xml:space="preserve">minimum imposé : 105 %. Ratio médian observé : ~125 %. Pension Protection Fund (UK),</w:t>
      </w:r>
      <w:r>
        <w:t xml:space="preserve"> </w:t>
      </w:r>
      <w:r>
        <w:rPr>
          <w:i/>
          <w:iCs/>
        </w:rPr>
        <w:t xml:space="preserve">Annual Report 2024</w:t>
      </w:r>
      <w:r>
        <w:t xml:space="preserve">, 2024 : couverture 8,8 millions de personnes dans 5 000 fonds, garantie 100 % retraités / 90 % actifs.</w:t>
      </w:r>
    </w:p>
  </w:footnote>
  <w:footnote w:id="396">
    <w:p>
      <w:pPr>
        <w:pStyle w:val="FootnoteText"/>
      </w:pPr>
      <w:r>
        <w:rPr>
          <w:rStyle w:val="FootnoteReference"/>
        </w:rPr>
        <w:footnoteRef/>
      </w:r>
      <w:r>
        <w:t xml:space="preserve"> </w:t>
      </w:r>
      <w:r>
        <w:t xml:space="preserve">Estimation OVLA sur la base de la masse de pensions versées projetée par le COR à environ 350 Md€/an en 2043 (scénario central,</w:t>
      </w:r>
      <w:r>
        <w:t xml:space="preserve"> </w:t>
      </w:r>
      <w:r>
        <w:rPr>
          <w:i/>
          <w:iCs/>
        </w:rPr>
        <w:t xml:space="preserve">Rapport annuel 2025</w:t>
      </w:r>
      <w:r>
        <w:t xml:space="preserve">). Une sous-indexation de 1 % en deçà de l’inflation représente, à cette assiette, ~3,5 Md€/an d’économie brute, dont une part redirigée vers le FFC après absorption de la dynamique propre du système.</w:t>
      </w:r>
    </w:p>
  </w:footnote>
  <w:footnote w:id="399">
    <w:p>
      <w:pPr>
        <w:pStyle w:val="FootnoteText"/>
      </w:pPr>
      <w:r>
        <w:rPr>
          <w:rStyle w:val="FootnoteReference"/>
        </w:rPr>
        <w:footnoteRef/>
      </w:r>
      <w:r>
        <w:t xml:space="preserve"> </w:t>
      </w:r>
      <w:r>
        <w:t xml:space="preserve">Modélisation Python</w:t>
      </w:r>
      <w:r>
        <w:t xml:space="preserve"> </w:t>
      </w:r>
      <w:r>
        <w:rPr>
          <w:rStyle w:val="VerbatimChar"/>
        </w:rPr>
        <w:t xml:space="preserve">ch5_modelisation.py</w:t>
      </w:r>
      <w:r>
        <w:t xml:space="preserve">, mai 2026, scénario D -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402">
    <w:p>
      <w:pPr>
        <w:pStyle w:val="FootnoteText"/>
      </w:pPr>
      <w:r>
        <w:rPr>
          <w:rStyle w:val="FootnoteReference"/>
        </w:rPr>
        <w:footnoteRef/>
      </w:r>
      <w:r>
        <w:t xml:space="preserve"> </w:t>
      </w:r>
      <w:r>
        <w:t xml:space="preserve">Sur la modélisation du « double paiement » dans les transitions répartition-capitalisation, voir Feldstein M., « Transition to a fully funded pension system: Five economic issues », NBER Working Paper 6149, 1997 ; OCDE,</w:t>
      </w:r>
      <w:r>
        <w:t xml:space="preserve"> </w:t>
      </w:r>
      <w:r>
        <w:rPr>
          <w:i/>
          <w:iCs/>
        </w:rPr>
        <w:t xml:space="preserve">Reforms for an Ageing Society</w:t>
      </w:r>
      <w:r>
        <w:t xml:space="preserve">, 2000 ; pour l’application française, Bichot J.,</w:t>
      </w:r>
      <w:r>
        <w:t xml:space="preserve"> </w:t>
      </w:r>
      <w:r>
        <w:rPr>
          <w:i/>
          <w:iCs/>
        </w:rPr>
        <w:t xml:space="preserve">Retraites : le dictionnaire de la réforme</w:t>
      </w:r>
      <w:r>
        <w:t xml:space="preserve">, L’Harmattan, 2010.</w:t>
      </w:r>
    </w:p>
  </w:footnote>
  <w:footnote w:id="403">
    <w:p>
      <w:pPr>
        <w:pStyle w:val="FootnoteText"/>
      </w:pPr>
      <w:r>
        <w:rPr>
          <w:rStyle w:val="FootnoteReference"/>
        </w:rPr>
        <w:footnoteRef/>
      </w:r>
      <w:r>
        <w:t xml:space="preserve"> </w:t>
      </w:r>
      <w:r>
        <w:t xml:space="preserve">AP4,</w:t>
      </w:r>
      <w:r>
        <w:t xml:space="preserve"> </w:t>
      </w:r>
      <w:r>
        <w:rPr>
          <w:i/>
          <w:iCs/>
        </w:rPr>
        <w:t xml:space="preserve">Our history</w:t>
      </w:r>
      <w:r>
        <w:t xml:space="preserve">,</w:t>
      </w:r>
      <w:r>
        <w:t xml:space="preserve"> </w:t>
      </w:r>
      <w:hyperlink r:id="rId404">
        <w:r>
          <w:rPr>
            <w:rStyle w:val="Hyperlink"/>
          </w:rPr>
          <w:t xml:space="preserve">https://www.ap4.se/en/about-ap4/our-history/</w:t>
        </w:r>
      </w:hyperlink>
      <w:r>
        <w:t xml:space="preserve"> </w:t>
      </w:r>
      <w:r>
        <w:t xml:space="preserve">; Heritage Foundation,</w:t>
      </w:r>
      <w:r>
        <w:t xml:space="preserve"> </w:t>
      </w:r>
      <w:r>
        <w:rPr>
          <w:i/>
          <w:iCs/>
        </w:rPr>
        <w:t xml:space="preserve">Pension Reform in Sweden: Lessons for American Policymakers</w:t>
      </w:r>
      <w:r>
        <w:t xml:space="preserve">, 2007 (</w:t>
      </w:r>
      <w:hyperlink r:id="rId405">
        <w:r>
          <w:rPr>
            <w:rStyle w:val="Hyperlink"/>
          </w:rPr>
          <w:t xml:space="preserve">https://www.heritage.org/social-security/report/pension-reform-sweden-lessons-american-policymakers</w:t>
        </w:r>
      </w:hyperlink>
      <w:r>
        <w:t xml:space="preserve">). Les</w:t>
      </w:r>
      <w:r>
        <w:t xml:space="preserve"> </w:t>
      </w:r>
      <w:r>
        <w:rPr>
          <w:i/>
          <w:iCs/>
        </w:rPr>
        <w:t xml:space="preserve">Allmänna Pensionsfonden</w:t>
      </w:r>
      <w:r>
        <w:t xml:space="preserve"> </w:t>
      </w:r>
      <w:r>
        <w:t xml:space="preserve">(AP) ont été institués en 1960, et leurs encours cumulés atteignaient environ 40 % du PIB suédois et l’équivalent de cinq années de prestations de retraite au moment de la mise en œuvre de la réforme NDC en 1999.</w:t>
      </w:r>
    </w:p>
  </w:footnote>
  <w:footnote w:id="406">
    <w:p>
      <w:pPr>
        <w:pStyle w:val="FootnoteText"/>
      </w:pPr>
      <w:r>
        <w:rPr>
          <w:rStyle w:val="FootnoteReference"/>
        </w:rPr>
        <w:footnoteRef/>
      </w:r>
      <w:r>
        <w:t xml:space="preserve"> </w:t>
      </w:r>
      <w:r>
        <w:t xml:space="preserve">AP1-AP4, communiqué conjoint, mars 2025 : « The AP Funds strengthen the income pension system by SEK 182 billion » (</w:t>
      </w:r>
      <w:hyperlink r:id="rId407">
        <w:r>
          <w:rPr>
            <w:rStyle w:val="Hyperlink"/>
          </w:rPr>
          <w:t xml:space="preserve">https://ap2.se/en/the-ap-funds-strengthen-the-income-pension-system-by-sek-182-billion/</w:t>
        </w:r>
      </w:hyperlink>
      <w:r>
        <w:t xml:space="preserve">) ; European Pensions,</w:t>
      </w:r>
      <w:r>
        <w:t xml:space="preserve"> </w:t>
      </w:r>
      <w:r>
        <w:rPr>
          <w:i/>
          <w:iCs/>
        </w:rPr>
        <w:t xml:space="preserve">Sweden’s AP Funds achieve combined result of SEK 182bn in 2024</w:t>
      </w:r>
      <w:r>
        <w:t xml:space="preserve">, 2025 (</w:t>
      </w:r>
      <w:hyperlink r:id="rId408">
        <w:r>
          <w:rPr>
            <w:rStyle w:val="Hyperlink"/>
          </w:rPr>
          <w:t xml:space="preserve">https://www.europeanpensions.net/ep/Swedens-AP-Funds-achieve-combined-result-of-SEK-182bn-in-2024.php</w:t>
        </w:r>
      </w:hyperlink>
      <w:r>
        <w:t xml:space="preserve">). Encours cumulé AP1-AP4 fin 2024 : 2 053 Md SEK ≈ 182 Md €. Rendement 2024 : 9,6 %. Rendement annualisé sur 10 ans : 7,6 %. Frais de gestion moyens : 0,07 % des AUM.</w:t>
      </w:r>
    </w:p>
  </w:footnote>
  <w:footnote w:id="409">
    <w:p>
      <w:pPr>
        <w:pStyle w:val="FootnoteText"/>
      </w:pPr>
      <w:r>
        <w:rPr>
          <w:rStyle w:val="FootnoteReference"/>
        </w:rPr>
        <w:footnoteRef/>
      </w:r>
      <w:r>
        <w:t xml:space="preserve"> </w:t>
      </w:r>
      <w:r>
        <w:t xml:space="preserve">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410">
    <w:p>
      <w:pPr>
        <w:pStyle w:val="FootnoteText"/>
      </w:pPr>
      <w:r>
        <w:rPr>
          <w:rStyle w:val="FootnoteReference"/>
        </w:rPr>
        <w:footnoteRef/>
      </w:r>
      <w:r>
        <w:t xml:space="preserve"> </w:t>
      </w:r>
      <w:r>
        <w:t xml:space="preserve">Loi n° 2010-1330 du 9 novembre 2010 portant réforme des retraites ; loi n° 2010-1594 du 20 décembre 2010 de financement de la sécurité sociale pour 2011, articles 9 et 26 (versements du FRR à la CADES de 2,1 Md€/an jusqu’en 2024, puis 1,45 Md€/an de 2025 à 2033). Versements cumulés du FRR à la CADES entre 2011 et 2024 : environ 30 Md€ (FRR, rapports annuels).</w:t>
      </w:r>
    </w:p>
  </w:footnote>
  <w:footnote w:id="411">
    <w:p>
      <w:pPr>
        <w:pStyle w:val="FootnoteText"/>
      </w:pPr>
      <w:r>
        <w:rPr>
          <w:rStyle w:val="FootnoteReference"/>
        </w:rPr>
        <w:footnoteRef/>
      </w:r>
      <w:r>
        <w:t xml:space="preserve"> </w:t>
      </w:r>
      <w:r>
        <w:t xml:space="preserve">Sénat, commission des affaires sociales,</w:t>
      </w:r>
      <w:r>
        <w:t xml:space="preserve"> </w:t>
      </w:r>
      <w:r>
        <w:rPr>
          <w:i/>
          <w:iCs/>
        </w:rPr>
        <w:t xml:space="preserve">Rapport sur l’application des lois de financement de la sécurité sociale 2021</w:t>
      </w:r>
      <w:r>
        <w:t xml:space="preserve">, simulation publiée dans le cadre des travaux préparatoires de la mission d’évaluation de la réforme des retraites. Sans la réaffectation vers la CADES instaurée en 2010, l’encours du FRR aurait dépassé 89 milliards d’euros fin 2024. Voir aussi Public Sénat,</w:t>
      </w:r>
      <w:r>
        <w:t xml:space="preserve"> </w:t>
      </w:r>
      <w:r>
        <w:rPr>
          <w:i/>
          <w:iCs/>
        </w:rPr>
        <w:t xml:space="preserve">Réforme des retraites : la droite sénatoriale veut réactiver le Fonds de réserve</w:t>
      </w:r>
      <w:r>
        <w:t xml:space="preserve">, 2023 (</w:t>
      </w:r>
      <w:hyperlink r:id="rId412">
        <w:r>
          <w:rPr>
            <w:rStyle w:val="Hyperlink"/>
          </w:rPr>
          <w:t xml:space="preserve">https://www.publicsenat.fr/actualites/politique/reforme-des-retraites-la-droite-senatoriale-envisage-de-ranimer-le-fonds-de</w:t>
        </w:r>
      </w:hyperlink>
      <w:r>
        <w:t xml:space="preserve">).</w:t>
      </w:r>
    </w:p>
  </w:footnote>
  <w:footnote w:id="413">
    <w:p>
      <w:pPr>
        <w:pStyle w:val="FootnoteText"/>
      </w:pPr>
      <w:r>
        <w:rPr>
          <w:rStyle w:val="FootnoteReference"/>
        </w:rPr>
        <w:footnoteRef/>
      </w:r>
      <w:r>
        <w:t xml:space="preserve"> </w:t>
      </w:r>
      <w:r>
        <w:t xml:space="preserve">AGIRC-ARRCO,</w:t>
      </w:r>
      <w:r>
        <w:t xml:space="preserve"> </w:t>
      </w:r>
      <w:r>
        <w:rPr>
          <w:i/>
          <w:iCs/>
        </w:rPr>
        <w:t xml:space="preserve">Résultats 2025</w:t>
      </w:r>
      <w:r>
        <w:t xml:space="preserve">, communiqué de la Commission paritaire, juin 2025 : réserves de plus de 91 milliards d’euros, résultat global d’exploitation de 14 Md€ en 2025 (</w:t>
      </w:r>
      <w:hyperlink r:id="rId414">
        <w:r>
          <w:rPr>
            <w:rStyle w:val="Hyperlink"/>
          </w:rPr>
          <w:t xml:space="preserve">https://www.espace-social.com/agirc-arrco-un-resultat-global-de-14-md-e-en-2025-et-des-reserves-de-plus-de-91-mds/</w:t>
        </w:r>
      </w:hyperlink>
      <w:r>
        <w:t xml:space="preserve">). FRR : 20,4 Md€ fin 2024. RAFP : 47,8 Md€ fin 2024. Total : 159,2 Md€, soit ~5,5 % du PIB français.</w:t>
      </w:r>
    </w:p>
  </w:footnote>
  <w:footnote w:id="415">
    <w:p>
      <w:pPr>
        <w:pStyle w:val="FootnoteText"/>
      </w:pPr>
      <w:r>
        <w:rPr>
          <w:rStyle w:val="FootnoteReference"/>
        </w:rPr>
        <w:footnoteRef/>
      </w:r>
      <w:r>
        <w:t xml:space="preserve"> </w:t>
      </w:r>
      <w:r>
        <w:t xml:space="preserve">Bertrand Martinot, Hugo Gravier, Antoine Muret,</w:t>
      </w:r>
      <w:r>
        <w:t xml:space="preserve"> </w:t>
      </w:r>
      <w:r>
        <w:rPr>
          <w:i/>
          <w:iCs/>
        </w:rPr>
        <w:t xml:space="preserve">Vers un système de retraite mixte répartition-capitalisation</w:t>
      </w:r>
      <w:r>
        <w:t xml:space="preserve">, Fondation pour l’innovation politique (Fondapol), novembre 2025 (</w:t>
      </w:r>
      <w:hyperlink r:id="rId416">
        <w:r>
          <w:rPr>
            <w:rStyle w:val="Hyperlink"/>
          </w:rPr>
          <w:t xml:space="preserve">https://www.fondapol.org/etude/vers-un-systeme-de-retraite-mixte-repartition-capitalisation/</w:t>
        </w:r>
      </w:hyperlink>
      <w:r>
        <w:t xml:space="preserve">). Trois scénarios de transition documentés, avec capital d’amorçage d’environ 100 Md€ (FRR + AGIRC-ARRCO), désindexation temporaire des pensions de 0,5 à 1 % sur dix ans, cotisation nouvelle optionnelle de 0,6 %, baisses de cotisations dès l’année 5. Voir aussi Cécile Marques,</w:t>
      </w:r>
      <w:r>
        <w:t xml:space="preserve"> </w:t>
      </w:r>
      <w:r>
        <w:rPr>
          <w:i/>
          <w:iCs/>
        </w:rPr>
        <w:t xml:space="preserve">Augmentons le Fonds de réserve pour les retraites</w:t>
      </w:r>
      <w:r>
        <w:t xml:space="preserve">, Institut économique Molinari, janvier 2025 (</w:t>
      </w:r>
      <w:hyperlink r:id="rId417">
        <w:r>
          <w:rPr>
            <w:rStyle w:val="Hyperlink"/>
          </w:rPr>
          <w:t xml:space="preserve">https://www.institutmolinari.org/2025/01/16/augmentons-le-fonds-de-reserve-pour-les-retraites-pour-restaurer-les-finances-publiques/</w:t>
        </w:r>
      </w:hyperlink>
      <w:r>
        <w:t xml:space="preserve">).</w:t>
      </w:r>
    </w:p>
  </w:footnote>
  <w:footnote w:id="418">
    <w:p>
      <w:pPr>
        <w:pStyle w:val="FootnoteText"/>
      </w:pPr>
      <w:r>
        <w:rPr>
          <w:rStyle w:val="FootnoteReference"/>
        </w:rPr>
        <w:footnoteRef/>
      </w:r>
      <w:r>
        <w:t xml:space="preserve"> </w:t>
      </w:r>
      <w:r>
        <w:t xml:space="preserve">Bertrand Martinot, Hugo Gravier, Antoine Muret,</w:t>
      </w:r>
      <w:r>
        <w:t xml:space="preserve"> </w:t>
      </w:r>
      <w:r>
        <w:rPr>
          <w:i/>
          <w:iCs/>
        </w:rPr>
        <w:t xml:space="preserve">Vers un système de retraite mixte répartition-capitalisation</w:t>
      </w:r>
      <w:r>
        <w:t xml:space="preserve">, Fondation pour l’innovation politique (Fondapol), novembre 2025 (</w:t>
      </w:r>
      <w:hyperlink r:id="rId416">
        <w:r>
          <w:rPr>
            <w:rStyle w:val="Hyperlink"/>
          </w:rPr>
          <w:t xml:space="preserve">https://www.fondapol.org/etude/vers-un-systeme-de-retraite-mixte-repartition-capitalisation/</w:t>
        </w:r>
      </w:hyperlink>
      <w:r>
        <w:t xml:space="preserve">). Trois scénarios de transition documentés, avec capital d’amorçage d’environ 100 Md€ (FRR + AGIRC-ARRCO), désindexation temporaire des pensions de 0,5 à 1 % sur dix ans, cotisation nouvelle optionnelle de 0,6 %, baisses de cotisations dès l’année 5. Voir aussi Cécile Marques,</w:t>
      </w:r>
      <w:r>
        <w:t xml:space="preserve"> </w:t>
      </w:r>
      <w:r>
        <w:rPr>
          <w:i/>
          <w:iCs/>
        </w:rPr>
        <w:t xml:space="preserve">Augmentons le Fonds de réserve pour les retraites</w:t>
      </w:r>
      <w:r>
        <w:t xml:space="preserve">, Institut économique Molinari, janvier 2025 (</w:t>
      </w:r>
      <w:hyperlink r:id="rId417">
        <w:r>
          <w:rPr>
            <w:rStyle w:val="Hyperlink"/>
          </w:rPr>
          <w:t xml:space="preserve">https://www.institutmolinari.org/2025/01/16/augmentons-le-fonds-de-reserve-pour-les-retraites-pour-restaurer-les-finances-publiques/</w:t>
        </w:r>
      </w:hyperlink>
      <w:r>
        <w:t xml:space="preserve">).</w:t>
      </w:r>
    </w:p>
  </w:footnote>
  <w:footnote w:id="419">
    <w:p>
      <w:pPr>
        <w:pStyle w:val="FootnoteText"/>
      </w:pPr>
      <w:r>
        <w:rPr>
          <w:rStyle w:val="FootnoteReference"/>
        </w:rPr>
        <w:footnoteRef/>
      </w:r>
      <w:r>
        <w:t xml:space="preserve"> </w:t>
      </w:r>
      <w:r>
        <w:t xml:space="preserve">Conseil de l’Union européenne, règlement (UE) 2020/672 du 19 mai 2020 portant création d’un instrument européen de soutien temporaire à l’atténuation des risques de chômage en situation d’urgence (SURE). Le mécanisme — emprunts conjoints émis par la Commission, garantis par les États membres, fléchés vers une dépense pré-identifiée — a servi de précédent technique pour la facilité européenne pour la reprise et la résilience (FERS) de 2021. Adaptation pour un instrument retraite : voir Beaufret O.,</w:t>
      </w:r>
      <w:r>
        <w:t xml:space="preserve"> </w:t>
      </w:r>
      <w:r>
        <w:rPr>
          <w:i/>
          <w:iCs/>
        </w:rPr>
        <w:t xml:space="preserve">Contribution à la mission flash de clarification du financement des retraites</w:t>
      </w:r>
      <w:r>
        <w:t xml:space="preserve">, Fondapol, février 2025 (</w:t>
      </w:r>
      <w:hyperlink r:id="rId420">
        <w:r>
          <w:rPr>
            <w:rStyle w:val="Hyperlink"/>
          </w:rPr>
          <w:t xml:space="preserve">https://www.fondapol.org/etude/contribution-a-la-mission-flash-de-clarification-du-financement-des-retraites/</w:t>
        </w:r>
      </w:hyperlink>
      <w:r>
        <w:t xml:space="preserve">).</w:t>
      </w:r>
    </w:p>
  </w:footnote>
  <w:footnote w:id="421">
    <w:p>
      <w:pPr>
        <w:pStyle w:val="FootnoteText"/>
      </w:pPr>
      <w:r>
        <w:rPr>
          <w:rStyle w:val="FootnoteReference"/>
        </w:rPr>
        <w:footnoteRef/>
      </w:r>
      <w:r>
        <w:t xml:space="preserve"> </w:t>
      </w:r>
      <w:r>
        <w:t xml:space="preserve">Direction générale du Trésor,</w:t>
      </w:r>
      <w:r>
        <w:t xml:space="preserve"> </w:t>
      </w:r>
      <w:r>
        <w:rPr>
          <w:i/>
          <w:iCs/>
        </w:rPr>
        <w:t xml:space="preserve">Évaluation des recettes de la CSG</w:t>
      </w:r>
      <w:r>
        <w:t xml:space="preserve">. Un point de contribution sociale généralisée représente entre 16 et 17 milliards d’euros de recettes annuelles pérennes (assiette élargie à l’ensemble des revenus d’activité, de remplacement et du patrimoine).</w:t>
      </w:r>
    </w:p>
  </w:footnote>
  <w:footnote w:id="424">
    <w:p>
      <w:pPr>
        <w:pStyle w:val="FootnoteText"/>
      </w:pPr>
      <w:r>
        <w:rPr>
          <w:rStyle w:val="FootnoteReference"/>
        </w:rPr>
        <w:footnoteRef/>
      </w:r>
      <w:r>
        <w:t xml:space="preserve"> </w:t>
      </w:r>
      <w:r>
        <w:t xml:space="preserve">Ordonnance n° 45-2250 du 4 octobre 1945 portant organisation de la sécurité sociale ; loi n° 46-1146 du 22 mai 1946 portant généralisation de la sécurité sociale. Pour l’antériorité, voir aussi la loi du 14 mars 1941 portant création de l’Allocation aux Vieux Travailleurs Salariés (AVTS) sous le régime de Vichy (</w:t>
      </w:r>
      <w:hyperlink r:id="rId425">
        <w:r>
          <w:rPr>
            <w:rStyle w:val="Hyperlink"/>
          </w:rPr>
          <w:t xml:space="preserve">https://www.legifrance.gouv.fr/jorf/id/JORFTEXT000000521099</w:t>
        </w:r>
      </w:hyperlink>
      <w:r>
        <w:t xml:space="preserve">).</w:t>
      </w:r>
    </w:p>
  </w:footnote>
  <w:footnote w:id="426">
    <w:p>
      <w:pPr>
        <w:pStyle w:val="FootnoteText"/>
      </w:pPr>
      <w:r>
        <w:rPr>
          <w:rStyle w:val="FootnoteReference"/>
        </w:rPr>
        <w:footnoteRef/>
      </w:r>
      <w:r>
        <w:t xml:space="preserve"> </w:t>
      </w:r>
      <w:r>
        <w:t xml:space="preserve">Sur la liquidation des dispositifs capitalisés d’avant-guerre par les chocs monétaires de 1914-1947, voir notamment Saly P., « Les tentatives de mise en place d’une retraite par capitalisation en France (1910-1941) »,</w:t>
      </w:r>
      <w:r>
        <w:t xml:space="preserve"> </w:t>
      </w:r>
      <w:r>
        <w:rPr>
          <w:i/>
          <w:iCs/>
        </w:rPr>
        <w:t xml:space="preserve">Revue d’histoire de la protection sociale</w:t>
      </w:r>
      <w:r>
        <w:t xml:space="preserve">, n° 13, 2020/1, p. 23-58 (</w:t>
      </w:r>
      <w:hyperlink r:id="rId427">
        <w:r>
          <w:rPr>
            <w:rStyle w:val="Hyperlink"/>
          </w:rPr>
          <w:t xml:space="preserve">https://shs.cairn.info/revue-d-histoire-de-la-protection-sociale-2020-1-page-23?lang=fr</w:t>
        </w:r>
      </w:hyperlink>
      <w:r>
        <w:t xml:space="preserve">).</w:t>
      </w:r>
    </w:p>
  </w:footnote>
  <w:footnote w:id="428">
    <w:p>
      <w:pPr>
        <w:pStyle w:val="FootnoteText"/>
      </w:pPr>
      <w:r>
        <w:rPr>
          <w:rStyle w:val="FootnoteReference"/>
        </w:rPr>
        <w:footnoteRef/>
      </w:r>
      <w:r>
        <w:t xml:space="preserve"> </w:t>
      </w:r>
      <w:r>
        <w:t xml:space="preserve">Citation reprise dans plusieurs sources institutionnelles (notamment notice biographique Pierre Laroque sur le site du Comité d’histoire de la sécurité sociale et exposés des motifs des rapports parlementaires postérieurs à 1945). À consolider sur archives écrites primaires (correspondance, discours,</w:t>
      </w:r>
      <w:r>
        <w:t xml:space="preserve"> </w:t>
      </w:r>
      <w:r>
        <w:rPr>
          <w:i/>
          <w:iCs/>
        </w:rPr>
        <w:t xml:space="preserve">Mémoires</w:t>
      </w:r>
      <w:r>
        <w:t xml:space="preserve"> </w:t>
      </w:r>
      <w:r>
        <w:t xml:space="preserve">de Laroque) lors d’une passe ultérieure de fact-check.</w:t>
      </w:r>
    </w:p>
  </w:footnote>
  <w:footnote w:id="429">
    <w:p>
      <w:pPr>
        <w:pStyle w:val="FootnoteText"/>
      </w:pPr>
      <w:r>
        <w:rPr>
          <w:rStyle w:val="FootnoteReference"/>
        </w:rPr>
        <w:footnoteRef/>
      </w:r>
      <w:r>
        <w:t xml:space="preserve"> </w:t>
      </w:r>
      <w:r>
        <w:t xml:space="preserve">AMF,</w:t>
      </w:r>
      <w:r>
        <w:t xml:space="preserve"> </w:t>
      </w:r>
      <w:r>
        <w:rPr>
          <w:i/>
          <w:iCs/>
        </w:rPr>
        <w:t xml:space="preserve">Baromètre 2024 de l’épargne et de l’investissement</w:t>
      </w:r>
      <w:r>
        <w:t xml:space="preserve">, octobre 2024 (</w:t>
      </w:r>
      <w:hyperlink r:id="rId32">
        <w:r>
          <w:rPr>
            <w:rStyle w:val="Hyperlink"/>
          </w:rPr>
          <w:t xml:space="preserve">https://www.amf-france.org/sites/institutionnel/files/private/2025-01/barometre-amf-2024-octobre-2024-version-publiable_0.pdf</w:t>
        </w:r>
      </w:hyperlink>
      <w:r>
        <w:t xml:space="preserve">). Détention directe d’actions cotées par les ménages français : 12,5 % en 2024. Pour les comparaisons internationales : Federal Reserve,</w:t>
      </w:r>
      <w:r>
        <w:t xml:space="preserve"> </w:t>
      </w:r>
      <w:r>
        <w:rPr>
          <w:i/>
          <w:iCs/>
        </w:rPr>
        <w:t xml:space="preserve">Survey of Consumer Finances 2022</w:t>
      </w:r>
      <w:r>
        <w:t xml:space="preserve"> </w:t>
      </w:r>
      <w:r>
        <w:t xml:space="preserve">(États-Unis, taux de détention directe ou indirecte d’actions ~58 % ; détention directe ~21 %) ; Office for National Statistics,</w:t>
      </w:r>
      <w:r>
        <w:t xml:space="preserve"> </w:t>
      </w:r>
      <w:r>
        <w:rPr>
          <w:i/>
          <w:iCs/>
        </w:rPr>
        <w:t xml:space="preserve">Ownership of UK quoted shares 2022</w:t>
      </w:r>
      <w:r>
        <w:t xml:space="preserve">, 2024 (Royaume-Uni).</w:t>
      </w:r>
    </w:p>
  </w:footnote>
  <w:footnote w:id="430">
    <w:p>
      <w:pPr>
        <w:pStyle w:val="FootnoteText"/>
      </w:pPr>
      <w:r>
        <w:rPr>
          <w:rStyle w:val="FootnoteReference"/>
        </w:rPr>
        <w:footnoteRef/>
      </w:r>
      <w:r>
        <w:t xml:space="preserve"> </w:t>
      </w:r>
      <w:r>
        <w:t xml:space="preserve">OCDE/INFE,</w:t>
      </w:r>
      <w:r>
        <w:t xml:space="preserve"> </w:t>
      </w:r>
      <w:r>
        <w:rPr>
          <w:i/>
          <w:iCs/>
        </w:rPr>
        <w:t xml:space="preserve">2023 International Survey of Adult Financial Literacy</w:t>
      </w:r>
      <w:r>
        <w:t xml:space="preserve">, OCDE Publishing, 2023 (</w:t>
      </w:r>
      <w:hyperlink r:id="rId431">
        <w:r>
          <w:rPr>
            <w:rStyle w:val="Hyperlink"/>
          </w:rPr>
          <w:t xml:space="preserve">https://www.oecd.org/en/publications/oecd-infe-2023-international-survey-of-adult-financial-literacy_56003a32-en.html</w:t>
        </w:r>
      </w:hyperlink>
      <w:r>
        <w:t xml:space="preserve">). Score moyen France : 62,25/100, 14ᵉ rang sur 39 pays, légèrement en dessous de la moyenne OCDE (63/100).</w:t>
      </w:r>
    </w:p>
  </w:footnote>
  <w:footnote w:id="432">
    <w:p>
      <w:pPr>
        <w:pStyle w:val="FootnoteText"/>
      </w:pPr>
      <w:r>
        <w:rPr>
          <w:rStyle w:val="FootnoteReference"/>
        </w:rPr>
        <w:footnoteRef/>
      </w:r>
      <w:r>
        <w:t xml:space="preserve"> </w:t>
      </w:r>
      <w:r>
        <w:t xml:space="preserve">Sur l’érosion des rentes 14-18 par les inflations de l’entre-deux-guerres et les conversions forcées d’emprunts d’État après 1945, voir Hautcœur P.-C.,</w:t>
      </w:r>
      <w:r>
        <w:t xml:space="preserve"> </w:t>
      </w:r>
      <w:r>
        <w:rPr>
          <w:i/>
          <w:iCs/>
        </w:rPr>
        <w:t xml:space="preserve">Le marché financier français au XXᵉ siècle</w:t>
      </w:r>
      <w:r>
        <w:t xml:space="preserve">, Publications de la Sorbonne, 2007 ; Vergne A.,</w:t>
      </w:r>
      <w:r>
        <w:t xml:space="preserve"> </w:t>
      </w:r>
      <w:r>
        <w:rPr>
          <w:i/>
          <w:iCs/>
        </w:rPr>
        <w:t xml:space="preserve">La place financière de Paris</w:t>
      </w:r>
      <w:r>
        <w:t xml:space="preserve">, La Découverte, 2018.</w:t>
      </w:r>
    </w:p>
  </w:footnote>
  <w:footnote w:id="433">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PER : 11,2 millions de titulaires fin T3 2024 (France Assureurs,</w:t>
      </w:r>
      <w:r>
        <w:t xml:space="preserve"> </w:t>
      </w:r>
      <w:r>
        <w:rPr>
          <w:i/>
          <w:iCs/>
        </w:rPr>
        <w:t xml:space="preserve">Plan d’Épargne Retraite : Bilan 2024</w:t>
      </w:r>
      <w:r>
        <w:t xml:space="preserve">, mars 2025). Détention directe d’actions : 12,5 % en 2024 contre 6,9 % en 2020 (AMF).</w:t>
      </w:r>
    </w:p>
  </w:footnote>
  <w:footnote w:id="434">
    <w:p>
      <w:pPr>
        <w:pStyle w:val="FootnoteText"/>
      </w:pPr>
      <w:r>
        <w:rPr>
          <w:rStyle w:val="FootnoteReference"/>
        </w:rPr>
        <w:footnoteRef/>
      </w:r>
      <w:r>
        <w:t xml:space="preserve"> </w:t>
      </w:r>
      <w:r>
        <w:t xml:space="preserve">DARES,</w:t>
      </w:r>
      <w:r>
        <w:t xml:space="preserve"> </w:t>
      </w:r>
      <w:r>
        <w:rPr>
          <w:i/>
          <w:iCs/>
        </w:rPr>
        <w:t xml:space="preserve">La syndicalisation en 2023</w:t>
      </w:r>
      <w:r>
        <w:t xml:space="preserve">, juin 2024. Taux de syndicalisation France : 10,1 % des salariés en 2023, l’un des plus faibles de l’OCDE, contre 16,3 % moyenne OCDE et plus de 60 % en Suède, Finlande et Danemark.</w:t>
      </w:r>
    </w:p>
  </w:footnote>
  <w:footnote w:id="435">
    <w:p>
      <w:pPr>
        <w:pStyle w:val="FootnoteText"/>
      </w:pPr>
      <w:r>
        <w:rPr>
          <w:rStyle w:val="FootnoteReference"/>
        </w:rPr>
        <w:footnoteRef/>
      </w:r>
      <w:r>
        <w:t xml:space="preserve"> </w:t>
      </w:r>
      <w:r>
        <w:t xml:space="preserve">Positions syndicales documentées sur les sites officiels des centrales en 2024-2025 : Confédération générale du travail,</w:t>
      </w:r>
      <w:r>
        <w:t xml:space="preserve"> </w:t>
      </w:r>
      <w:r>
        <w:rPr>
          <w:i/>
          <w:iCs/>
        </w:rPr>
        <w:t xml:space="preserve">La capitalisation n’est pas une solution, c’est une régression sociale</w:t>
      </w:r>
      <w:r>
        <w:t xml:space="preserve">, 31 janvier 2025 (</w:t>
      </w:r>
      <w:hyperlink r:id="rId436">
        <w:r>
          <w:rPr>
            <w:rStyle w:val="Hyperlink"/>
          </w:rPr>
          <w:t xml:space="preserve">https://www.cgt.fr/actualites/retraites/la-capitalisation-nest-pas-une-solution-cest-une-regression-sociale-58</w:t>
        </w:r>
      </w:hyperlink>
      <w:r>
        <w:t xml:space="preserve">) ; Confédération française démocratique du travail, communiqués et interventions de Marylise Léon, 23 mai 2025 ; Confédération française de l’encadrement-Confédération générale des cadres,</w:t>
      </w:r>
      <w:r>
        <w:t xml:space="preserve"> </w:t>
      </w:r>
      <w:r>
        <w:rPr>
          <w:i/>
          <w:iCs/>
        </w:rPr>
        <w:t xml:space="preserve">La retraite par capitalisation au cœur des discussions</w:t>
      </w:r>
      <w:r>
        <w:t xml:space="preserve">, 25 avril 2025 (</w:t>
      </w:r>
      <w:hyperlink r:id="rId437">
        <w:r>
          <w:rPr>
            <w:rStyle w:val="Hyperlink"/>
          </w:rPr>
          <w:t xml:space="preserve">https://www.cfecgc.org/actualites/la-retraite-par-capitalisation-au-coeur-des-discussions</w:t>
        </w:r>
      </w:hyperlink>
      <w:r>
        <w:t xml:space="preserve">).</w:t>
      </w:r>
    </w:p>
  </w:footnote>
  <w:footnote w:id="438">
    <w:p>
      <w:pPr>
        <w:pStyle w:val="FootnoteText"/>
      </w:pPr>
      <w:r>
        <w:rPr>
          <w:rStyle w:val="FootnoteReference"/>
        </w:rPr>
        <w:footnoteRef/>
      </w:r>
      <w:r>
        <w:t xml:space="preserve"> </w:t>
      </w:r>
      <w:r>
        <w:rPr>
          <w:i/>
          <w:iCs/>
        </w:rPr>
        <w:t xml:space="preserve">Pensioenakkoord</w:t>
      </w:r>
      <w:r>
        <w:t xml:space="preserve"> </w:t>
      </w:r>
      <w:r>
        <w:t xml:space="preserve">du 5 juin 2019 signé entre FNV, CNV, VCP côté syndical et VNO-NCW, AWVN, MKB-Nederland, LTO Nederland côté patronal, transposé en droit néerlandais par la</w:t>
      </w:r>
      <w:r>
        <w:t xml:space="preserve"> </w:t>
      </w:r>
      <w:r>
        <w:rPr>
          <w:i/>
          <w:iCs/>
        </w:rPr>
        <w:t xml:space="preserve">Wet toekomst pensioenen</w:t>
      </w:r>
      <w:r>
        <w:t xml:space="preserve"> </w:t>
      </w:r>
      <w:r>
        <w:t xml:space="preserve">du 30 mai 2023 (vote</w:t>
      </w:r>
      <w:r>
        <w:t xml:space="preserve"> </w:t>
      </w:r>
      <w:r>
        <w:rPr>
          <w:i/>
          <w:iCs/>
        </w:rPr>
        <w:t xml:space="preserve">Eerste Kamer</w:t>
      </w:r>
      <w:r>
        <w:t xml:space="preserve"> </w:t>
      </w:r>
      <w:r>
        <w:t xml:space="preserve">: 46 voix contre 27).</w:t>
      </w:r>
    </w:p>
  </w:footnote>
  <w:footnote w:id="439">
    <w:p>
      <w:pPr>
        <w:pStyle w:val="FootnoteText"/>
      </w:pPr>
      <w:r>
        <w:rPr>
          <w:rStyle w:val="FootnoteReference"/>
        </w:rPr>
        <w:footnoteRef/>
      </w:r>
      <w:r>
        <w:t xml:space="preserve"> </w:t>
      </w:r>
      <w:r>
        <w:t xml:space="preserve">Loi n° 93-936 du 22 juillet 1993 relative aux pensions de retraite (Balladur) ; loi n° 2003-775 du 21 août 2003 portant réforme des retraites (Fillon) ; loi n° 2010-1330 du 9 novembre 2010 portant réforme des retraites (Woerth) ; loi n° 2014-40 du 20 janvier 2014 garantissant l’avenir et la justice du système de retraites (Touraine) ; loi n° 2023-270 du 14 avril 2023 de financement rectificative de la sécurité sociale pour 2023 (Borne).</w:t>
      </w:r>
    </w:p>
  </w:footnote>
  <w:footnote w:id="440">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rapport annuel juin 2025 (</w:t>
      </w:r>
      <w:hyperlink r:id="rId441">
        <w:r>
          <w:rPr>
            <w:rStyle w:val="Hyperlink"/>
          </w:rPr>
          <w:t xml:space="preserve">https://www.cor-retraites.fr/sites/default/files/2025-06/RA_2025_def_publi.pdf</w:t>
        </w:r>
      </w:hyperlink>
      <w:r>
        <w:t xml:space="preserve">). Solde du système de retraite projeté à scénario central : −0,2 pt de PIB en 2030, −0,7 pt en 2040, −1,1 pt en 2050, −1,4 pt en 2070.</w:t>
      </w:r>
    </w:p>
  </w:footnote>
  <w:footnote w:id="447">
    <w:p>
      <w:pPr>
        <w:pStyle w:val="FootnoteText"/>
      </w:pPr>
      <w:r>
        <w:rPr>
          <w:rStyle w:val="FootnoteReference"/>
        </w:rPr>
        <w:footnoteRef/>
      </w:r>
      <w:r>
        <w:t xml:space="preserve"> </w:t>
      </w:r>
      <w:r>
        <w:t xml:space="preserve">UBS,</w:t>
      </w:r>
      <w:r>
        <w:t xml:space="preserve"> </w:t>
      </w:r>
      <w:r>
        <w:rPr>
          <w:i/>
          <w:iCs/>
        </w:rPr>
        <w:t xml:space="preserve">Global Investment Returns Yearbook 2025</w:t>
      </w:r>
      <w:r>
        <w:t xml:space="preserve">, février 2025 (https://www.ubs.com/global/en/family-office-uhnw/reports/global-investment-returns-yearbook.html). Rendement réel annualisé actions monde 1900-2024 : 5,2 % ; obligations gouvernementales : 1,7 % ; bons du Trésor : 0,5 %.</w:t>
      </w:r>
    </w:p>
  </w:footnote>
  <w:footnote w:id="448">
    <w:p>
      <w:pPr>
        <w:pStyle w:val="FootnoteText"/>
      </w:pPr>
      <w:r>
        <w:rPr>
          <w:rStyle w:val="FootnoteReference"/>
        </w:rPr>
        <w:footnoteRef/>
      </w:r>
      <w:r>
        <w:t xml:space="preserve"> </w:t>
      </w:r>
      <w:r>
        <w:t xml:space="preserve">ACPR,</w:t>
      </w:r>
      <w:r>
        <w:t xml:space="preserve"> </w:t>
      </w:r>
      <w:r>
        <w:rPr>
          <w:i/>
          <w:iCs/>
        </w:rPr>
        <w:t xml:space="preserve">Revalorisation 2024 des contrats d’assurance-vie</w:t>
      </w:r>
      <w:r>
        <w:t xml:space="preserve">, août 2025. Rendement moyen brut des fonds euros 2024 : 2,63 %. Inflation France 2024 : 2,0 % (INSEE). Prélèvements sociaux 17,2 %. Rendement réel net moyen ≈ 0,15 %.</w:t>
      </w:r>
    </w:p>
  </w:footnote>
  <w:footnote w:id="449">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 NEST Corporation,</w:t>
      </w:r>
      <w:r>
        <w:t xml:space="preserve"> </w:t>
      </w:r>
      <w:r>
        <w:rPr>
          <w:i/>
          <w:iCs/>
        </w:rPr>
        <w:t xml:space="preserve">Annual Report and Accounts 2024-25</w:t>
      </w:r>
      <w:r>
        <w:t xml:space="preserve">, 2025 ; Thrift Savings Plan,</w:t>
      </w:r>
      <w:r>
        <w:t xml:space="preserve"> </w:t>
      </w:r>
      <w:r>
        <w:rPr>
          <w:i/>
          <w:iCs/>
        </w:rPr>
        <w:t xml:space="preserve">Lifecycle Funds</w:t>
      </w:r>
      <w:r>
        <w:t xml:space="preserve">, 2025 (https://www.tsp.gov/funds-lifecycle/). Les trois dispositifs couvrent ensemble près de 26 millions de cotisants.</w:t>
      </w:r>
    </w:p>
  </w:footnote>
  <w:footnote w:id="450">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 (https://www.dnb.nl). Funding ratio minimum 105 % ; ratio médian 2023-2024 ≈ 125 % ; part sous le seuil légal &lt; 0,5 %.</w:t>
      </w:r>
    </w:p>
  </w:footnote>
  <w:footnote w:id="451">
    <w:p>
      <w:pPr>
        <w:pStyle w:val="FootnoteText"/>
      </w:pPr>
      <w:r>
        <w:rPr>
          <w:rStyle w:val="FootnoteReference"/>
        </w:rPr>
        <w:footnoteRef/>
      </w:r>
      <w:r>
        <w:t xml:space="preserve"> </w:t>
      </w:r>
      <w:r>
        <w:t xml:space="preserve">Pension Protection Fund,</w:t>
      </w:r>
      <w:r>
        <w:t xml:space="preserve"> </w:t>
      </w:r>
      <w:r>
        <w:rPr>
          <w:i/>
          <w:iCs/>
        </w:rPr>
        <w:t xml:space="preserve">Annual Report 2023-24</w:t>
      </w:r>
      <w:r>
        <w:t xml:space="preserve">, 2024 (https://www.ppf.co.uk). 8,8 millions de personnes dans ~5 000 fonds DB régulés. Actifs PPF : 31,2 Md£ au 31 mars 2024.</w:t>
      </w:r>
    </w:p>
  </w:footnote>
  <w:footnote w:id="452">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mars 2025 ; CPP Investments,</w:t>
      </w:r>
      <w:r>
        <w:t xml:space="preserve"> </w:t>
      </w:r>
      <w:r>
        <w:rPr>
          <w:i/>
          <w:iCs/>
        </w:rPr>
        <w:t xml:space="preserve">Annual Report Fiscal 2025</w:t>
      </w:r>
      <w:r>
        <w:t xml:space="preserve">, 2025 ; AustralianSuper,</w:t>
      </w:r>
      <w:r>
        <w:t xml:space="preserve"> </w:t>
      </w:r>
      <w:r>
        <w:rPr>
          <w:i/>
          <w:iCs/>
        </w:rPr>
        <w:t xml:space="preserve">Annual Report 2024-25</w:t>
      </w:r>
      <w:r>
        <w:t xml:space="preserve">, 2025 ; AP7,</w:t>
      </w:r>
      <w:r>
        <w:t xml:space="preserve"> </w:t>
      </w:r>
      <w:r>
        <w:rPr>
          <w:i/>
          <w:iCs/>
        </w:rPr>
        <w:t xml:space="preserve">Annual Report 2024</w:t>
      </w:r>
      <w:r>
        <w:t xml:space="preserve">, 2025. GPFG : 4,1 % réel net depuis 1998 ; CPPIB : 8,3 % nominal net sur 10 ans ; AustralianSuper Balanced : 7,94 % sur 10 ans ; AP7 Equity : ~14 % nominal depuis 2010.</w:t>
      </w:r>
    </w:p>
  </w:footnote>
  <w:footnote w:id="454">
    <w:p>
      <w:pPr>
        <w:pStyle w:val="FootnoteText"/>
      </w:pPr>
      <w:r>
        <w:rPr>
          <w:rStyle w:val="FootnoteReference"/>
        </w:rPr>
        <w:footnoteRef/>
      </w:r>
      <w:r>
        <w:t xml:space="preserve"> </w:t>
      </w:r>
      <w:r>
        <w:t xml:space="preserve">U.S. Senate Committee on Governmental Affairs,</w:t>
      </w:r>
      <w:r>
        <w:t xml:space="preserve"> </w:t>
      </w:r>
      <w:r>
        <w:rPr>
          <w:i/>
          <w:iCs/>
        </w:rPr>
        <w:t xml:space="preserve">Retirement Insecurity: The 401(k) Crisis at Enron Corp.</w:t>
      </w:r>
      <w:r>
        <w:t xml:space="preserve">, février 2002 ; GAO,</w:t>
      </w:r>
      <w:r>
        <w:t xml:space="preserve"> </w:t>
      </w:r>
      <w:r>
        <w:rPr>
          <w:i/>
          <w:iCs/>
        </w:rPr>
        <w:t xml:space="preserve">Enron: 401(k) Pension Plans</w:t>
      </w:r>
      <w:r>
        <w:t xml:space="preserve">, GAO-02-376, 2002. Pertes 401(k) : ~1,2-1,3 Md$ pour ~15 000 salariés concentrés en actions employeur.</w:t>
      </w:r>
    </w:p>
  </w:footnote>
  <w:footnote w:id="455">
    <w:p>
      <w:pPr>
        <w:pStyle w:val="FootnoteText"/>
      </w:pPr>
      <w:r>
        <w:rPr>
          <w:rStyle w:val="FootnoteReference"/>
        </w:rPr>
        <w:footnoteRef/>
      </w:r>
      <w:r>
        <w:t xml:space="preserve"> </w:t>
      </w:r>
      <w:r>
        <w:t xml:space="preserve">U.S. Securities and Exchange Commission,</w:t>
      </w:r>
      <w:r>
        <w:t xml:space="preserve"> </w:t>
      </w:r>
      <w:r>
        <w:rPr>
          <w:i/>
          <w:iCs/>
        </w:rPr>
        <w:t xml:space="preserve">Report of Investigation: SEC’s Madoff Investigation</w:t>
      </w:r>
      <w:r>
        <w:t xml:space="preserve">, OIG-509, août 2009. Les 65 Md$ correspondent aux relevés fictifs ; pertes en cash réellement investies estimées à ~18 Md$ par le trustee Irving Picard.</w:t>
      </w:r>
    </w:p>
  </w:footnote>
  <w:footnote w:id="456">
    <w:p>
      <w:pPr>
        <w:pStyle w:val="FootnoteText"/>
      </w:pPr>
      <w:r>
        <w:rPr>
          <w:rStyle w:val="FootnoteReference"/>
        </w:rPr>
        <w:footnoteRef/>
      </w:r>
      <w:r>
        <w:t xml:space="preserve"> </w:t>
      </w:r>
      <w:r>
        <w:t xml:space="preserve">Pew Charitable Trusts,</w:t>
      </w:r>
      <w:r>
        <w:t xml:space="preserve"> </w:t>
      </w:r>
      <w:r>
        <w:rPr>
          <w:i/>
          <w:iCs/>
        </w:rPr>
        <w:t xml:space="preserve">The Challenge of Meeting Detroit’s Pension Promises</w:t>
      </w:r>
      <w:r>
        <w:t xml:space="preserve">, mars 2018 ; ville de Detroit,</w:t>
      </w:r>
      <w:r>
        <w:t xml:space="preserve"> </w:t>
      </w:r>
      <w:r>
        <w:rPr>
          <w:i/>
          <w:iCs/>
        </w:rPr>
        <w:t xml:space="preserve">Chapter 9 Bankruptcy Filing</w:t>
      </w:r>
      <w:r>
        <w:t xml:space="preserve">, 18 juillet 2013. Dette totale 18 Md$ ; pensions non financées 3,5 Md$ ; 21 000 retraités, 15 000 actifs concernés.</w:t>
      </w:r>
    </w:p>
  </w:footnote>
  <w:footnote w:id="457">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France : grade B, score global 70,3, adéquation 85,2, viabilité 48,6, intégrité 76,8. Comparaison : Pays-Bas 84,8 ; Suède 78,2 ; Australie 76,4 ; Royaume-Uni 72,2.</w:t>
      </w:r>
    </w:p>
  </w:footnote>
  <w:footnote w:id="459">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Cour des comptes,</w:t>
      </w:r>
      <w:r>
        <w:t xml:space="preserve"> </w:t>
      </w:r>
      <w:r>
        <w:rPr>
          <w:i/>
          <w:iCs/>
        </w:rPr>
        <w:t xml:space="preserve">Le système de retraite par capitalisation en France</w:t>
      </w:r>
      <w:r>
        <w:t xml:space="preserve">, février 2024. PER : 11,2 millions de titulaires fin T3 2024, 118,9 Md€ d’encours, encours moyen ≈ 10 600 €. Concentration des versements : 70 % sur les déciles 8-10.</w:t>
      </w:r>
    </w:p>
  </w:footnote>
  <w:footnote w:id="460">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w:t>
      </w:r>
      <w:r>
        <w:rPr>
          <w:i/>
          <w:iCs/>
        </w:rPr>
        <w:t xml:space="preserve">- Gender Pension Gap Analysis</w:t>
      </w:r>
      <w:r>
        <w:t xml:space="preserve">, octobre 2025. Pays-Bas 17 %, Suède 25 %, Australie 25 % (en baisse depuis 30 %), France 28-30 % selon DREES.</w:t>
      </w:r>
    </w:p>
  </w:footnote>
  <w:footnote w:id="461">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Pays-Bas, novembre 2025. Ratio P90/P10 des pensions : France ≈ 4,2 ; Pays-Bas ≈ 3,1. Source complémentaire : Eurostat</w:t>
      </w:r>
      <w:r>
        <w:t xml:space="preserve"> </w:t>
      </w:r>
      <w:r>
        <w:rPr>
          <w:i/>
          <w:iCs/>
        </w:rPr>
        <w:t xml:space="preserve">EU-SILC</w:t>
      </w:r>
      <w:r>
        <w:t xml:space="preserve"> </w:t>
      </w:r>
      <w:r>
        <w:t xml:space="preserve">2023.</w:t>
      </w:r>
    </w:p>
  </w:footnote>
  <w:footnote w:id="462">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57 % favorables au mixte ; 22 % capitalisation seule ; 20 % répartition seule.</w:t>
      </w:r>
    </w:p>
  </w:footnote>
  <w:footnote w:id="464">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 Paul Keating,</w:t>
      </w:r>
      <w:r>
        <w:t xml:space="preserve"> </w:t>
      </w:r>
      <w:r>
        <w:rPr>
          <w:i/>
          <w:iCs/>
        </w:rPr>
        <w:t xml:space="preserve">The Story of Modern Superannuation</w:t>
      </w:r>
      <w:r>
        <w:t xml:space="preserve">, 31 octobre 2007. Accord Prices and Incomes Mark II signé en septembre 1985 (Hawke / Kelty-ACTU). Superannuation Guarantee : 3 % en 1992, 9 % en 2002, 12 % depuis juillet 2025. Coût budgétaire direct pour le Commonwealth ≈ 0,1 % du PIB (tax relief marginal sur les</w:t>
      </w:r>
      <w:r>
        <w:t xml:space="preserve"> </w:t>
      </w:r>
      <w:r>
        <w:rPr>
          <w:i/>
          <w:iCs/>
        </w:rPr>
        <w:t xml:space="preserve">concessional contributions</w:t>
      </w:r>
      <w:r>
        <w:t xml:space="preserve">).</w:t>
      </w:r>
    </w:p>
  </w:footnote>
  <w:footnote w:id="465">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2025 ; Bo Könberg, Edward Palmer, Annika Sundén, « The 1994 Swedish Pension Reform »,</w:t>
      </w:r>
      <w:r>
        <w:t xml:space="preserve"> </w:t>
      </w:r>
      <w:r>
        <w:rPr>
          <w:i/>
          <w:iCs/>
        </w:rPr>
        <w:t xml:space="preserve">International Social Security Review</w:t>
      </w:r>
      <w:r>
        <w:t xml:space="preserve">, vol. 59, 2006. Sur les 18,5 % de cotisation totale, 16 % vers l’inkomstpension NDC, 2,5 % vers la PPM capitalisée. Total inchangé depuis 1999.</w:t>
      </w:r>
    </w:p>
  </w:footnote>
  <w:footnote w:id="466">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chapitres 7-9. Coût cumulé des</w:t>
      </w:r>
      <w:r>
        <w:t xml:space="preserve"> </w:t>
      </w:r>
      <w:r>
        <w:rPr>
          <w:i/>
          <w:iCs/>
        </w:rPr>
        <w:t xml:space="preserve">bonos de reconocimiento</w:t>
      </w:r>
      <w:r>
        <w:t xml:space="preserve"> </w:t>
      </w:r>
      <w:r>
        <w:t xml:space="preserve">1981-2014 : ~30 % du PIB chilien sur la période, soit ~7 % de PIB par décennie.</w:t>
      </w:r>
    </w:p>
  </w:footnote>
  <w:footnote w:id="467">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Rendement réel net 2024 : +6,46 %.</w:t>
      </w:r>
    </w:p>
  </w:footnote>
  <w:footnote w:id="468">
    <w:p>
      <w:pPr>
        <w:pStyle w:val="FootnoteText"/>
      </w:pPr>
      <w:r>
        <w:rPr>
          <w:rStyle w:val="FootnoteReference"/>
        </w:rPr>
        <w:footnoteRef/>
      </w:r>
      <w:r>
        <w:t xml:space="preserve"> </w:t>
      </w:r>
      <w:r>
        <w:t xml:space="preserve">Calcul à partir de la masse salariale brute du secteur privé France 2027 estimée à 1 100 Md€ (INSEE,</w:t>
      </w:r>
      <w:r>
        <w:t xml:space="preserve"> </w:t>
      </w:r>
      <w:r>
        <w:rPr>
          <w:i/>
          <w:iCs/>
        </w:rPr>
        <w:t xml:space="preserve">Comptes nationaux 2025</w:t>
      </w:r>
      <w:r>
        <w:t xml:space="preserve">). Une cotisation patronale nouvelle de 2 % rapporte ~22 Md€/an à pleine charge.</w:t>
      </w:r>
    </w:p>
  </w:footnote>
  <w:footnote w:id="469">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-45 Md€ en 2070, soit -1,4 % du PIB.</w:t>
      </w:r>
    </w:p>
  </w:footnote>
  <w:footnote w:id="470">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mai 2024. Passif implicite des retraites France ≈ 417 % du PIB en 2021 sous taux d’actualisation 1 %.</w:t>
      </w:r>
    </w:p>
  </w:footnote>
  <w:footnote w:id="472">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Banque de France,</w:t>
      </w:r>
      <w:r>
        <w:t xml:space="preserve"> </w:t>
      </w:r>
      <w:r>
        <w:rPr>
          <w:i/>
          <w:iCs/>
        </w:rPr>
        <w:t xml:space="preserve">L’épargne financière des ménages 2024</w:t>
      </w:r>
      <w:r>
        <w:t xml:space="preserve">. PER : 11,2 millions de titulaires fin T3 2024 (loi PACTE n° 2019-486 du 22 mai 2019). Encours 118,9 Md€, encours moyen ≈ 10 600 €.</w:t>
      </w:r>
    </w:p>
  </w:footnote>
  <w:footnote w:id="474">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Détention d’actions cotées en direct : 12,5 % en 2024 (vs 6,9 % en 2020).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7" Target="https://ap2.se/en/the-ap-funds-strengthen-the-income-pension-system-by-sek-182-billion/" TargetMode="External" /><Relationship Type="http://schemas.openxmlformats.org/officeDocument/2006/relationships/hyperlink" Id="rId26" Target="https://elabe.fr/systeme-retraite-2025/" TargetMode="External" /><Relationship Type="http://schemas.openxmlformats.org/officeDocument/2006/relationships/hyperlink" Id="rId52" Target="https://presse.economie.gouv.fr/epargne-retraite-deploiement-du-per-plus-de-11-millions-de-titulaires-et-pres-de-119-milliards-dencours-au-troisieme-trimestre-2024/" TargetMode="External" /><Relationship Type="http://schemas.openxmlformats.org/officeDocument/2006/relationships/hyperlink" Id="rId10" Target="https://presse.economie.gouv.fr/letat-obtient-les-garanties-du-maintien-et-du-developpement-dopella-en-france/" TargetMode="External" /><Relationship Type="http://schemas.openxmlformats.org/officeDocument/2006/relationships/hyperlink" Id="rId24" Target="https://presse.groupama.com/actualites/sondage-retraite-odoxa-pour-groupama-reforme-des-retraites-que-veulent-et-ne-veulent-plus-les-francais-3a371-55f34.html" TargetMode="External" /><Relationship Type="http://schemas.openxmlformats.org/officeDocument/2006/relationships/hyperlink" Id="rId36" Target="https://rafp-ra2024.fr/" TargetMode="External" /><Relationship Type="http://schemas.openxmlformats.org/officeDocument/2006/relationships/hyperlink" Id="rId427" Target="https://shs.cairn.info/revue-d-histoire-de-la-protection-sociale-2020-1-page-23?lang=fr" TargetMode="External" /><Relationship Type="http://schemas.openxmlformats.org/officeDocument/2006/relationships/hyperlink" Id="rId32" Target="https://www.amf-france.org/sites/institutionnel/files/private/2025-01/barometre-amf-2024-octobre-2024-version-publiable_0.pdf" TargetMode="External" /><Relationship Type="http://schemas.openxmlformats.org/officeDocument/2006/relationships/hyperlink" Id="rId404" Target="https://www.ap4.se/en/about-ap4/our-history/" TargetMode="External" /><Relationship Type="http://schemas.openxmlformats.org/officeDocument/2006/relationships/hyperlink" Id="rId13" Target="https://www.calpers.ca.gov/documents/calpers-portfolio-partnership-report-as-of-december-31-2024/download?inline=" TargetMode="External" /><Relationship Type="http://schemas.openxmlformats.org/officeDocument/2006/relationships/hyperlink" Id="rId14" Target="https://www.cdr-inc.com/firm-profile" TargetMode="External" /><Relationship Type="http://schemas.openxmlformats.org/officeDocument/2006/relationships/hyperlink" Id="rId437" Target="https://www.cfecgc.org/actualites/la-retraite-par-capitalisation-au-coeur-des-discussions" TargetMode="External" /><Relationship Type="http://schemas.openxmlformats.org/officeDocument/2006/relationships/hyperlink" Id="rId436" Target="https://www.cgt.fr/actualites/retraites/la-capitalisation-nest-pas-une-solution-cest-une-regression-sociale-58" TargetMode="External" /><Relationship Type="http://schemas.openxmlformats.org/officeDocument/2006/relationships/hyperlink" Id="rId47" Target="https://www.cor-retraites.fr/sites/default/files/2024-07/Fiche_RAFP_vf.pdf" TargetMode="External" /><Relationship Type="http://schemas.openxmlformats.org/officeDocument/2006/relationships/hyperlink" Id="rId441" Target="https://www.cor-retraites.fr/sites/default/files/2025-06/RA_2025_def_publi.pdf" TargetMode="External" /><Relationship Type="http://schemas.openxmlformats.org/officeDocument/2006/relationships/hyperlink" Id="rId414" Target="https://www.espace-social.com/agirc-arrco-un-resultat-global-de-14-md-e-en-2025-et-des-reserves-de-plus-de-91-mds/" TargetMode="External" /><Relationship Type="http://schemas.openxmlformats.org/officeDocument/2006/relationships/hyperlink" Id="rId408" Target="https://www.europeanpensions.net/ep/Swedens-AP-Funds-achieve-combined-result-of-SEK-182bn-in-2024.php" TargetMode="External" /><Relationship Type="http://schemas.openxmlformats.org/officeDocument/2006/relationships/hyperlink" Id="rId420" Target="https://www.fondapol.org/etude/contribution-a-la-mission-flash-de-clarification-du-financement-des-retraites/" TargetMode="External" /><Relationship Type="http://schemas.openxmlformats.org/officeDocument/2006/relationships/hyperlink" Id="rId49" Target="https://www.fondapol.org/etude/retraites-optimiser-les-depenses-introduire-une-part-de-capitalisation/" TargetMode="External" /><Relationship Type="http://schemas.openxmlformats.org/officeDocument/2006/relationships/hyperlink" Id="rId416" Target="https://www.fondapol.org/etude/vers-un-systeme-de-retraite-mixte-repartition-capitalisation/" TargetMode="External" /><Relationship Type="http://schemas.openxmlformats.org/officeDocument/2006/relationships/hyperlink" Id="rId405" Target="https://www.heritage.org/social-security/report/pension-reform-sweden-lessons-american-policymakers" TargetMode="External" /><Relationship Type="http://schemas.openxmlformats.org/officeDocument/2006/relationships/hyperlink" Id="rId45" Target="https://www.ifrap.org/retraite/retraite-par-capitalisation-de-la-fonction-publique-rafp-une-lecon-deconomie" TargetMode="External" /><Relationship Type="http://schemas.openxmlformats.org/officeDocument/2006/relationships/hyperlink" Id="rId417" Target="https://www.institutmolinari.org/2025/01/16/augmentons-le-fonds-de-reserve-pour-les-retraites-pour-restaurer-les-finances-publiques/" TargetMode="External" /><Relationship Type="http://schemas.openxmlformats.org/officeDocument/2006/relationships/hyperlink" Id="rId28" Target="https://www.ipsos.com/fr-fr/barometre-les-francais-lepargne-et-la-retraite-lintention-depargner-atteint-un-niveau-record-en-2025" TargetMode="External" /><Relationship Type="http://schemas.openxmlformats.org/officeDocument/2006/relationships/hyperlink" Id="rId425" Target="https://www.legifrance.gouv.fr/jorf/id/JORFTEXT000000521099" TargetMode="External" /><Relationship Type="http://schemas.openxmlformats.org/officeDocument/2006/relationships/hyperlink" Id="rId38" Target="https://www.legifrance.gouv.fr/loda/article_lc/LEGIARTI000046874577" TargetMode="External" /><Relationship Type="http://schemas.openxmlformats.org/officeDocument/2006/relationships/hyperlink" Id="rId431" Target="https://www.oecd.org/en/publications/oecd-infe-2023-international-survey-of-adult-financial-literacy_56003a32-en.html" TargetMode="External" /><Relationship Type="http://schemas.openxmlformats.org/officeDocument/2006/relationships/hyperlink" Id="rId30" Target="https://www.opinion-way.com/fr/publications/les-francais-la-viabilite-du-systeme-de-retraites-et-linvestissement-2026-22219/" TargetMode="External" /><Relationship Type="http://schemas.openxmlformats.org/officeDocument/2006/relationships/hyperlink" Id="rId412" Target="https://www.publicsenat.fr/actualites/politique/reforme-des-retraites-la-droite-senatoriale-envisage-de-ranimer-le-fonds-de" TargetMode="External" /><Relationship Type="http://schemas.openxmlformats.org/officeDocument/2006/relationships/hyperlink" Id="rId41" Target="https://www.rafp.fr/en/about-us/about-us" TargetMode="External" /><Relationship Type="http://schemas.openxmlformats.org/officeDocument/2006/relationships/hyperlink" Id="rId35" Target="https://www.rafp.fr/en/actualites/presse/pour-ses-vingt-ans-regime-additionnel-fonction-publique-saffirme-comme-regime-performant" TargetMode="External" /></Relationships>
</file>

<file path=word/_rels/footnotes.xml.rels><?xml version="1.0" encoding="UTF-8"?><Relationships xmlns="http://schemas.openxmlformats.org/package/2006/relationships"><Relationship Type="http://schemas.openxmlformats.org/officeDocument/2006/relationships/hyperlink" Id="rId407" Target="https://ap2.se/en/the-ap-funds-strengthen-the-income-pension-system-by-sek-182-billion/" TargetMode="External" /><Relationship Type="http://schemas.openxmlformats.org/officeDocument/2006/relationships/hyperlink" Id="rId26" Target="https://elabe.fr/systeme-retraite-2025/" TargetMode="External" /><Relationship Type="http://schemas.openxmlformats.org/officeDocument/2006/relationships/hyperlink" Id="rId52" Target="https://presse.economie.gouv.fr/epargne-retraite-deploiement-du-per-plus-de-11-millions-de-titulaires-et-pres-de-119-milliards-dencours-au-troisieme-trimestre-2024/" TargetMode="External" /><Relationship Type="http://schemas.openxmlformats.org/officeDocument/2006/relationships/hyperlink" Id="rId10" Target="https://presse.economie.gouv.fr/letat-obtient-les-garanties-du-maintien-et-du-developpement-dopella-en-france/" TargetMode="External" /><Relationship Type="http://schemas.openxmlformats.org/officeDocument/2006/relationships/hyperlink" Id="rId24" Target="https://presse.groupama.com/actualites/sondage-retraite-odoxa-pour-groupama-reforme-des-retraites-que-veulent-et-ne-veulent-plus-les-francais-3a371-55f34.html" TargetMode="External" /><Relationship Type="http://schemas.openxmlformats.org/officeDocument/2006/relationships/hyperlink" Id="rId36" Target="https://rafp-ra2024.fr/" TargetMode="External" /><Relationship Type="http://schemas.openxmlformats.org/officeDocument/2006/relationships/hyperlink" Id="rId427" Target="https://shs.cairn.info/revue-d-histoire-de-la-protection-sociale-2020-1-page-23?lang=fr" TargetMode="External" /><Relationship Type="http://schemas.openxmlformats.org/officeDocument/2006/relationships/hyperlink" Id="rId32" Target="https://www.amf-france.org/sites/institutionnel/files/private/2025-01/barometre-amf-2024-octobre-2024-version-publiable_0.pdf" TargetMode="External" /><Relationship Type="http://schemas.openxmlformats.org/officeDocument/2006/relationships/hyperlink" Id="rId404" Target="https://www.ap4.se/en/about-ap4/our-history/" TargetMode="External" /><Relationship Type="http://schemas.openxmlformats.org/officeDocument/2006/relationships/hyperlink" Id="rId13" Target="https://www.calpers.ca.gov/documents/calpers-portfolio-partnership-report-as-of-december-31-2024/download?inline=" TargetMode="External" /><Relationship Type="http://schemas.openxmlformats.org/officeDocument/2006/relationships/hyperlink" Id="rId14" Target="https://www.cdr-inc.com/firm-profile" TargetMode="External" /><Relationship Type="http://schemas.openxmlformats.org/officeDocument/2006/relationships/hyperlink" Id="rId437" Target="https://www.cfecgc.org/actualites/la-retraite-par-capitalisation-au-coeur-des-discussions" TargetMode="External" /><Relationship Type="http://schemas.openxmlformats.org/officeDocument/2006/relationships/hyperlink" Id="rId436" Target="https://www.cgt.fr/actualites/retraites/la-capitalisation-nest-pas-une-solution-cest-une-regression-sociale-58" TargetMode="External" /><Relationship Type="http://schemas.openxmlformats.org/officeDocument/2006/relationships/hyperlink" Id="rId47" Target="https://www.cor-retraites.fr/sites/default/files/2024-07/Fiche_RAFP_vf.pdf" TargetMode="External" /><Relationship Type="http://schemas.openxmlformats.org/officeDocument/2006/relationships/hyperlink" Id="rId441" Target="https://www.cor-retraites.fr/sites/default/files/2025-06/RA_2025_def_publi.pdf" TargetMode="External" /><Relationship Type="http://schemas.openxmlformats.org/officeDocument/2006/relationships/hyperlink" Id="rId414" Target="https://www.espace-social.com/agirc-arrco-un-resultat-global-de-14-md-e-en-2025-et-des-reserves-de-plus-de-91-mds/" TargetMode="External" /><Relationship Type="http://schemas.openxmlformats.org/officeDocument/2006/relationships/hyperlink" Id="rId408" Target="https://www.europeanpensions.net/ep/Swedens-AP-Funds-achieve-combined-result-of-SEK-182bn-in-2024.php" TargetMode="External" /><Relationship Type="http://schemas.openxmlformats.org/officeDocument/2006/relationships/hyperlink" Id="rId420" Target="https://www.fondapol.org/etude/contribution-a-la-mission-flash-de-clarification-du-financement-des-retraites/" TargetMode="External" /><Relationship Type="http://schemas.openxmlformats.org/officeDocument/2006/relationships/hyperlink" Id="rId49" Target="https://www.fondapol.org/etude/retraites-optimiser-les-depenses-introduire-une-part-de-capitalisation/" TargetMode="External" /><Relationship Type="http://schemas.openxmlformats.org/officeDocument/2006/relationships/hyperlink" Id="rId416" Target="https://www.fondapol.org/etude/vers-un-systeme-de-retraite-mixte-repartition-capitalisation/" TargetMode="External" /><Relationship Type="http://schemas.openxmlformats.org/officeDocument/2006/relationships/hyperlink" Id="rId405" Target="https://www.heritage.org/social-security/report/pension-reform-sweden-lessons-american-policymakers" TargetMode="External" /><Relationship Type="http://schemas.openxmlformats.org/officeDocument/2006/relationships/hyperlink" Id="rId45" Target="https://www.ifrap.org/retraite/retraite-par-capitalisation-de-la-fonction-publique-rafp-une-lecon-deconomie" TargetMode="External" /><Relationship Type="http://schemas.openxmlformats.org/officeDocument/2006/relationships/hyperlink" Id="rId417" Target="https://www.institutmolinari.org/2025/01/16/augmentons-le-fonds-de-reserve-pour-les-retraites-pour-restaurer-les-finances-publiques/" TargetMode="External" /><Relationship Type="http://schemas.openxmlformats.org/officeDocument/2006/relationships/hyperlink" Id="rId28" Target="https://www.ipsos.com/fr-fr/barometre-les-francais-lepargne-et-la-retraite-lintention-depargner-atteint-un-niveau-record-en-2025" TargetMode="External" /><Relationship Type="http://schemas.openxmlformats.org/officeDocument/2006/relationships/hyperlink" Id="rId425" Target="https://www.legifrance.gouv.fr/jorf/id/JORFTEXT000000521099" TargetMode="External" /><Relationship Type="http://schemas.openxmlformats.org/officeDocument/2006/relationships/hyperlink" Id="rId38" Target="https://www.legifrance.gouv.fr/loda/article_lc/LEGIARTI000046874577" TargetMode="External" /><Relationship Type="http://schemas.openxmlformats.org/officeDocument/2006/relationships/hyperlink" Id="rId431" Target="https://www.oecd.org/en/publications/oecd-infe-2023-international-survey-of-adult-financial-literacy_56003a32-en.html" TargetMode="External" /><Relationship Type="http://schemas.openxmlformats.org/officeDocument/2006/relationships/hyperlink" Id="rId30" Target="https://www.opinion-way.com/fr/publications/les-francais-la-viabilite-du-systeme-de-retraites-et-linvestissement-2026-22219/" TargetMode="External" /><Relationship Type="http://schemas.openxmlformats.org/officeDocument/2006/relationships/hyperlink" Id="rId412" Target="https://www.publicsenat.fr/actualites/politique/reforme-des-retraites-la-droite-senatoriale-envisage-de-ranimer-le-fonds-de" TargetMode="External" /><Relationship Type="http://schemas.openxmlformats.org/officeDocument/2006/relationships/hyperlink" Id="rId41" Target="https://www.rafp.fr/en/about-us/about-us" TargetMode="External" /><Relationship Type="http://schemas.openxmlformats.org/officeDocument/2006/relationships/hyperlink" Id="rId35" Target="https://www.rafp.fr/en/actualites/presse/pour-ses-vingt-ans-regime-additionnel-fonction-publique-saffirme-comme-regime-perform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2026-05-29T17:47:08Z</dcterms:created>
  <dcterms:modified xsi:type="dcterms:W3CDTF">2026-05-29T17:47:08Z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