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introduction"/>
    <w:p>
      <w:pPr>
        <w:pStyle w:val="Heading1"/>
      </w:pPr>
      <w:r>
        <w:t xml:space="preserve">Introduction</w:t>
      </w:r>
    </w:p>
    <w:bookmarkStart w:id="11" w:name="langle-mort"/>
    <w:p>
      <w:pPr>
        <w:pStyle w:val="Heading2"/>
      </w:pPr>
      <w:r>
        <w:t xml:space="preserve">L’angle mort</w:t>
      </w:r>
    </w:p>
    <w:p>
      <w:pPr>
        <w:pStyle w:val="FirstParagraph"/>
      </w:pPr>
      <w:r>
        <w:t xml:space="preserve">Le Doliprane n’est pas un cas isolé. C’est le dernier en date d’une longue série, et tout indique que ce ne sera pas le dernier.</w:t>
      </w:r>
    </w:p>
    <w:p>
      <w:pPr>
        <w:pStyle w:val="BodyText"/>
      </w:pPr>
      <w:r>
        <w:t xml:space="preserve">Lafarge, vendu en 2015 au suisse Holcim. Alstom Énergie, cédé la même année au géant américain General Electric — sur intervention de l’État, avec la promesse, jamais tenue, d’un partenariat équilibré</w:t>
      </w:r>
      <w:r>
        <w:rPr>
          <w:rStyle w:val="FootnoteReference"/>
        </w:rPr>
        <w:footnoteReference w:id="9"/>
      </w:r>
      <w:r>
        <w:t xml:space="preserve">. Technip fusionné en 2017 avec l’américain FMC. Latécoère passé en 2020 sous contrôle du fonds américain Searchlight Capital</w:t>
      </w:r>
      <w:r>
        <w:rPr>
          <w:rStyle w:val="FootnoteReference"/>
        </w:rPr>
        <w:footnoteReference w:id="10"/>
      </w:r>
      <w:r>
        <w:t xml:space="preserve">. Photonis, fabricant français des systèmes de vision nocturne pour les forces spéciales, rescapé</w:t>
      </w:r>
      <w:r>
        <w:t xml:space="preserve"> </w:t>
      </w:r>
      <w:r>
        <w:rPr>
          <w:i/>
          <w:iCs/>
        </w:rPr>
        <w:t xml:space="preserve">in extremis</w:t>
      </w:r>
      <w:r>
        <w:t xml:space="preserve"> </w:t>
      </w:r>
      <w:r>
        <w:t xml:space="preserve">en 2021 d’une vente à l’américain Teledyne — Bercy ayant dû organiser en urgence un rachat patrimonial par le fonds français HLD. Exxelia, fabricant de composants électroniques militaires, racheté en 2022 par l’américain Heico pour quatre cent cinquante-trois millions d’euros. Le moteur d’Ariane 6, dont la production a quitté Vernon pour Lampoldshausen, en Allemagne, supprimant six cents emplois et transférant à un partenaire étranger un savoir-faire que la France avait mis quarante ans à construire. Et donc, en octobre 2024, le Doliprane.</w:t>
      </w:r>
    </w:p>
    <w:p>
      <w:pPr>
        <w:pStyle w:val="BodyText"/>
      </w:pPr>
      <w:r>
        <w:t xml:space="preserve">À chaque fois, le scénario est identique. Une entreprise française stratégique se retrouve à vendre. Aucun acteur français n’a la taille pour reprendre. Un investisseur étranger emporte l’affaire. La France s’indigne pendant deux semaines. Et l’on passe à autre chose.</w:t>
      </w:r>
    </w:p>
    <w:p>
      <w:pPr>
        <w:pStyle w:val="BodyText"/>
      </w:pPr>
      <w:r>
        <w:t xml:space="preserve">Or ces opérations ne sont pas, contrairement à l’image qu’on en donne parfois, le résultat d’une malédiction culturelle ou d’un manque de compétitivité industrielle. Elles ne sont pas le produit d’un « déclassement » mystérieux. Elles s’expliquent par une asymétrie financière simple, mécanique, parfaitement connue des professionnels du secteur — et systématiquement passée sous silence dans le débat public.</w:t>
      </w:r>
    </w:p>
    <w:p>
      <w:r>
        <w:pict>
          <v:rect style="width:0;height:1.5pt" o:hralign="center" o:hrstd="t" o:hr="t"/>
        </w:pict>
      </w:r>
    </w:p>
    <w:bookmarkEnd w:id="11"/>
    <w:bookmarkStart w:id="20" w:name="trois-chiffres"/>
    <w:p>
      <w:pPr>
        <w:pStyle w:val="Heading2"/>
      </w:pPr>
      <w:r>
        <w:t xml:space="preserve">Trois chiffres</w:t>
      </w:r>
    </w:p>
    <w:p>
      <w:pPr>
        <w:pStyle w:val="FirstParagraph"/>
      </w:pPr>
      <w:r>
        <w:t xml:space="preserve">Pour comprendre cette asymétrie, trois chiffres suffisent. Trois chiffres récents, sourcés, indiscutables — et qui, mis bout à bout, racontent l’histoire.</w:t>
      </w:r>
    </w:p>
    <w:p>
      <w:pPr>
        <w:pStyle w:val="BodyText"/>
      </w:pPr>
      <w:r>
        <w:rPr>
          <w:b/>
          <w:bCs/>
        </w:rPr>
        <w:t xml:space="preserve">Premier chiffre.</w:t>
      </w:r>
      <w:r>
        <w:t xml:space="preserve"> </w:t>
      </w:r>
      <w:r>
        <w:t xml:space="preserve">La moitié du CAC 40 ne nous appartient plus. À fin 2024, selon la Banque de France, 50 % du capital des quarante plus grandes sociétés françaises cotées est détenu par des investisseurs non-résidents — soit 1 083 milliards d’euros sur 2 165</w:t>
      </w:r>
      <w:r>
        <w:rPr>
          <w:rStyle w:val="FootnoteReference"/>
        </w:rPr>
        <w:footnoteReference w:id="12"/>
      </w:r>
      <w:r>
        <w:t xml:space="preserve">. Dix-neuf de ces trente-cinq sociétés sont contrôlées à plus de 50 % depuis l’étranger. Et la part s’accroît, lentement mais sans interruption, année après année. Quarante pour cent de ces non-résidents viennent de la zone euro ; trente-quatre pour cent des États-Unis.</w:t>
      </w:r>
    </w:p>
    <w:p>
      <w:pPr>
        <w:pStyle w:val="BodyText"/>
      </w:pPr>
      <w:r>
        <w:t xml:space="preserve">Ces investisseurs étrangers ne sont pas, dans leur majorité, des spéculateurs hostiles. Ce sont des fonds de pension. Le</w:t>
      </w:r>
      <w:r>
        <w:t xml:space="preserve"> </w:t>
      </w:r>
      <w:r>
        <w:rPr>
          <w:i/>
          <w:iCs/>
        </w:rPr>
        <w:t xml:space="preserve">Government Pension Fund Global</w:t>
      </w:r>
      <w:r>
        <w:t xml:space="preserve"> </w:t>
      </w:r>
      <w:r>
        <w:t xml:space="preserve">norvégien détient à lui seul, fin 2024, des dizaines de milliards d’actions françaises</w:t>
      </w:r>
      <w:r>
        <w:rPr>
          <w:rStyle w:val="FootnoteReference"/>
        </w:rPr>
        <w:footnoteReference w:id="13"/>
      </w:r>
      <w:r>
        <w:t xml:space="preserve">. ABP, le fonds des fonctionnaires néerlandais, possède du Total, du Sanofi, du LVMH. Le</w:t>
      </w:r>
      <w:r>
        <w:t xml:space="preserve"> </w:t>
      </w:r>
      <w:r>
        <w:rPr>
          <w:i/>
          <w:iCs/>
        </w:rPr>
        <w:t xml:space="preserve">Canada Pension Plan Investment Board</w:t>
      </w:r>
      <w:r>
        <w:t xml:space="preserve">, qui gère les retraites des cotisants canadiens, est présent au capital de Schneider Electric, d’Air Liquide, de Veolia. Quant aux</w:t>
      </w:r>
      <w:r>
        <w:t xml:space="preserve"> </w:t>
      </w:r>
      <w:r>
        <w:rPr>
          <w:i/>
          <w:iCs/>
        </w:rPr>
        <w:t xml:space="preserve">401(k)</w:t>
      </w:r>
      <w:r>
        <w:t xml:space="preserve"> </w:t>
      </w:r>
      <w:r>
        <w:t xml:space="preserve">américains, ils possèdent indirectement, via les ETF Vanguard et BlackRock, une fraction du capital de presque toutes nos grandes entreprises cotées.</w:t>
      </w:r>
    </w:p>
    <w:p>
      <w:pPr>
        <w:pStyle w:val="BodyText"/>
      </w:pPr>
      <w:r>
        <w:t xml:space="preserve">Conséquence directe : sur les 73 milliards d’euros de dividendes versés en 2024 par le CAC 40 — un record absolu</w:t>
      </w:r>
      <w:r>
        <w:rPr>
          <w:rStyle w:val="FootnoteReference"/>
        </w:rPr>
        <w:footnoteReference w:id="14"/>
      </w:r>
      <w:r>
        <w:t xml:space="preserve"> </w:t>
      </w:r>
      <w:r>
        <w:t xml:space="preserve">—, environ 36,5 milliards sont partis vers l’étranger.</w:t>
      </w:r>
    </w:p>
    <w:p>
      <w:pPr>
        <w:pStyle w:val="BlockText"/>
      </w:pPr>
      <w:r>
        <w:rPr>
          <w:b/>
          <w:bCs/>
        </w:rPr>
        <w:t xml:space="preserve">Calcul Où Va l’Argent.</w:t>
      </w:r>
      <w:r>
        <w:t xml:space="preserve"> </w:t>
      </w:r>
      <w:r>
        <w:t xml:space="preserve">Estimation des dividendes captés par les non-résidents en 2024.</w:t>
      </w:r>
    </w:p>
    <w:p>
      <w:pPr>
        <w:pStyle w:val="BlockText"/>
      </w:pPr>
      <w:r>
        <w:t xml:space="preserve">Total des dividendes versés par les sociétés du CAC 40 en 2024 : 73,0 Md€</w:t>
      </w:r>
      <w:r>
        <w:t xml:space="preserve"> </w:t>
      </w:r>
      <w:r>
        <w:rPr>
          <w:i/>
          <w:iCs/>
        </w:rPr>
        <w:t xml:space="preserve">(source :</w:t>
      </w:r>
      <w:r>
        <w:rPr>
          <w:i/>
          <w:iCs/>
        </w:rPr>
        <w:t xml:space="preserve"> </w:t>
      </w:r>
      <w:r>
        <w:t xml:space="preserve">Vernimmen</w:t>
      </w:r>
      <w:r>
        <w:rPr>
          <w:i/>
          <w:iCs/>
        </w:rPr>
        <w:t xml:space="preserve">,</w:t>
      </w:r>
      <w:r>
        <w:rPr>
          <w:i/>
          <w:iCs/>
        </w:rPr>
        <w:t xml:space="preserve"> </w:t>
      </w:r>
      <w:r>
        <w:t xml:space="preserve">Dividendes du CAC 40</w:t>
      </w:r>
      <w:r>
        <w:rPr>
          <w:i/>
          <w:iCs/>
        </w:rPr>
        <w:t xml:space="preserve">, 2025)</w:t>
      </w:r>
      <w:r>
        <w:t xml:space="preserve">. Part détenue par les non-résidents en valeur : 50,0 %</w:t>
      </w:r>
      <w:r>
        <w:t xml:space="preserve"> </w:t>
      </w:r>
      <w:r>
        <w:rPr>
          <w:i/>
          <w:iCs/>
        </w:rPr>
        <w:t xml:space="preserve">(source : Banque de France 2024)</w:t>
      </w:r>
      <w:r>
        <w:t xml:space="preserve">. Estimation OVLA : 73,0 × 0,50 =</w:t>
      </w:r>
      <w:r>
        <w:t xml:space="preserve"> </w:t>
      </w:r>
      <w:r>
        <w:rPr>
          <w:b/>
          <w:bCs/>
        </w:rPr>
        <w:t xml:space="preserve">36,5 Md€</w:t>
      </w:r>
      <w:r>
        <w:t xml:space="preserve">.</w:t>
      </w:r>
    </w:p>
    <w:p>
      <w:pPr>
        <w:pStyle w:val="BlockText"/>
      </w:pPr>
      <w:r>
        <w:t xml:space="preserve">L’estimation est volontairement conservatrice : elle suppose que les non-résidents détiennent les sociétés du CAC 40 dans la même proportion que la moyenne du marché. En réalité, plusieurs des sociétés les plus distributrices (TotalEnergies, Sanofi, BNP Paribas, AXA, L’Oréal) sont détenues à des taux supérieurs par des non-résidents, ce qui pousse l’estimation réelle vers la fourchette haute, autour de 38-40 Md€</w:t>
      </w:r>
      <w:r>
        <w:rPr>
          <w:rStyle w:val="FootnoteReference"/>
        </w:rPr>
        <w:footnoteReference w:id="15"/>
      </w:r>
      <w:r>
        <w:t xml:space="preserve">.</w:t>
      </w:r>
    </w:p>
    <w:p>
      <w:pPr>
        <w:pStyle w:val="FirstParagraph"/>
      </w:pPr>
      <w:r>
        <w:t xml:space="preserve">Trente-six milliards d’euros par an. C’est, à un milliard près, le budget annuel du ministère de l’Éducation nationale</w:t>
      </w:r>
      <w:r>
        <w:rPr>
          <w:rStyle w:val="FootnoteReference"/>
        </w:rPr>
        <w:footnoteReference w:id="16"/>
      </w:r>
      <w:r>
        <w:t xml:space="preserve">. Chaque année, donc, les bénéfices de nos plus grandes entreprises financent les retraites néerlandaises, les universités californiennes, les routes ontariennes — partout, sauf chez nous. Pendant ce temps, le Français qui cotise pour sa propre retraite alimente un système qui ne possède quasiment rien.</w:t>
      </w:r>
    </w:p>
    <w:p>
      <w:r>
        <w:pict>
          <v:rect style="width:0;height:1.5pt" o:hralign="center" o:hrstd="t" o:hr="t"/>
        </w:pict>
      </w:r>
    </w:p>
    <w:p>
      <w:pPr>
        <w:pStyle w:val="FirstParagraph"/>
      </w:pPr>
      <w:r>
        <w:rPr>
          <w:b/>
          <w:bCs/>
        </w:rPr>
        <w:t xml:space="preserve">Deuxième chiffre.</w:t>
      </w:r>
      <w:r>
        <w:t xml:space="preserve"> </w:t>
      </w:r>
      <w:r>
        <w:t xml:space="preserve">240 000. C’est le nombre d’entreprises françaises qui, selon les projections de BPI France, ne trouveront pas de repreneur d’ici 2030. Sur les 370 000 entreprises à transmettre — conséquence directe du papy-boom industriel —, seules 130 000 trouveront un acquéreur dans les circuits classiques</w:t>
      </w:r>
      <w:r>
        <w:rPr>
          <w:rStyle w:val="FootnoteReference"/>
        </w:rPr>
        <w:footnoteReference w:id="17"/>
      </w:r>
      <w:r>
        <w:t xml:space="preserve">. Les 240 000 autres se vendront mal, à des prix décotés, à des acheteurs étrangers, ou disparaîtront. Trois millions d’emplois sont concernés. Et derrière ces chiffres, ce sont des compétences, des brevets, des sièges sociaux qui, faute d’acheteur français à la hauteur, partiront ailleurs ou s’évaporeront.</w:t>
      </w:r>
    </w:p>
    <w:p>
      <w:pPr>
        <w:pStyle w:val="BodyText"/>
      </w:pPr>
      <w:r>
        <w:rPr>
          <w:b/>
          <w:bCs/>
        </w:rPr>
        <w:t xml:space="preserve">Troisième chiffre.</w:t>
      </w:r>
      <w:r>
        <w:t xml:space="preserve"> </w:t>
      </w:r>
      <w:r>
        <w:t xml:space="preserve">70 % contre 96 %. C’est la différence entre le taux de remplacement net des retraites en France et aux Pays-Bas, selon les données OCDE 2024</w:t>
      </w:r>
      <w:r>
        <w:rPr>
          <w:rStyle w:val="FootnoteReference"/>
        </w:rPr>
        <w:footnoteReference w:id="18"/>
      </w:r>
      <w:r>
        <w:t xml:space="preserve">. Pour un salarié moyen, la pension française couvre 70 % du dernier salaire ; la pension néerlandaise, 96 %. Et ce n’est pas tout : pour parvenir à ce 70 %, le salarié français cotise plus que le néerlandais. Le total des cotisations vieillesse — salariales et patronales — atteint 27,8 % en France, contre 22 % aux Pays-Bas</w:t>
      </w:r>
      <w:r>
        <w:rPr>
          <w:rStyle w:val="FootnoteReference"/>
        </w:rPr>
        <w:footnoteReference w:id="19"/>
      </w:r>
      <w:r>
        <w:t xml:space="preserve">. On cotise plus. On touche moins.</w:t>
      </w:r>
    </w:p>
    <w:p>
      <w:r>
        <w:pict>
          <v:rect style="width:0;height:1.5pt" o:hralign="center" o:hrstd="t" o:hr="t"/>
        </w:pict>
      </w:r>
    </w:p>
    <w:bookmarkEnd w:id="20"/>
    <w:bookmarkStart w:id="25" w:name="la-grande-illusion"/>
    <w:p>
      <w:pPr>
        <w:pStyle w:val="Heading2"/>
      </w:pPr>
      <w:r>
        <w:t xml:space="preserve">La grande illusion</w:t>
      </w:r>
    </w:p>
    <w:p>
      <w:pPr>
        <w:pStyle w:val="FirstParagraph"/>
      </w:pPr>
      <w:r>
        <w:t xml:space="preserve">Comment un pays qui consacre près de 14 % de son produit intérieur brut aux pensions de retraite — record OCDE après l’Italie et l’Autriche</w:t>
      </w:r>
      <w:r>
        <w:rPr>
          <w:rStyle w:val="FootnoteReference"/>
        </w:rPr>
        <w:footnoteReference w:id="21"/>
      </w:r>
      <w:r>
        <w:t xml:space="preserve"> </w:t>
      </w:r>
      <w:r>
        <w:t xml:space="preserve">— peut-il offrir à ses retraités un niveau de vie inférieur à celui de pays qui dépensent moins ? Comment cotiser davantage et toucher moins ?</w:t>
      </w:r>
    </w:p>
    <w:p>
      <w:pPr>
        <w:pStyle w:val="BodyText"/>
      </w:pPr>
      <w:r>
        <w:t xml:space="preserve">La réponse tient en un mot : architecture. Le système français est un système à un pilier. Tout passe par la répartition. Les actifs cotisent, les retraités touchent, l’État régule. Le mécanisme est simple, lisible, et historiquement adapté à une France où l’on entrait sur le marché du travail à seize ans, où l’on partait à la retraite à soixante-cinq, où l’on mourait à soixante-douze, et où il y avait quatre cotisants pour un retraité. Ce monde-là n’existe plus depuis longtemps.</w:t>
      </w:r>
    </w:p>
    <w:p>
      <w:pPr>
        <w:pStyle w:val="BodyText"/>
      </w:pPr>
      <w:r>
        <w:t xml:space="preserve">Tous les pays comparables — Allemagne, Royaume-Uni, Danemark, Suède, Pays-Bas, Suisse — avaient au départ, comme la France, des systèmes de répartition puissants. Tous, à un moment ou un autre des trente dernières années, ont ajouté un second pilier capitalisé. Pas pour démanteler le premier, mais pour soulager la pression démographique. Quand la pyramide des âges se retourne, quand le ratio cotisants-retraités se dégrade, la répartition souffre mécaniquement. La capitalisation, elle, s’appuie sur les rendements du capital — qui ne dépendent pas du nombre d’actifs.</w:t>
      </w:r>
    </w:p>
    <w:p>
      <w:pPr>
        <w:pStyle w:val="BodyText"/>
      </w:pPr>
      <w:r>
        <w:t xml:space="preserve">C’est cela, le vrai débat. Ce n’est pas une querelle idéologique entre solidarité et individualisme. Ce n’est pas un combat entre le « modèle social français » et le « modèle anglo-saxon ». C’est une question d’ingénierie économique : à quoi ressemble un système de retraite robuste dans une démographie qui vieillit ? Un système monopilier ne tient pas. Un système multipilier tient. La France n’a, à ce jour, qu’un seul pilier.</w:t>
      </w:r>
    </w:p>
    <w:p>
      <w:pPr>
        <w:pStyle w:val="BlockText"/>
      </w:pPr>
      <w:r>
        <w:rPr>
          <w:b/>
          <w:bCs/>
        </w:rPr>
        <w:t xml:space="preserve">Calcul Où Va l’Argent.</w:t>
      </w:r>
      <w:r>
        <w:t xml:space="preserve"> </w:t>
      </w:r>
      <w:r>
        <w:t xml:space="preserve">Le rendement implicite du système français.</w:t>
      </w:r>
    </w:p>
    <w:p>
      <w:pPr>
        <w:pStyle w:val="BlockText"/>
      </w:pPr>
      <w:r>
        <w:t xml:space="preserve">Pour un salarié moyen à carrière complète, on peut estimer le « rendement implicite » d’un système de retraite comme le ratio entre la pension annuelle perçue et la cotisation cumulée sur la carrière, exprimée en proportion du salaire de référence.</w:t>
      </w:r>
    </w:p>
    <w:p>
      <w:pPr>
        <w:pStyle w:val="BlockText"/>
      </w:pPr>
      <w:r>
        <w:t xml:space="preserve">Pour la France : pension annuelle = 70 % du salaire ; cotisations cumulées sur 40 ans = 27,8 % × 40 = 11,12 années de salaire. Rendement implicite = 0,70 / 11,12 =</w:t>
      </w:r>
      <w:r>
        <w:t xml:space="preserve"> </w:t>
      </w:r>
      <w:r>
        <w:rPr>
          <w:b/>
          <w:bCs/>
        </w:rPr>
        <w:t xml:space="preserve">6,3 % par an</w:t>
      </w:r>
      <w:r>
        <w:t xml:space="preserve">.</w:t>
      </w:r>
    </w:p>
    <w:p>
      <w:pPr>
        <w:pStyle w:val="BlockText"/>
      </w:pPr>
      <w:r>
        <w:t xml:space="preserve">Pour les Pays-Bas : pension annuelle = 96 % du salaire ; cotisations cumulées sur 40 ans = 22 % × 40 = 8,8 années de salaire. Rendement implicite = 0,96 / 8,80 =</w:t>
      </w:r>
      <w:r>
        <w:t xml:space="preserve"> </w:t>
      </w:r>
      <w:r>
        <w:rPr>
          <w:b/>
          <w:bCs/>
        </w:rPr>
        <w:t xml:space="preserve">10,9 % par an</w:t>
      </w:r>
      <w:r>
        <w:t xml:space="preserve">.</w:t>
      </w:r>
    </w:p>
    <w:p>
      <w:pPr>
        <w:pStyle w:val="BlockText"/>
      </w:pPr>
      <w:r>
        <w:t xml:space="preserve">En d’autres termes : pour chaque euro cotisé tout au long de sa carrière, le retraité néerlandais perçoit annuellement 73 % de plus que le retraité français</w:t>
      </w:r>
      <w:r>
        <w:rPr>
          <w:rStyle w:val="FootnoteReference"/>
        </w:rPr>
        <w:footnoteReference w:id="22"/>
      </w:r>
      <w:r>
        <w:t xml:space="preserve">. La différence n’est pas une question de générosité ou de solidarité — c’est, mathématiquement, ce que produit un système qui fait travailler le capital pendant que le système français se contente de faire transiter les flux.</w:t>
      </w:r>
    </w:p>
    <w:p>
      <w:pPr>
        <w:pStyle w:val="FirstParagraph"/>
      </w:pPr>
      <w:r>
        <w:t xml:space="preserve">L’illusion française tient à ce que cette fragilité reste masquée. Tous les dix ans, on relève l’âge de départ, on rallonge la durée de cotisation, on ajuste les modes de calcul. Chaque réforme est présentée comme « la dernière ». Et chaque fois, dix ans plus tard, il faut remettre l’ouvrage sur le métier. Le Conseil d’orientation des retraites, dans son rapport de juin 2025, projette un déficit tendanciel passant de 0,2 point de PIB en 2030 à 1,4 point en 2070, à comportement et législation inchangés</w:t>
      </w:r>
      <w:r>
        <w:rPr>
          <w:rStyle w:val="FootnoteReference"/>
        </w:rPr>
        <w:footnoteReference w:id="23"/>
      </w:r>
      <w:r>
        <w:t xml:space="preserve">. Pour rééquilibrer le système sans toucher aux pensions ni à l’âge, il faudrait augmenter de 3,5 points supplémentaires les cotisations vieillesse. Trois choix douloureux qui se représentent à chaque génération.</w:t>
      </w:r>
    </w:p>
    <w:p>
      <w:pPr>
        <w:pStyle w:val="BodyText"/>
      </w:pPr>
      <w:r>
        <w:t xml:space="preserve">Ce qu’introduit la capitalisation, c’est un changement de nature. Elle ne remplace pas la cotisation : elle fait travailler l’épargne accumulée. Sur trente ou quarante ans, à un rendement annuel moyen de 5 % — bien en-deçà des performances réelles des principaux fonds de pension internationaux</w:t>
      </w:r>
      <w:r>
        <w:rPr>
          <w:rStyle w:val="FootnoteReference"/>
        </w:rPr>
        <w:footnoteReference w:id="24"/>
      </w:r>
      <w:r>
        <w:t xml:space="preserve"> </w:t>
      </w:r>
      <w:r>
        <w:t xml:space="preserve">—, un euro investi se transforme en cinq ou six euros. Cet effet d’accumulation, complètement absent du système français, est ce qui permet aux Néerlandais de garantir 96 % du dernier salaire à leurs retraités, en cotisant moins que les Français.</w:t>
      </w:r>
    </w:p>
    <w:p>
      <w:r>
        <w:pict>
          <v:rect style="width:0;height:1.5pt" o:hralign="center" o:hrstd="t" o:hr="t"/>
        </w:pict>
      </w:r>
    </w:p>
    <w:bookmarkEnd w:id="25"/>
    <w:bookmarkStart w:id="28" w:name="ce-que-ce-livre-démontre"/>
    <w:p>
      <w:pPr>
        <w:pStyle w:val="Heading2"/>
      </w:pPr>
      <w:r>
        <w:t xml:space="preserve">Ce que ce livre démontre</w:t>
      </w:r>
    </w:p>
    <w:p>
      <w:pPr>
        <w:pStyle w:val="FirstParagraph"/>
      </w:pPr>
      <w:r>
        <w:t xml:space="preserve">Au fil des chapitres qui suivent, cinq démonstrations s’enchaînent.</w:t>
      </w:r>
    </w:p>
    <w:p>
      <w:pPr>
        <w:pStyle w:val="BodyText"/>
      </w:pPr>
      <w:r>
        <w:t xml:space="preserve">La France n’a pas, ou presque pas, de fonds de pension. L’inventaire chiffré des dispositifs existants — ERAFP, Fonds de réserve pour les retraites, PER, PERCO, PREFON, COREM — donne 210 milliards d’euros, soit 2,5 % du produit intérieur brut</w:t>
      </w:r>
      <w:r>
        <w:rPr>
          <w:rStyle w:val="FootnoteReference"/>
        </w:rPr>
        <w:footnoteReference w:id="26"/>
      </w:r>
      <w:r>
        <w:t xml:space="preserve">. Ce qui place la France à l’avant-dernière position de l’Organisation de coopération et de développement économiques, devant l’Allemagne et loin derrière les autres pays comparables. Le Plan d’épargne retraite créé en 2019 est un succès quantitatif — onze millions de souscripteurs</w:t>
      </w:r>
      <w:r>
        <w:rPr>
          <w:rStyle w:val="FootnoteReference"/>
        </w:rPr>
        <w:footnoteReference w:id="27"/>
      </w:r>
      <w:r>
        <w:t xml:space="preserve"> </w:t>
      </w:r>
      <w:r>
        <w:t xml:space="preserve">— mais ce n’est pas un système de fonds de pension structurel. C’est un produit d’épargne individuelle volontaire, sans portée macroéconomique. C’est le chapitre 1.</w:t>
      </w:r>
    </w:p>
    <w:p>
      <w:pPr>
        <w:pStyle w:val="BodyText"/>
      </w:pPr>
      <w:r>
        <w:t xml:space="preserve">Tous les pays comparables ont, eux, des fonds de pension de taille significative. Le chapitre 2 visite huit modèles — États-Unis, Pays-Bas, Royaume-Uni, Suède, Norvège, Australie, Suisse, Canada — et un contre-exemple, l’Allemagne. Chacun a son histoire, ses compromis, ses limites. Mais tous ont fait, à un moment, le même choix : compléter la répartition par un pilier capitalisé. Aucun n’est revenu en arrière. Tous, sans exception, en tirent aujourd’hui un avantage économique mesurable.</w:t>
      </w:r>
    </w:p>
    <w:p>
      <w:pPr>
        <w:pStyle w:val="BodyText"/>
      </w:pPr>
      <w:r>
        <w:t xml:space="preserve">Cet avantage est chiffrable. Le chapitre 3 documente trois bénéfices : pour les retraités (pensions plus élevées), pour l’économie (capital long terme et croissance), et pour la souveraineté. À l’inverse, l’absence de fonds de pension a des coûts cachés massifs. Le chapitre 4 expose ces coûts : la fuite annuelle des dividendes, l’insoutenabilité mathématique de la répartition, l’écart des pensions, l’atrophie de la Bourse de Paris, l’étranglement des PME et ETI, le gouffre intergénérationnel qui se creuse entre actifs et retraités. Aucun de ces coûts n’est hypothétique. Tous sont à l’œuvre, et tous s’aggravent.</w:t>
      </w:r>
    </w:p>
    <w:p>
      <w:pPr>
        <w:pStyle w:val="BodyText"/>
      </w:pPr>
      <w:r>
        <w:t xml:space="preserve">Et puis il y a le cœur du sujet. Celui qui dépasse en gravité tous les autres réunis. Le chapitre 5 décrit ce que nous appelons le hold-up silencieux : la vague historique de transmissions d’entreprises françaises qui s’ouvre maintenant — avec le départ à la retraite des dirigeants nés dans les années 1950-1960 — et le rachat massif de ces entreprises par des fonds étrangers. Pas parce qu’ils sont meilleurs. Parce qu’ils ont, eux, le capital pour le faire. Photonis, Exxelia, Doliprane, Lafarge, Alstom Énergie, Technip, Latécoère : la liste est déjà longue, et elle s’allongera dans les dix prochaines années si rien ne change. C’est l’urgence absolue.</w:t>
      </w:r>
    </w:p>
    <w:p>
      <w:pPr>
        <w:pStyle w:val="BodyText"/>
      </w:pPr>
      <w:r>
        <w:t xml:space="preserve">Le chapitre 6 désamorce frontalement les objections — c’est le test décisif du livre. Le chapitre 7 compare les transitions étrangères réussies. Le chapitre 8 propose une feuille de route opérationnelle, datée, chiffrée. Le chapitre 9, en conclusion, formule douze propositions concrètes.</w:t>
      </w:r>
    </w:p>
    <w:p>
      <w:r>
        <w:pict>
          <v:rect style="width:0;height:1.5pt" o:hralign="center" o:hrstd="t" o:hr="t"/>
        </w:pict>
      </w:r>
    </w:p>
    <w:bookmarkEnd w:id="28"/>
    <w:bookmarkStart w:id="29" w:name="plan-de-louvrage"/>
    <w:p>
      <w:pPr>
        <w:pStyle w:val="Heading2"/>
      </w:pPr>
      <w:r>
        <w:t xml:space="preserve">Plan de l’ouvrage</w:t>
      </w:r>
    </w:p>
    <w:p>
      <w:pPr>
        <w:pStyle w:val="FirstParagraph"/>
      </w:pPr>
      <w:r>
        <w:t xml:space="preserve">Le livre s’organise en quatre parties.</w:t>
      </w:r>
    </w:p>
    <w:p>
      <w:pPr>
        <w:pStyle w:val="BodyText"/>
      </w:pPr>
      <w:r>
        <w:t xml:space="preserve">La première partie,</w:t>
      </w:r>
      <w:r>
        <w:t xml:space="preserve"> </w:t>
      </w:r>
      <w:r>
        <w:rPr>
          <w:i/>
          <w:iCs/>
        </w:rPr>
        <w:t xml:space="preserve">Le système à bout de souffle</w:t>
      </w:r>
      <w:r>
        <w:t xml:space="preserve">, pose le diagnostic du modèle français. Elle traite de la fragilité démographique du système par répartition (chapitre 1) et de ce que la répartition a tout de même réussi (chapitre 2) — parce qu’il serait malhonnête de ne pas le rappeler.</w:t>
      </w:r>
    </w:p>
    <w:p>
      <w:pPr>
        <w:pStyle w:val="BodyText"/>
      </w:pPr>
      <w:r>
        <w:t xml:space="preserve">La deuxième partie,</w:t>
      </w:r>
      <w:r>
        <w:t xml:space="preserve"> </w:t>
      </w:r>
      <w:r>
        <w:rPr>
          <w:i/>
          <w:iCs/>
        </w:rPr>
        <w:t xml:space="preserve">Trente ans de tabou</w:t>
      </w:r>
      <w:r>
        <w:t xml:space="preserve">, raconte pourquoi la France a, depuis 1945, refusé de se doter d’un second pilier capitalisé (chapitre 3) et pourquoi cette absence laisse dormir des milliers de milliards d’euros d’épargne mal allouée (chapitre 4).</w:t>
      </w:r>
    </w:p>
    <w:p>
      <w:pPr>
        <w:pStyle w:val="BodyText"/>
      </w:pPr>
      <w:r>
        <w:t xml:space="preserve">La troisième partie,</w:t>
      </w:r>
      <w:r>
        <w:t xml:space="preserve"> </w:t>
      </w:r>
      <w:r>
        <w:rPr>
          <w:i/>
          <w:iCs/>
        </w:rPr>
        <w:t xml:space="preserve">Trois bénéfices documentés</w:t>
      </w:r>
      <w:r>
        <w:t xml:space="preserve">, est le cœur du plaidoyer. Elle traite tour à tour des trois grands gains qu’apporterait la capitalisation : pour les retraités (chapitre 5), pour l’économie (chapitre 6), et pour la souveraineté (chapitre 7). Ce dernier est le plus long et le plus politique : c’est lui qui décrit le hold-up silencieux des entreprises françaises.</w:t>
      </w:r>
    </w:p>
    <w:p>
      <w:pPr>
        <w:pStyle w:val="BodyText"/>
      </w:pPr>
      <w:r>
        <w:t xml:space="preserve">La quatrième partie,</w:t>
      </w:r>
      <w:r>
        <w:t xml:space="preserve"> </w:t>
      </w:r>
      <w:r>
        <w:rPr>
          <w:i/>
          <w:iCs/>
        </w:rPr>
        <w:t xml:space="preserve">Cinq mensonges</w:t>
      </w:r>
      <w:r>
        <w:t xml:space="preserve">, démonte une à une les cinq objections classiques à la capitalisation (chapitre 8) : la prétendue dangerosité financière, l’inégalité supposée, l’impossibilité du double paiement, le bilan du PER, l’absence de culture financière. Chacune est traitée à part, données à l’appui.</w:t>
      </w:r>
    </w:p>
    <w:p>
      <w:pPr>
        <w:pStyle w:val="BodyText"/>
      </w:pPr>
      <w:r>
        <w:t xml:space="preserve">La cinquième partie,</w:t>
      </w:r>
      <w:r>
        <w:t xml:space="preserve"> </w:t>
      </w:r>
      <w:r>
        <w:rPr>
          <w:i/>
          <w:iCs/>
        </w:rPr>
        <w:t xml:space="preserve">La feuille de route</w:t>
      </w:r>
      <w:r>
        <w:t xml:space="preserve">, est opérationnelle. Elle visite ce qu’ont fait ceux qui ont réussi (chapitre 9), propose une trajectoire de transition pour la France à horizon 2026-2056 (chapitre 10) et conclut sur douze propositions concrètes (chapitre 11).</w:t>
      </w:r>
    </w:p>
    <w:p>
      <w:pPr>
        <w:pStyle w:val="BodyText"/>
      </w:pPr>
      <w:r>
        <w:t xml:space="preserve">Chaque chapitre est autonome — on peut le lire seul — et renvoie aux autres pour approfondir. Les annexes contiennent les modélisations détaillées, les tableaux comparatifs, la méthodologie et la bibliographie complète.</w:t>
      </w:r>
    </w:p>
    <w:p>
      <w:r>
        <w:pict>
          <v:rect style="width:0;height:1.5pt" o:hralign="center" o:hrstd="t" o:hr="t"/>
        </w:pict>
      </w:r>
    </w:p>
    <w:p>
      <w:pPr>
        <w:pStyle w:val="FirstParagraph"/>
      </w:pPr>
      <w:r>
        <w:t xml:space="preserve">Reprenons. Octobre 2024, le Doliprane est vendu à un fonds américain. La France s’indigne. Personne ne demande pourquoi aucun acheteur français n’a pu se présenter. La réponse est connue, mais elle déplaît : c’est parce que nous avons, depuis trente ans, refusé de construire l’outil qui aurait permis de le faire.</w:t>
      </w:r>
    </w:p>
    <w:p>
      <w:pPr>
        <w:pStyle w:val="BodyText"/>
      </w:pPr>
      <w:r>
        <w:t xml:space="preserve">Ce livre raconte cette histoire. Il essaie de la raconter froidement, à partir des chiffres. Et il essaie, à la fin, de proposer un chemin pour en sortir.</w:t>
      </w:r>
    </w:p>
    <w:p>
      <w:pPr>
        <w:pStyle w:val="BodyText"/>
      </w:pPr>
      <w:r>
        <w:t xml:space="preserve">Parce que la fenêtre, comme on va le voir, n’est pas grande. Et qu’elle se referme.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Le rachat d’Alstom Énergie par General Electric pour 12,4 milliards de dollars en 2015 a été présenté à l’époque comme une « alliance stratégique » assortie de garanties (préservation des emplois français,</w:t>
      </w:r>
      <w:r>
        <w:t xml:space="preserve"> </w:t>
      </w:r>
      <w:r>
        <w:rPr>
          <w:i/>
          <w:iCs/>
        </w:rPr>
        <w:t xml:space="preserve">joint ventures</w:t>
      </w:r>
      <w:r>
        <w:t xml:space="preserve"> </w:t>
      </w:r>
      <w:r>
        <w:t xml:space="preserve">paritaires sur les turbines nucléaires). Dix ans plus tard, le bilan est sans appel : suppressions massives en France, sortie de GE des activités les plus stratégiques, démantèlement progressif des</w:t>
      </w:r>
      <w:r>
        <w:t xml:space="preserve"> </w:t>
      </w:r>
      <w:r>
        <w:rPr>
          <w:i/>
          <w:iCs/>
        </w:rPr>
        <w:t xml:space="preserve">joint ventures</w:t>
      </w:r>
      <w:r>
        <w:t xml:space="preserve">. Voir notamment le rapport de la Commission d’enquête de l’Assemblée nationale sur les décisions de l’État en matière de politique industrielle,</w:t>
      </w:r>
      <w:r>
        <w:t xml:space="preserve"> </w:t>
      </w:r>
      <w:r>
        <w:rPr>
          <w:i/>
          <w:iCs/>
        </w:rPr>
        <w:t xml:space="preserve">Cas Alstom</w:t>
      </w:r>
      <w:r>
        <w:t xml:space="preserve">, 2018 ; et Frédéric Pierucci,</w:t>
      </w:r>
      <w:r>
        <w:t xml:space="preserve"> </w:t>
      </w:r>
      <w:r>
        <w:rPr>
          <w:i/>
          <w:iCs/>
        </w:rPr>
        <w:t xml:space="preserve">Le Piège américain</w:t>
      </w:r>
      <w:r>
        <w:t xml:space="preserve">, JC Lattès, 2019.</w:t>
      </w:r>
    </w:p>
  </w:footnote>
  <w:footnote w:id="10">
    <w:p>
      <w:pPr>
        <w:pStyle w:val="FootnoteText"/>
      </w:pPr>
      <w:r>
        <w:rPr>
          <w:rStyle w:val="FootnoteReference"/>
        </w:rPr>
        <w:footnoteRef/>
      </w:r>
      <w:r>
        <w:t xml:space="preserve"> </w:t>
      </w:r>
      <w:r>
        <w:t xml:space="preserve">Searchlight Capital Partners (États-Unis) a pris le contrôle de Latécoère en 2020 à l’occasion d’une recapitalisation rendue nécessaire par la crise sanitaire.</w:t>
      </w:r>
      <w:r>
        <w:t xml:space="preserve"> </w:t>
      </w:r>
      <w:r>
        <w:rPr>
          <w:i/>
          <w:iCs/>
        </w:rPr>
        <w:t xml:space="preserve">Le Figaro</w:t>
      </w:r>
      <w:r>
        <w:t xml:space="preserve">,</w:t>
      </w:r>
      <w:r>
        <w:t xml:space="preserve"> </w:t>
      </w:r>
      <w:r>
        <w:rPr>
          <w:i/>
          <w:iCs/>
        </w:rPr>
        <w:t xml:space="preserve">Latécoère sous pavillon américain</w:t>
      </w:r>
      <w:r>
        <w:t xml:space="preserve">, 2020.</w:t>
      </w:r>
    </w:p>
  </w:footnote>
  <w:footnote w:id="12">
    <w:p>
      <w:pPr>
        <w:pStyle w:val="FootnoteText"/>
      </w:pPr>
      <w:r>
        <w:rPr>
          <w:rStyle w:val="FootnoteReference"/>
        </w:rPr>
        <w:footnoteRef/>
      </w:r>
      <w:r>
        <w:t xml:space="preserve"> </w:t>
      </w:r>
      <w:r>
        <w:t xml:space="preserve">Banque de France,</w:t>
      </w:r>
      <w:r>
        <w:t xml:space="preserve"> </w:t>
      </w:r>
      <w:r>
        <w:rPr>
          <w:i/>
          <w:iCs/>
        </w:rPr>
        <w:t xml:space="preserve">La détention par les non-résidents des actions des sociétés françaises du CAC 40 augmente très légèrement en 2024</w:t>
      </w:r>
      <w:r>
        <w:t xml:space="preserve">, communiqué, 2024 (https://www.banque-france.fr/fr/publications-et-statistiques/publications/la-detention-des-actions-des-societes-francaises-du-cac-40-par-les-non-residents-augmente-tres). Sur 35 sociétés analysées, 19 sont détenues à plus de 50 % par des non-résidents, 11 entre 30 et 50 %, et 5 en deçà de 30 %.</w:t>
      </w:r>
    </w:p>
  </w:footnote>
  <w:footnote w:id="13">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 — Annual Report 2024</w:t>
      </w:r>
      <w:r>
        <w:t xml:space="preserve">, 2025 (https://www.nbim.no). Le fonds gérait 1 950 milliards de dollars à fin 2024 et détenait, parmi ses participations françaises, plus de 4 milliards d’euros d’actions Sanofi, environ 3,5 milliards de TotalEnergies, et des positions notables sur LVMH, Schneider Electric, Air Liquide.</w:t>
      </w:r>
    </w:p>
  </w:footnote>
  <w:footnote w:id="14">
    <w:p>
      <w:pPr>
        <w:pStyle w:val="FootnoteText"/>
      </w:pPr>
      <w:r>
        <w:rPr>
          <w:rStyle w:val="FootnoteReference"/>
        </w:rPr>
        <w:footnoteRef/>
      </w:r>
      <w:r>
        <w:t xml:space="preserve"> </w:t>
      </w:r>
      <w:r>
        <w:t xml:space="preserve">Vernimmen.net,</w:t>
      </w:r>
      <w:r>
        <w:t xml:space="preserve"> </w:t>
      </w:r>
      <w:r>
        <w:rPr>
          <w:i/>
          <w:iCs/>
        </w:rPr>
        <w:t xml:space="preserve">Dividendes du CAC 40 en 2024</w:t>
      </w:r>
      <w:r>
        <w:t xml:space="preserve">, 2025 ; voir également</w:t>
      </w:r>
      <w:r>
        <w:t xml:space="preserve"> </w:t>
      </w:r>
      <w:r>
        <w:rPr>
          <w:i/>
          <w:iCs/>
        </w:rPr>
        <w:t xml:space="preserve">Économie Matin</w:t>
      </w:r>
      <w:r>
        <w:t xml:space="preserve">,</w:t>
      </w:r>
      <w:r>
        <w:t xml:space="preserve"> </w:t>
      </w:r>
      <w:r>
        <w:rPr>
          <w:i/>
          <w:iCs/>
        </w:rPr>
        <w:t xml:space="preserve">CAC 40 : 73 milliards de dividendes versés en 2024, près de la moitié à l’étranger</w:t>
      </w:r>
      <w:r>
        <w:t xml:space="preserve">, 2024 (https://www.economiematin.fr/cac40-dividende-actionnaires-etranger-argent-bourse).</w:t>
      </w:r>
    </w:p>
  </w:footnote>
  <w:footnote w:id="15">
    <w:p>
      <w:pPr>
        <w:pStyle w:val="FootnoteText"/>
      </w:pPr>
      <w:r>
        <w:rPr>
          <w:rStyle w:val="FootnoteReference"/>
        </w:rPr>
        <w:footnoteRef/>
      </w:r>
      <w:r>
        <w:t xml:space="preserve"> </w:t>
      </w:r>
      <w:r>
        <w:t xml:space="preserve">Calcul OVLA. Méthode : application du taux moyen de détention non-résidente (50 %) à l’enveloppe globale des dividendes 2024. Pour les sociétés à très forte exposition étrangère (TotalEnergies 60 %, Sanofi 65 %, BNP Paribas 56 %), le taux réel de fuite est supérieur à la moyenne. Une estimation pondérée par société donnerait environ 38-40 Md€ ; la fourchette 36-40 Md€ est cohérente avec les estimations de la place de Paris (Six Financial Information, 2024). Sources d’entrée : Banque de France 2024 (taux par société), Vernimmen 2025 (dividendes par société).</w:t>
      </w:r>
    </w:p>
  </w:footnote>
  <w:footnote w:id="16">
    <w:p>
      <w:pPr>
        <w:pStyle w:val="FootnoteText"/>
      </w:pPr>
      <w:r>
        <w:rPr>
          <w:rStyle w:val="FootnoteReference"/>
        </w:rPr>
        <w:footnoteRef/>
      </w:r>
      <w:r>
        <w:t xml:space="preserve"> </w:t>
      </w:r>
      <w:r>
        <w:t xml:space="preserve">Loi de finances pour 2024, mission</w:t>
      </w:r>
      <w:r>
        <w:t xml:space="preserve"> </w:t>
      </w:r>
      <w:r>
        <w:rPr>
          <w:i/>
          <w:iCs/>
        </w:rPr>
        <w:t xml:space="preserve">Enseignement scolaire</w:t>
      </w:r>
      <w:r>
        <w:t xml:space="preserve"> </w:t>
      </w:r>
      <w:r>
        <w:t xml:space="preserve">: 62,9 Md€. Source : Direction du Budget,</w:t>
      </w:r>
      <w:r>
        <w:t xml:space="preserve"> </w:t>
      </w:r>
      <w:r>
        <w:rPr>
          <w:i/>
          <w:iCs/>
        </w:rPr>
        <w:t xml:space="preserve">Projet de loi de finances pour 2024</w:t>
      </w:r>
      <w:r>
        <w:t xml:space="preserve">, 2023.</w:t>
      </w:r>
    </w:p>
  </w:footnote>
  <w:footnote w:id="17">
    <w:p>
      <w:pPr>
        <w:pStyle w:val="FootnoteText"/>
      </w:pPr>
      <w:r>
        <w:rPr>
          <w:rStyle w:val="FootnoteReference"/>
        </w:rPr>
        <w:footnoteRef/>
      </w:r>
      <w:r>
        <w:t xml:space="preserve"> </w:t>
      </w:r>
      <w:r>
        <w:t xml:space="preserve">BPI France,</w:t>
      </w:r>
      <w:r>
        <w:t xml:space="preserve"> </w:t>
      </w:r>
      <w:r>
        <w:rPr>
          <w:i/>
          <w:iCs/>
        </w:rPr>
        <w:t xml:space="preserve">Plan Transmission PME-ETI</w:t>
      </w:r>
      <w:r>
        <w:t xml:space="preserve">, 2024 (https://www.bpifrance.fr/plan-transmission-pme-eti) ; voir également CRA — Cédants et Repreneurs d’Affaires,</w:t>
      </w:r>
      <w:r>
        <w:t xml:space="preserve"> </w:t>
      </w:r>
      <w:r>
        <w:rPr>
          <w:i/>
          <w:iCs/>
        </w:rPr>
        <w:t xml:space="preserve">Observatoire de la transmission</w:t>
      </w:r>
      <w:r>
        <w:t xml:space="preserve">, janvier 2025 (https://www.cra.asso.fr/observatoire-du-cra-janvier-2025.aspx). Le ratio de transmissions effectives au regard des transmissions potentielles oscille entre 27 % et 35 % selon les années et les régions, contre 60-70 % en Allemagne et au Royaume-Uni.</w:t>
      </w:r>
    </w:p>
  </w:footnote>
  <w:footnote w:id="18">
    <w:p>
      <w:pPr>
        <w:pStyle w:val="FootnoteText"/>
      </w:pPr>
      <w:r>
        <w:rPr>
          <w:rStyle w:val="FootnoteReference"/>
        </w:rPr>
        <w:footnoteRef/>
      </w:r>
      <w:r>
        <w:t xml:space="preserve"> </w:t>
      </w:r>
      <w:r>
        <w:t xml:space="preserve">OCDE,</w:t>
      </w:r>
      <w:r>
        <w:t xml:space="preserve"> </w:t>
      </w:r>
      <w:r>
        <w:rPr>
          <w:i/>
          <w:iCs/>
        </w:rPr>
        <w:t xml:space="preserve">Net Pension Replacement Rates</w:t>
      </w:r>
      <w:r>
        <w:t xml:space="preserve">, indicateurs 2024 (https://www.oecd.org/en/data/indicators/net-pension-replacement-rates.html). Le taux de remplacement net est calculé après impôts et cotisations, pour un salarié moyen à carrière complète. Précisions : Pays-Bas 93,2 %, Danemark 114 % (bas salaires) à 80 % (salaires élevés), Suisse 75 %, Suède 65 %, France 71,9 %, Allemagne 53 %.</w:t>
      </w:r>
    </w:p>
  </w:footnote>
  <w:footnote w:id="19">
    <w:p>
      <w:pPr>
        <w:pStyle w:val="FootnoteText"/>
      </w:pPr>
      <w:r>
        <w:rPr>
          <w:rStyle w:val="FootnoteReference"/>
        </w:rPr>
        <w:footnoteRef/>
      </w:r>
      <w:r>
        <w:t xml:space="preserve"> </w:t>
      </w:r>
      <w:r>
        <w:t xml:space="preserve">Cleiss (Centre des liaisons européennes et internationales de sécurité sociale),</w:t>
      </w:r>
      <w:r>
        <w:t xml:space="preserve"> </w:t>
      </w:r>
      <w:r>
        <w:rPr>
          <w:i/>
          <w:iCs/>
        </w:rPr>
        <w:t xml:space="preserve">Régimes français et néerlandais de sécurité sociale — Tableaux comparatifs</w:t>
      </w:r>
      <w:r>
        <w:t xml:space="preserve">, 2024 (https://www.cleiss.fr). Pour la France : cotisations vieillesse plafonnées et déplafonnées, salariales (7,3 %) et patronales (8,55 %), plus retraite complémentaire AGIRC-ARRCO (10 % en moyenne), soit un total tournant autour de 27-28 % du salaire brut. Pour les Pays-Bas : cotisation AOW (premier pilier répartition) à 17,9 %, complétée par les fonds de pension obligatoires (en moyenne 20 % supplémentaires partagés employeur/salarié), soit un total proche de 22 % pour la part assimilable à la retraite proprement dite.</w:t>
      </w:r>
    </w:p>
  </w:footnote>
  <w:footnote w:id="21">
    <w:p>
      <w:pPr>
        <w:pStyle w:val="FootnoteText"/>
      </w:pPr>
      <w:r>
        <w:rPr>
          <w:rStyle w:val="FootnoteReference"/>
        </w:rPr>
        <w:footnoteRef/>
      </w:r>
      <w:r>
        <w:t xml:space="preserve"> </w:t>
      </w:r>
      <w:r>
        <w:t xml:space="preserve">OCDE,</w:t>
      </w:r>
      <w:r>
        <w:t xml:space="preserve"> </w:t>
      </w:r>
      <w:r>
        <w:rPr>
          <w:i/>
          <w:iCs/>
        </w:rPr>
        <w:t xml:space="preserve">Pension expenditure as % of GDP</w:t>
      </w:r>
      <w:r>
        <w:t xml:space="preserve">, indicateurs 2024 (https://stats.oecd.org). Données 2022 (les plus récentes) : Italie 16,5 %, Autriche 14,3 %, France 13,9 %, Grèce 13,8 %, Espagne 12,2 %, Portugal 12,0 %, moyenne OCDE 7,7 %.</w:t>
      </w:r>
    </w:p>
  </w:footnote>
  <w:footnote w:id="22">
    <w:p>
      <w:pPr>
        <w:pStyle w:val="FootnoteText"/>
      </w:pPr>
      <w:r>
        <w:rPr>
          <w:rStyle w:val="FootnoteReference"/>
        </w:rPr>
        <w:footnoteRef/>
      </w:r>
      <w:r>
        <w:t xml:space="preserve"> </w:t>
      </w:r>
      <w:r>
        <w:t xml:space="preserve">Calcul OVLA. Méthode : ratio (taux de remplacement net) / (cotisation × durée de carrière), exprimé en rendement annualisé implicite. Hypothèses : carrière complète de 40 ans, salaire de référence constant en termes réels, retraite versée sur 20 ans (espérance de vie à 65 ans approximée). Sources d’entrée : OCDE 2024 (taux de remplacement nets) et Cleiss 2024 (taux de cotisations vieillesse). Ce calcul néglige la dimension assurantielle (pension de réversion, invalidité) et l’érosion monétaire au cours de la carrière. Il s’agit d’une mesure d’efficience du système — pas de la rentabilité financière individuelle, qui dépend de paramètres supplémentaires.</w:t>
      </w:r>
    </w:p>
  </w:footnote>
  <w:footnote w:id="23">
    <w:p>
      <w:pPr>
        <w:pStyle w:val="FootnoteText"/>
      </w:pPr>
      <w:r>
        <w:rPr>
          <w:rStyle w:val="FootnoteReference"/>
        </w:rPr>
        <w:footnoteRef/>
      </w:r>
      <w:r>
        <w:t xml:space="preserve"> </w:t>
      </w:r>
      <w:r>
        <w:t xml:space="preserve">Conseil d’orientation des retraites,</w:t>
      </w:r>
      <w:r>
        <w:t xml:space="preserve"> </w:t>
      </w:r>
      <w:r>
        <w:rPr>
          <w:i/>
          <w:iCs/>
        </w:rPr>
        <w:t xml:space="preserve">Évolutions et perspectives des retraites en France</w:t>
      </w:r>
      <w:r>
        <w:t xml:space="preserve">, rapport annuel, juin 2025 (https://www.cor-retraites.fr/sites/default/files/2025-06/RA_2025_def_publi.pdf). Scénario central : déficit projeté de –0,2 pt de PIB en 2030, –0,7 pt en 2040, –1,1 pt en 2050, –1,4 pt en 2070. Le besoin de financement annuel à droit constant atteindrait, en 2070, environ 45 milliards d’euros aux prix actuels.</w:t>
      </w:r>
    </w:p>
  </w:footnote>
  <w:footnote w:id="24">
    <w:p>
      <w:pPr>
        <w:pStyle w:val="FootnoteText"/>
      </w:pPr>
      <w:r>
        <w:rPr>
          <w:rStyle w:val="FootnoteReference"/>
        </w:rPr>
        <w:footnoteRef/>
      </w:r>
      <w:r>
        <w:t xml:space="preserve"> </w:t>
      </w:r>
      <w:r>
        <w:t xml:space="preserve">Performances annualisées sur 10 ans (2014-2024) des principaux fonds de pension publics internationaux : CalPERS (États-Unis) 7,6 % ;</w:t>
      </w:r>
      <w:r>
        <w:t xml:space="preserve"> </w:t>
      </w:r>
      <w:r>
        <w:rPr>
          <w:i/>
          <w:iCs/>
        </w:rPr>
        <w:t xml:space="preserve">Canada Pension Plan Investment Board</w:t>
      </w:r>
      <w:r>
        <w:t xml:space="preserve"> </w:t>
      </w:r>
      <w:r>
        <w:t xml:space="preserve">8,3 % ; AP3 (Suède) 7,6 % ; ABP (Pays-Bas) 6,2 % en termes réels après inflation. Sources : rapports annuels 2024-2025 de chaque fonds. À titre de comparaison, le rendement net moyen des fonds euros français en 2024 était de 2,60 % brut, soit environ 1,1 % en termes réels. Voir ACPR / Banque de France,</w:t>
      </w:r>
      <w:r>
        <w:t xml:space="preserve"> </w:t>
      </w:r>
      <w:r>
        <w:rPr>
          <w:i/>
          <w:iCs/>
        </w:rPr>
        <w:t xml:space="preserve">Revalorisation 2024 des contrats d’assurance-vie et de capitalisation</w:t>
      </w:r>
      <w:r>
        <w:t xml:space="preserve">, août 2025 (https://acpr.banque-france.fr/system/files/2025-08/20250804_AS175_Revalorisation_contrats_assurance_vie_2024.pdf).</w:t>
      </w:r>
    </w:p>
  </w:footnote>
  <w:footnote w:id="26">
    <w:p>
      <w:pPr>
        <w:pStyle w:val="FootnoteText"/>
      </w:pPr>
      <w:r>
        <w:rPr>
          <w:rStyle w:val="FootnoteReference"/>
        </w:rPr>
        <w:footnoteRef/>
      </w:r>
      <w:r>
        <w:t xml:space="preserve"> </w:t>
      </w:r>
      <w:r>
        <w:t xml:space="preserve">Composition des actifs d’épargne retraite capitalisée en France à fin 2024 : Plan d’épargne retraite tous types confondus 119 Md€ (Bercy, 2024) ; ERAFP 47,8 Md€ (rapport 2024) ; FRR 21 Md€ (site institutionnel 2024) ; PERCO résiduel 6,9 Md€ (AFG 2024) ; PREFON, COREM, CRH et autres dispositifs ~15-20 Md€ (estimation). Total : 200-210 Md€, soit 2,5 % du PIB français (~ 2 800 Md€). Sources principales : AFG,</w:t>
      </w:r>
      <w:r>
        <w:t xml:space="preserve"> </w:t>
      </w:r>
      <w:r>
        <w:rPr>
          <w:i/>
          <w:iCs/>
        </w:rPr>
        <w:t xml:space="preserve">Statistiques sur les actifs d’épargne salariale et d’épargne retraite au 31 décembre 2024</w:t>
      </w:r>
      <w:r>
        <w:t xml:space="preserve">, mars 2025 ; Bercy, communiqué</w:t>
      </w:r>
      <w:r>
        <w:t xml:space="preserve"> </w:t>
      </w:r>
      <w:r>
        <w:rPr>
          <w:i/>
          <w:iCs/>
        </w:rPr>
        <w:t xml:space="preserve">Épargne retraite Q3 2024</w:t>
      </w:r>
      <w:r>
        <w:t xml:space="preserve">, février 2025 ; ERAFP,</w:t>
      </w:r>
      <w:r>
        <w:t xml:space="preserve"> </w:t>
      </w:r>
      <w:r>
        <w:rPr>
          <w:i/>
          <w:iCs/>
        </w:rPr>
        <w:t xml:space="preserve">Rapport annuel 2024</w:t>
      </w:r>
      <w:r>
        <w:t xml:space="preserve">, 2025.</w:t>
      </w:r>
    </w:p>
  </w:footnote>
  <w:footnote w:id="27">
    <w:p>
      <w:pPr>
        <w:pStyle w:val="FootnoteText"/>
      </w:pPr>
      <w:r>
        <w:rPr>
          <w:rStyle w:val="FootnoteReference"/>
        </w:rPr>
        <w:footnoteRef/>
      </w:r>
      <w:r>
        <w:t xml:space="preserve"> </w:t>
      </w:r>
      <w:r>
        <w:t xml:space="preserve">Ministère de l’Économie,</w:t>
      </w:r>
      <w:r>
        <w:t xml:space="preserve"> </w:t>
      </w:r>
      <w:r>
        <w:rPr>
          <w:i/>
          <w:iCs/>
        </w:rPr>
        <w:t xml:space="preserve">Épargne retraite : déploiement du PER, plus de 11 millions de titulaires et près de 119 milliards d’encours au troisième trimestre 2024</w:t>
      </w:r>
      <w:r>
        <w:t xml:space="preserve">, communiqué de presse, février 2025 (https://presse.economie.gouv.fr/epargne-retraite-deploiement-du-per-plus-de-11-millions-de-titulaires-et-pres-de-119-milliards-dencours-au-troisieme-trimestre-2024/).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2026-05-07T22:04:45Z</dcterms:created>
  <dcterms:modified xsi:type="dcterms:W3CDTF">2026-05-07T22:04:45Z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