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Capitalisons</w:t>
      </w:r>
    </w:p>
    <w:p>
      <w:pPr>
        <w:pStyle w:val="Subtitle"/>
      </w:pPr>
      <w:r>
        <w:t xml:space="preserve">La France et son capital absent</w:t>
      </w:r>
    </w:p>
    <w:p>
      <w:pPr>
        <w:pStyle w:val="Author"/>
      </w:pPr>
      <w:r>
        <w:t xml:space="preserve">Où Va l’Argent</w:t>
      </w:r>
    </w:p>
    <w:p>
      <w:pPr>
        <w:pStyle w:val="Date"/>
      </w:pP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67" w:name="X78b49061424313b5322bfa824c71234d77e1d52"/>
    <w:p>
      <w:pPr>
        <w:pStyle w:val="Heading1"/>
      </w:pPr>
      <w:r>
        <w:t xml:space="preserve">3. De la nécessité de fonds de pension français</w:t>
      </w:r>
    </w:p>
    <w:p>
      <w:pPr>
        <w:pStyle w:val="FirstParagraph"/>
      </w:pPr>
      <w:r>
        <w:t xml:space="preserve">Les ménages français épargnent beaucoup. Sur 100 euros gagnés chaque mois, près de 20 sont mis de côté</w:t>
      </w:r>
      <w:r>
        <w:rPr>
          <w:rStyle w:val="FootnoteReference"/>
        </w:rPr>
        <w:footnoteReference w:id="9"/>
      </w:r>
      <w:r>
        <w:t xml:space="preserve">. Et pourtant, quand Sanofi a annoncé la cession d’Opella, en octobre 2024, aucun acheteur français n’a levé la main. Pas un. Pas même au prix demandé, pas même à un prix légèrement moindre. Le pays le plus épargnant d’Europe occidentale n’avait, ce jour-là, personne à mettre en face d’un fonds new-yorkais. C’est le paradoxe central de ce chapitre.</w:t>
      </w:r>
    </w:p>
    <w:p>
      <w:pPr>
        <w:pStyle w:val="BodyText"/>
      </w:pPr>
      <w:r>
        <w:t xml:space="preserve">Lafarge, Alstom, Technip, Latécoère, Photonis, Exxelia, Doliprane, Ingenico ont fait l’actualité et la liste s’allongera.</w:t>
      </w:r>
    </w:p>
    <w:p>
      <w:pPr>
        <w:pStyle w:val="BodyText"/>
      </w:pPr>
      <w:r>
        <w:t xml:space="preserve">Ce paradoxe a deux faces indissociables. D’un côté, six mille milliards d’euros d’épargne dorment sur des livrets et des fonds en euros, sans irriguer ni les entreprises françaises ni les retraites futures. De l’autre, une vague historique de transmissions d’entreprises s’ouvre, et elle risque d’être capturée presque entièrement par des fonds étrangers.</w:t>
      </w:r>
    </w:p>
    <w:p>
      <w:pPr>
        <w:pStyle w:val="BodyText"/>
      </w:pPr>
      <w:r>
        <w:t xml:space="preserve">La France a l’argent. Elle ne s’en sert pas. Et parce qu’elle ne s’en sert pas, ses entreprises se vendent à ceux qui, eux, s’en servent. C’est ce</w:t>
      </w:r>
      <w:r>
        <w:t xml:space="preserve"> </w:t>
      </w:r>
      <w:r>
        <w:rPr>
          <w:i/>
          <w:iCs/>
        </w:rPr>
        <w:t xml:space="preserve">hold-up silencieux</w:t>
      </w:r>
      <w:r>
        <w:t xml:space="preserve"> </w:t>
      </w:r>
      <w:r>
        <w:t xml:space="preserve">que ce chapitre documente. Le capital existe mais n’est pas utilisé.</w:t>
      </w:r>
    </w:p>
    <w:p>
      <w:pPr>
        <w:pStyle w:val="BodyText"/>
      </w:pPr>
      <w:r>
        <w:t xml:space="preserve">La retraite par capitalisation n'est pas seulement un enjeu pour permettre la soutenabilité du système : c'est plus fondamentalement un enjeu de souveraineté. Derrière la retraite par capitalisation, il y a la possibilité de bâtir des fonds de pension et donc la capacité de la France à rester propriétaire de ses entreprises.</w:t>
      </w:r>
    </w:p>
    <w:p>
      <w:pPr>
        <w:pStyle w:val="BodyText"/>
      </w:pPr>
      <w:r>
        <w:t xml:space="preserve">Pour bien voir le pivot, il faut reprendre les deux chapitres précédents et les emboîter. Le premier a posé un diagnostic : le système actuel, à législation inchangée, n’offre plus aux générations nées après 1980 qu’un rendement implicite voisin de 1 %, qui s’effondre encore génération après génération à mesure que le ratio cotisants/retraités glisse vers 1,40. Le second a posé une réponse individuelle : un actif de trente ans aujourd’hui, qui orienterait un cinquième de sa cotisation vieillesse vers un pilier capitalisé pendant ses 43 années de carrière, accumulerait environ 216 000 € de capital propre et toucherait, sur les vingt premières années de sa retraite, près de 228 000 € de pension supplémentaire par rapport au statu quo. Ce chiffre, on l’a démontré, n’a rien d’utopique : il est tenu par cent vingt-cinq ans de données boursières mondiales et confirmé par les rendements observés en Norvège, en Suède, au Canada, aux Pays-Bas.</w:t>
      </w:r>
    </w:p>
    <w:p>
      <w:pPr>
        <w:pStyle w:val="BodyText"/>
      </w:pPr>
      <w:r>
        <w:t xml:space="preserve">C’est ici que les deux fils du livre se rejoignent. Ces 216 000 € ne sont pas un actif individuel suspendu dans le vide. Agrégés aux vingt-trois millions d’actifs français, et minorés du capital simultanément consommé par les retraités comme dans tout régime mature, ils dessinent un stock de capital national qu’on peut chiffrer à deux horizons. À vingt-cinq ans, l’horizon d’une transition australienne ou suédoise, la France atteindrait environ</w:t>
      </w:r>
      <w:r>
        <w:t xml:space="preserve"> </w:t>
      </w:r>
      <w:r>
        <w:rPr>
          <w:b/>
          <w:bCs/>
        </w:rPr>
        <w:t xml:space="preserve">1 500 milliards d’euros</w:t>
      </w:r>
      <w:r>
        <w:t xml:space="preserve"> </w:t>
      </w:r>
      <w:r>
        <w:t xml:space="preserve">sous gestion, soit la moitié de son PIB — la position approximative du Canada à mi-parcours de sa propre bascule. À cinquante ans, l’horizon d’un régime stable, elle s’approcherait des</w:t>
      </w:r>
      <w:r>
        <w:t xml:space="preserve"> </w:t>
      </w:r>
      <w:r>
        <w:rPr>
          <w:b/>
          <w:bCs/>
        </w:rPr>
        <w:t xml:space="preserve">3 000 milliards d’euros</w:t>
      </w:r>
      <w:r>
        <w:t xml:space="preserve">, soit autour de 100 % du PIB — la moyenne pondérée des grands marchés de pension dans le monde, telle que mesurée chaque année par le</w:t>
      </w:r>
      <w:r>
        <w:t xml:space="preserve"> </w:t>
      </w:r>
      <w:r>
        <w:rPr>
          <w:i/>
          <w:iCs/>
        </w:rPr>
        <w:t xml:space="preserve">Global Pension Assets Study</w:t>
      </w:r>
      <w:r>
        <w:t xml:space="preserve"> </w:t>
      </w:r>
      <w:r>
        <w:t xml:space="preserve">de Thinking Ahead Institute</w:t>
      </w:r>
      <w:r>
        <w:rPr>
          <w:rStyle w:val="FootnoteReference"/>
        </w:rPr>
        <w:footnoteReference w:id="10"/>
      </w:r>
      <w:r>
        <w:t xml:space="preserve">. Pour fixer les idées : la France gère aujourd’hui, tous véhicules de capitalisation additionnés, à peine 200 milliards d’euros. À vingt-cinq ans, ce serait sept fois plus. À cinquante, quinze fois plus.</w:t>
      </w:r>
    </w:p>
    <w:p>
      <w:pPr>
        <w:pStyle w:val="BodyText"/>
      </w:pPr>
      <w:r>
        <w:t xml:space="preserve">Cet écosystème — qu’il pèse 1 500 ou 3 000 milliards selon l’horizon — est exactement celui qui permettrait à la France de financer et de retenir ses entreprises. Le capital qui fait défaut à la retraite et le capital qui fait défaut aux ETI françaises ne sont pas deux problèmes distincts. C’est le même capital. Et la réponse est une réponse unique — bâtir le pilier capitalisé que le pays n’a jamais construit — à deux problèmes qu’on a appris à séparer mais qui n’en font qu’un. C’est cette unicité qui fonde ce chapitre.</w:t>
      </w:r>
    </w:p>
    <w:bookmarkStart w:id="26" w:name="six-mille-milliards-qui-dorment"/>
    <w:p>
      <w:pPr>
        <w:pStyle w:val="Heading2"/>
      </w:pPr>
      <w:r>
        <w:t xml:space="preserve">3.1 Six mille milliards qui dorment</w:t>
      </w:r>
    </w:p>
    <w:p>
      <w:pPr>
        <w:pStyle w:val="FirstParagraph"/>
      </w:pPr>
      <w:r>
        <w:t xml:space="preserve">Le patrimoine financier brut des ménages français atteignait 6 356 milliards d’euros fin 2024, en hausse de 1,7 % sur l’année</w:t>
      </w:r>
      <w:r>
        <w:rPr>
          <w:rStyle w:val="FootnoteReference"/>
        </w:rPr>
        <w:footnoteReference w:id="11"/>
      </w:r>
      <w:r>
        <w:t xml:space="preserve">. C’est plus de deux fois le produit intérieur brut. C’est aussi, ramené à la population, à peu près 93 000 euros par habitant — enfants compris. Aucun pays comparable ne dispose, en stock, d’un patrimoine financier de ménages plus élevé en proportion. Et pourtant, ce stock est, économiquement, presque inerte.</w:t>
      </w:r>
    </w:p>
    <w:p>
      <w:pPr>
        <w:pStyle w:val="BodyText"/>
      </w:pPr>
      <w:r>
        <w:t xml:space="preserve">Pour comprendre pourquoi, il faut regarder où dort cet argent. Un tiers — environ 2 100 milliards d’euros — se trouve sur des dépôts à vue, c’est-à-dire des comptes courants qui ne rapportent rien. Un autre tiers, près de 2000 milliards, est logé dans des contrats d’assurance-vie, dont 1 178 milliards en fonds euros individuels, c’est-à-dire des poches majoritairement investies en obligations d’État françaises et européennes</w:t>
      </w:r>
      <w:r>
        <w:rPr>
          <w:rStyle w:val="FootnoteReference"/>
        </w:rPr>
        <w:footnoteReference w:id="12"/>
      </w:r>
      <w:r>
        <w:t xml:space="preserve">. Près d’un dixième, 695 milliards, est immobilisé sur des livrets réglementés — Livret A, LDDS, LEP — dont le taux est fixé par décret. Le reste, à peu près un quart, est réparti entre actions cotées détenues en direct, parts d’OPC, Plan Epargne Actions (PEA), Plan Epargne Retraites (PER), épargne logement, et quelques poches mineures</w:t>
      </w:r>
      <w:r>
        <w:rPr>
          <w:rStyle w:val="FootnoteReference"/>
        </w:rPr>
        <w:footnoteReference w:id="13"/>
      </w:r>
      <w:r>
        <w:t xml:space="preserve">.</w:t>
      </w:r>
    </w:p>
    <w:p>
      <w:pPr>
        <w:pStyle w:val="BodyText"/>
      </w:pPr>
      <w:r>
        <w:t xml:space="preserve">Ramené à une échelle plus parlante : pour cent euros d’épargne financière, le ménage français en place vingt-sept en actions, soixante en assurance-vie ou dépôts, et le reste en livrets et accessoires. Le ménage américain place cinquante euros en actions ou en parts de fonds. L’écart se mesure en dizaines de points. La préférence française, depuis quarante ans, est très claire : faire travailler le moins possible l’épargne dans des actifs productifs risqués, et le plus possible dans des supports administrés à rendement quasi nul.</w:t>
      </w:r>
    </w:p>
    <w:p>
      <w:pPr>
        <w:pStyle w:val="BodyText"/>
      </w:pPr>
      <w:r>
        <w:t xml:space="preserve">Ce choix et ses conséquences se chiffrent. Le rendement moyen brut des fonds euros en 2024 s’est établi à 2,63 %</w:t>
      </w:r>
      <w:r>
        <w:rPr>
          <w:rStyle w:val="FootnoteReference"/>
        </w:rPr>
        <w:footnoteReference w:id="14"/>
      </w:r>
      <w:r>
        <w:t xml:space="preserve">. Une fois retranchés les 17,2 % de prélèvements sociaux et l’inflation 2024 à 2,0 %, le rendement réel net moyen ressort à 0,15 % — soit l’équivalent d’un billet de cinq euros perdu chaque année sur dix mille placés. Sur la période 2014-2024, le rendement réel net cumulé des fonds euros est proche de zéro. Et pourtant, les Français continuent d’y déposer massivement leur épargne nouvelle : en 2024, 61,8 % des primes brutes versées en assurance-vie sont parties vers les fonds euros, contre 38,2 % vers les unités de compte plus dynamiques</w:t>
      </w:r>
      <w:r>
        <w:rPr>
          <w:rStyle w:val="FootnoteReference"/>
        </w:rPr>
        <w:footnoteReference w:id="15"/>
      </w:r>
      <w:r>
        <w:t xml:space="preserve">. La collecte nette des unités de compte a certes progressé, à +34,4 milliards d’euros sur l’année, tandis que les fonds euros affichaient pour la première fois une décollecte nette de 5,0 milliards. Mais les encours, eux, restent dominés par les fonds euros : 1 178 milliards en fonds euros individuels, contre environ 825 milliards en unités de compte. Près de six euros sur dix placés en assurance-vie continuent d’aller, en brut, vers les supports qui ne rapportent rien.</w:t>
      </w:r>
    </w:p>
    <w:tbl>
      <w:tblPr>
        <w:tblStyle w:val="Table"/>
        <w:tblW w:type="pct" w:w="4792"/>
        <w:tblLayout w:type="fixed"/>
        <w:tblLook w:firstRow="1" w:lastRow="0" w:firstColumn="0" w:lastColumn="0" w:noHBand="0" w:noVBand="0" w:val="0020"/>
      </w:tblPr>
      <w:tblGrid>
        <w:gridCol w:w="7590"/>
      </w:tblGrid>
      <w:tr>
        <w:trPr>
          <w:tblHeader w:val="on"/>
        </w:trPr>
        <w:tc>
          <w:tcPr/>
          <w:p>
            <w:pPr>
              <w:pStyle w:val="BlockText"/>
            </w:pPr>
            <w:r>
              <w:rPr>
                <w:b/>
                <w:bCs/>
                <w:u w:val="single"/>
              </w:rPr>
              <w:t xml:space="preserve">Calcul. Le manque à gagner d’une épargne mal allouée sur</w:t>
            </w:r>
            <w:r>
              <w:rPr>
                <w:b/>
                <w:bCs/>
                <w:u w:val="single"/>
              </w:rPr>
              <w:t xml:space="preserve"> </w:t>
            </w:r>
            <w:r>
              <w:rPr>
                <w:b/>
                <w:bCs/>
                <w:u w:val="single"/>
              </w:rPr>
              <w:t xml:space="preserve">vingt ans.</w:t>
            </w:r>
          </w:p>
          <w:p>
            <w:pPr>
              <w:pStyle w:val="BlockText"/>
            </w:pPr>
            <w:r>
              <w:t xml:space="preserve">Hypothèse : 1 000 € investis le 1er janvier 2005 dans trois</w:t>
            </w:r>
            <w:r>
              <w:t xml:space="preserve"> </w:t>
            </w:r>
            <w:r>
              <w:t xml:space="preserve">allocations différentes, jusqu’au 31 décembre 2024 (20 ans).</w:t>
            </w:r>
          </w:p>
          <w:p>
            <w:pPr>
              <w:pStyle w:val="BlockText"/>
            </w:pPr>
            <w:r>
              <w:t xml:space="preserve">En fonds euros à 2 % annuel moyen, le capital final atteint 1</w:t>
            </w:r>
            <w:r>
              <w:t xml:space="preserve"> </w:t>
            </w:r>
            <w:r>
              <w:t xml:space="preserve">561 €. En portefeuille équilibré 60 % actions monde et 40 %</w:t>
            </w:r>
            <w:r>
              <w:t xml:space="preserve"> </w:t>
            </w:r>
            <w:r>
              <w:t xml:space="preserve">obligations, à 5,6 % annualisé, il atteint 3 247 €. En actions</w:t>
            </w:r>
            <w:r>
              <w:t xml:space="preserve"> </w:t>
            </w:r>
            <w:r>
              <w:t xml:space="preserve">mondiales seules, à 6,8 % annualisé, il atteint 4 156 €.</w:t>
            </w:r>
          </w:p>
          <w:p>
            <w:pPr>
              <w:pStyle w:val="BlockText"/>
            </w:pPr>
            <w:r>
              <w:t xml:space="preserve">Manque à gagner par mille euros placés :</w:t>
            </w:r>
            <w:r>
              <w:t xml:space="preserve"> </w:t>
            </w:r>
            <w:r>
              <w:rPr>
                <w:b/>
                <w:bCs/>
              </w:rPr>
              <w:t xml:space="preserve">1 686 €</w:t>
            </w:r>
            <w:r>
              <w:t xml:space="preserve"> </w:t>
            </w:r>
            <w:r>
              <w:t xml:space="preserve">pour le</w:t>
            </w:r>
            <w:r>
              <w:t xml:space="preserve"> </w:t>
            </w:r>
            <w:r>
              <w:t xml:space="preserve">portefeuille équilibré,</w:t>
            </w:r>
            <w:r>
              <w:t xml:space="preserve"> </w:t>
            </w:r>
            <w:r>
              <w:rPr>
                <w:b/>
                <w:bCs/>
              </w:rPr>
              <w:t xml:space="preserve">2 595 €</w:t>
            </w:r>
            <w:r>
              <w:t xml:space="preserve"> </w:t>
            </w:r>
            <w:r>
              <w:t xml:space="preserve">pour les actions</w:t>
            </w:r>
            <w:r>
              <w:t xml:space="preserve"> </w:t>
            </w:r>
            <w:r>
              <w:t xml:space="preserve">mondiales</w:t>
            </w:r>
            <w:r>
              <w:rPr>
                <w:rStyle w:val="FootnoteReference"/>
              </w:rPr>
              <w:footnoteReference w:id="16"/>
            </w:r>
            <w:r>
              <w:t xml:space="preserve">.</w:t>
            </w:r>
          </w:p>
        </w:tc>
      </w:tr>
    </w:tbl>
    <w:p>
      <w:pPr>
        <w:pStyle w:val="FirstParagraph"/>
      </w:pPr>
      <w:r>
        <w:t xml:space="preserve">C’est ce manque à gagner, démultiplié par six mille milliards et par quarante ans, qui constitue le premier coût caché du choix français. Le Livret A et le fonds euros ne sont pas des produits dangereux. Ce sont des produits adaptés à un objectif — la liquidité, la précaution — qu’ils remplissent honorablement. Le problème est qu’ils sont devenus, en France, le réceptacle de la quasi-totalité de l’épargne longue, y compris celle qui devrait préparer une retraite à trente ans de distance. On épargne pour quarante ans avec un produit conçu pour trois mois.</w:t>
      </w:r>
    </w:p>
    <w:p>
      <w:pPr>
        <w:pStyle w:val="BodyText"/>
      </w:pPr>
      <w:r>
        <w:t xml:space="preserve">Et l’argent ainsi capté ne dort pas tout à fait. Il finance la dette publique. La Caisse des dépôts redistribue les flux du Livret A et du LDDS vers le logement social, vers les collectivités, vers des prêts à long terme. Les assureurs-vie, eux, placent les fonds euros à hauteur de 35 à 45 % en obligations d’État françaises</w:t>
      </w:r>
      <w:r>
        <w:rPr>
          <w:rStyle w:val="FootnoteReference"/>
        </w:rPr>
        <w:footnoteReference w:id="17"/>
      </w:r>
      <w:r>
        <w:t xml:space="preserve">. Autrement dit : l’épargne populaire française finance, par circuits administrés, une partie de la dette publique française.</w:t>
      </w:r>
    </w:p>
    <w:p>
      <w:pPr>
        <w:pStyle w:val="BodyText"/>
      </w:pPr>
      <w:r>
        <w:t xml:space="preserve">Cette architecture n’est pas un accident contemporain : elle a deux cents ans. Le Livret A est créé en 1818, sous la Restauration, par Benjamin Delessert et François de La Rochefoucauld-Liancourt</w:t>
      </w:r>
      <w:r>
        <w:rPr>
          <w:rStyle w:val="FootnoteReference"/>
        </w:rPr>
        <w:footnoteReference w:id="18"/>
      </w:r>
      <w:r>
        <w:t xml:space="preserve">. Les caisses d’épargne reçoivent alors deux missions énoncées sans détour : encourager les classes populaires à épargner pour leurs vieux jours, et placer cette épargne en rentes publiques à cinq pour cent. L’épargne au service de la dette. Deux siècles plus tard, le pacte fondateur tient toujours. Aucun gouvernement, depuis 1818, n’a osé toucher à ce cliquet. Le Livret A est devenu intouchable, non pour ses qualités économiques — son rendement réel net est proche de zéro — mais parce qu’il est devenu un totem politique. Y porter la main, c’est s’exposer à un procès en attaque de l’épargne populaire. Un produit conçu pour absorber l’épargne ouvrière du XIXᵉ siècle continue, en 2025, de capter une part massive de l’épargne longue d’un pays moyennement développé.</w:t>
      </w:r>
    </w:p>
    <w:p>
      <w:pPr>
        <w:pStyle w:val="BodyText"/>
      </w:pPr>
      <w:r>
        <w:t xml:space="preserve">Ce verrouillage culturel s’est doublé, depuis quarante ans, d’une série de traumatismes boursiers que la mémoire collective n’a pas digérés. Le krach 2000-2002 avec Vivendi-Messier et France Télécom (chute de plus de 90 %), Eurotunnel et ses petits porteurs ruinés, EDF introduite en Bourse en 2005 et dont l’action a perdu plus de la moitié de sa valeur en une décennie : à chaque épisode, le narratif s’est consolidé. L’action est un casino, le Livret A est sûr, l’État protège ce qu’il garantit. Ce récit n’est pas faux ; il est partiel. Il oublie l’horizon — une action française détenue de 1985 à 2025, dividendes réinvestis, rapporte environ 8 % nominal annualisé, et la probabilité de perte réelle d’un portefeuille diversifié tombe sous 5 % à vingt ans</w:t>
      </w:r>
      <w:r>
        <w:rPr>
          <w:rStyle w:val="FootnoteReference"/>
        </w:rPr>
        <w:footnoteReference w:id="19"/>
      </w:r>
      <w:r>
        <w:t xml:space="preserve">. Et il oublie l’intermédiation : un fonds de pension n’est pas un compte-titres personnel, il agrège, diversifie, lisse les cycles. Il fait ce que le ménage individuel ne peut pas faire seul. Le piège des fonds euros n’est pas technique, il est culturel et historique : on dépose son épargne longue dans un véhicule conçu pour les flux courts, on finance la dette publique avec ce qui devrait financer sa propre retraite, et l’on s’étonne ensuite que les entreprises se vendent à l’étranger.</w:t>
      </w:r>
    </w:p>
    <w:p>
      <w:pPr>
        <w:pStyle w:val="BodyText"/>
      </w:pPr>
      <w:r>
        <w:t xml:space="preserve">Cette épargne mal allouée a une conséquence directe : la Bourse de Paris se rétracte. La capitalisation boursière française rapportée au PIB oscille entre 103 % et 124 % en 2024 — moins que les États-Unis (plus de 200 %), moins que la Suède (autour de 150 %), loin derrière les Pays-Bas dont le ratio dépasse 220 % en pointe</w:t>
      </w:r>
      <w:r>
        <w:rPr>
          <w:rStyle w:val="FootnoteReference"/>
        </w:rPr>
        <w:footnoteReference w:id="20"/>
      </w:r>
      <w:r>
        <w:t xml:space="preserve">. La France n’est pas en queue de peloton, mais elle se rétrécit année après année. Trois indicateurs disent la même chose. Le nombre d’IPO d’abord : dix à vingt par an sur Euronext Paris entre 2015 et 2019, six en 2023, quarante-sept en 2024 dont la quasi-totalité sur Euronext Growth, deux à mi-2025</w:t>
      </w:r>
      <w:r>
        <w:rPr>
          <w:rStyle w:val="FootnoteReference"/>
        </w:rPr>
        <w:footnoteReference w:id="21"/>
      </w:r>
      <w:r>
        <w:t xml:space="preserve">. Le marché primaire ne fonctionne plus qu’au ralenti. Le départ des entreprises cotées ensuite : Iliad-Free a quitté la Bourse en juillet 2021 (retrait à 182 € par action, valorisant la totalité à environ 12 milliards), Xavier Niel jugeant que le marché français ne sait pas valoriser les champions technologiques. En décembre 2024, Vivendi a procédé à un éclatement spectaculaire — Canal+ vers la London Stock Exchange, Havas vers Euronext Amsterdam, Louis Hachette vers Euronext Growth Paris</w:t>
      </w:r>
      <w:r>
        <w:rPr>
          <w:rStyle w:val="FootnoteReference"/>
        </w:rPr>
        <w:footnoteReference w:id="22"/>
      </w:r>
      <w:r>
        <w:t xml:space="preserve">. Mistral AI envisage Nasdaq ; BlaBlaCar, Doctolib, Qonto, Alan regardent Londres ou New York autant que Paris. L’écosystème entrepreneurial français produit des champions, mais il les pousse à se faire valoriser ailleurs. Euronext Paris compte aujourd’hui environ sept cents sociétés cotées, dont 318 sur le marché régulé</w:t>
      </w:r>
      <w:r>
        <w:rPr>
          <w:rStyle w:val="FootnoteReference"/>
        </w:rPr>
        <w:footnoteReference w:id="23"/>
      </w:r>
      <w:r>
        <w:t xml:space="preserve"> </w:t>
      </w:r>
      <w:r>
        <w:t xml:space="preserve">— quatre fois moins que la London Stock Exchange, six fois moins que les 2 400 cotations du NYSE. Le CAC 40 concentre 75 % de la capitalisation boursière française. Quelques très grandes capitalisations multinationales écrasent un tissu mid-cap atrophié.</w:t>
      </w:r>
    </w:p>
    <w:p>
      <w:pPr>
        <w:pStyle w:val="BodyText"/>
      </w:pPr>
      <w:r>
        <w:t xml:space="preserve">Pourquoi cette rétraction ? Une Bourse profonde a besoin d’investisseurs institutionnels nationaux importants — fonds de pension, mutuelles, fonds souverains — qui achètent à long terme. New York s’appuie sur les</w:t>
      </w:r>
      <w:r>
        <w:t xml:space="preserve"> </w:t>
      </w:r>
      <w:r>
        <w:rPr>
          <w:i/>
          <w:iCs/>
        </w:rPr>
        <w:t xml:space="preserve">401(k)</w:t>
      </w:r>
      <w:r>
        <w:t xml:space="preserve"> </w:t>
      </w:r>
      <w:r>
        <w:t xml:space="preserve">et les</w:t>
      </w:r>
      <w:r>
        <w:t xml:space="preserve"> </w:t>
      </w:r>
      <w:r>
        <w:rPr>
          <w:i/>
          <w:iCs/>
        </w:rPr>
        <w:t xml:space="preserve">endowments</w:t>
      </w:r>
      <w:r>
        <w:t xml:space="preserve"> </w:t>
      </w:r>
      <w:r>
        <w:t xml:space="preserve">universitaires. Londres sur ses</w:t>
      </w:r>
      <w:r>
        <w:t xml:space="preserve"> </w:t>
      </w:r>
      <w:r>
        <w:rPr>
          <w:i/>
          <w:iCs/>
        </w:rPr>
        <w:t xml:space="preserve">pension schemes</w:t>
      </w:r>
      <w:r>
        <w:t xml:space="preserve">. Amsterdam sur ABP, PFZW et PMT. Paris sur la BPCE et CNP Assurances, dont les portefeuilles sont massivement contraints en obligations, et sur des fonds non-résidents qui détiennent désormais la moitié du CAC 40. Cercle vicieux : moins de profondeur produit moins de valorisation, ce qui produit moins d’IPO, ce qui produit encore moins de profondeur. Une Bourse atrophiée appelle des investisseurs nationaux de long terme — précisément ceux que les fonds de pension auraient été.</w:t>
      </w:r>
    </w:p>
    <w:p>
      <w:pPr>
        <w:pStyle w:val="BodyText"/>
      </w:pPr>
      <w:r>
        <w:t xml:space="preserve">Au bout du compte, ce que tout cela décrit, c’est un comportement de ménage. Le Français détient des actions cotées directement ou via OPC pour environ 27 % de son patrimoine financier brut. Le Suédois 35 à 40 %. Le Néerlandais 32 à 36 %. L’Américain 45 à 50 %. L’Allemand 25 à 28 %. L’écart le plus parlant : 12,5 % de ménages français détiennent effectivement des actions cotées en direct en 2024 (en hausse depuis 6,9 % en 2020), contre 32 à 38 % aux États-Unis et 30 à 40 % en Suède</w:t>
      </w:r>
      <w:r>
        <w:rPr>
          <w:rStyle w:val="FootnoteReference"/>
        </w:rPr>
        <w:footnoteReference w:id="24"/>
      </w:r>
      <w:r>
        <w:t xml:space="preserve">. Ce n’est pas le pourcentage qui compte, c’est la composition. Un ménage suédois moyen détient son exposition aux actions via son fonds de pension obligatoire ; un ménage néerlandais via son ABP. Ils ne décident pas, ils bénéficient. Le Français, lui, doit décider. S’il ne décide rien, son argent va sur un livret. S’il décide d’épargner, il choisit d’abord l’assurance-vie en fonds euros. La culture suit l’architecture, pas l’inverse. C’est parce que la France n’a pas construit l’architecture qu’elle est devenue, par défaut, le pays des livrets.</w:t>
      </w:r>
    </w:p>
    <w:p>
      <w:pPr>
        <w:pStyle w:val="BodyText"/>
      </w:pPr>
      <w:r>
        <w:t xml:space="preserve">Rapporté à la tête d’habitant, l’écart devient embarrassant. La France détient 1 715 milliards d’actions et OPC actions pour 68 millions d’habitants, soit 25 200 € par tête. La Suède 40 000 € par tête. Plus de 50 % d’écart, alors même que le patrimoine financier brut total français est plus de cinq fois supérieur à celui de la Suède</w:t>
      </w:r>
      <w:r>
        <w:rPr>
          <w:rStyle w:val="FootnoteReference"/>
        </w:rPr>
        <w:footnoteReference w:id="25"/>
      </w:r>
      <w:r>
        <w:t xml:space="preserve">. C’est ça, le paradoxe : nous épargnons davantage, et nous investissons moins. La fourmi sans champ. Si cette épargne ne va pas vers les entreprises françaises, où va-t-elle ? L’argent va dans les fonds étrangers qui rachètent ces mêmes entreprises françaises. Le capital qui devrait financer nos ETI les finance — en passant par Amsterdam, Toronto, New York, Oslo — mais sous pavillon étranger. Et le contrôle change de main, en silence, milliard après milliard.</w:t>
      </w:r>
    </w:p>
    <w:bookmarkEnd w:id="26"/>
    <w:bookmarkStart w:id="39" w:name="entreprises-sans-repreneur-français"/>
    <w:p>
      <w:pPr>
        <w:pStyle w:val="Heading2"/>
      </w:pPr>
      <w:r>
        <w:t xml:space="preserve">3.2 240 000 entreprises sans repreneur français</w:t>
      </w:r>
    </w:p>
    <w:p>
      <w:pPr>
        <w:pStyle w:val="FirstParagraph"/>
      </w:pPr>
      <w:r>
        <w:t xml:space="preserve">L’argument n’est plus seulement structurel. Il est temporel. La France entre, à partir de 2025, dans une fenêtre démographique d’une dizaine d’années pendant laquelle un tissu entier d’entreprises familiales et patrimoniales va changer de mains. Cette fenêtre se referme vers 2035. C’est, par taille, le plus grand mouvement de transmission jamais observé dans l’économie française. Et il est presque entièrement non préparé.</w:t>
      </w:r>
    </w:p>
    <w:p>
      <w:pPr>
        <w:pStyle w:val="BodyText"/>
      </w:pPr>
      <w:r>
        <w:t xml:space="preserve">Selon BPI France Le Lab, 370 000 entreprises françaises ayant au moins un salarié vont entrer en phase de transmission d’ici 2030</w:t>
      </w:r>
      <w:r>
        <w:rPr>
          <w:rStyle w:val="FootnoteReference"/>
        </w:rPr>
        <w:footnoteReference w:id="27"/>
      </w:r>
      <w:r>
        <w:t xml:space="preserve"> </w:t>
      </w:r>
      <w:r>
        <w:t xml:space="preserve">: 310 000 TPE, 58 000 PME, 1 200 ETI. Au total, ces 370 000 entreprises emploient environ trois millions de personnes. Ce qui rend la fenêtre dangereuse, c’est l’écart entre intentions et réalisations. En 2024, seules 26 000 entreprises ont été effectivement transmises. À ce rythme, 130 000 le seront d’ici 2030 — moins de la moitié du potentiel</w:t>
      </w:r>
      <w:r>
        <w:rPr>
          <w:rStyle w:val="FootnoteReference"/>
        </w:rPr>
        <w:footnoteReference w:id="28"/>
      </w:r>
      <w:r>
        <w:t xml:space="preserve">. Les 240 000 autres ne trouveront pas de repreneur : elles se vendront à perte, à un acteur étranger, ou elles fermeront.</w:t>
      </w:r>
    </w:p>
    <w:p>
      <w:pPr>
        <w:pStyle w:val="BodyText"/>
      </w:pPr>
      <w:r>
        <w:t xml:space="preserve">Pourquoi un tel écart ? Trois obstacles dominent. Le financement : 44 % des repreneurs salariés en</w:t>
      </w:r>
      <w:r>
        <w:t xml:space="preserve"> </w:t>
      </w:r>
      <w:r>
        <w:rPr>
          <w:i/>
          <w:iCs/>
        </w:rPr>
        <w:t xml:space="preserve">leveraged management buy-out</w:t>
      </w:r>
      <w:r>
        <w:t xml:space="preserve"> </w:t>
      </w:r>
      <w:r>
        <w:t xml:space="preserve">rencontrent des difficultés, contre 23 % des reprises familiales</w:t>
      </w:r>
      <w:r>
        <w:rPr>
          <w:rStyle w:val="FootnoteReference"/>
        </w:rPr>
        <w:footnoteReference w:id="29"/>
      </w:r>
      <w:r>
        <w:t xml:space="preserve">. Les banques exigent des apports que le repreneur n’a pas et des structures de dette qui asphyxient l’entreprise dès le premier exercice. La valorisation : 41 % des négociations achoppent sur un désaccord entre le cédant (qui valorise à six fois l’EBITDA) et le repreneur (qui n’arrive pas à supporter plus de quatre fois)</w:t>
      </w:r>
      <w:r>
        <w:rPr>
          <w:rStyle w:val="FootnoteReference"/>
        </w:rPr>
        <w:footnoteReference w:id="30"/>
      </w:r>
      <w:r>
        <w:t xml:space="preserve">. La préparation : 70 % des dirigeants à plus d’un an d’une transmission n’ont pas encore commencé à y réfléchir sérieusement</w:t>
      </w:r>
      <w:r>
        <w:rPr>
          <w:rStyle w:val="FootnoteReference"/>
        </w:rPr>
        <w:footnoteReference w:id="31"/>
      </w:r>
      <w:r>
        <w:t xml:space="preserve">. Quand la transmission arrive, elle se fait dans l’urgence, et l’urgence se paie.</w:t>
      </w:r>
    </w:p>
    <w:p>
      <w:pPr>
        <w:pStyle w:val="BodyText"/>
      </w:pPr>
      <w:r>
        <w:t xml:space="preserve">Trois millions d’emplois sont concernés. C’est, à un demi-million près, le total des actifs employés par les entreprises du CAC 40 en France. Cette donnée à elle seule devrait suffire à faire de la transmission un sujet politique majeur. Elle ne l’est pas. Le grand public n’en entend parler qu’à l’occasion d’un cas symbolique — Doliprane en 2024, Photonis en 2020 —, alors qu’il s’agit d’un phénomène de masse, étalé dans la durée, presque invisible parce que diffus. C’est cela qui rend ce hold-up « silencieux » : il n’est pas spectaculaire, il est dispersé. Mais il est massif.</w:t>
      </w:r>
    </w:p>
    <w:p>
      <w:pPr>
        <w:pStyle w:val="BodyText"/>
      </w:pPr>
      <w:r>
        <w:t xml:space="preserve">Cette vague de transmissions arrive dans un environnement de financement profondément déséquilibré. Les ETI à vendre, les PME aux savoir-faire critiques, les start-up à la maturité d’IPO — elles arrivent toutes sur le marché au même moment où l’épargne française reste détournée vers les fonds euros et la dette publique. Pendant ce temps, les fonds étrangers regardent la France comme un guichet ouvert. Ce n’est pas un hasard.</w:t>
      </w:r>
    </w:p>
    <w:p>
      <w:pPr>
        <w:pStyle w:val="BodyText"/>
      </w:pPr>
      <w:r>
        <w:t xml:space="preserve">Pour comprendre pourquoi ils gagnent presque toujours, il faut mettre côte à côte deux acteurs : le plus gros gestionnaire de capital-investissement français et un fonds de pension étranger de taille moyenne. Le plus gros gestionnaire français s’appelle Ardian. À fin 2024, il gère environ 200 milliards de dollars d’actifs, dont 137 milliards en capital-investissement</w:t>
      </w:r>
      <w:r>
        <w:rPr>
          <w:rStyle w:val="FootnoteReference"/>
        </w:rPr>
        <w:footnoteReference w:id="32"/>
      </w:r>
      <w:r>
        <w:t xml:space="preserve">. C’est l’un des cinq premiers européens. C’est aussi l’unique acteur français de cette taille — derrière, PAI Partners, Eurazeo, Tikehau, Apax France, tous mille fois plus petits que les grands fonds de pension étrangers.</w:t>
      </w:r>
    </w:p>
    <w:p>
      <w:pPr>
        <w:pStyle w:val="BodyText"/>
      </w:pPr>
      <w:r>
        <w:t xml:space="preserve">Un fonds de pension étranger de taille moyenne, l’ABP néerlandais : 542 milliards d’euros à fin 2024</w:t>
      </w:r>
      <w:r>
        <w:rPr>
          <w:rStyle w:val="FootnoteReference"/>
        </w:rPr>
        <w:footnoteReference w:id="33"/>
      </w:r>
      <w:r>
        <w:t xml:space="preserve">. Presque trois fois Ardian. Et l’ABP n’est même pas le plus gros : CPPIB et CDPQ canadiens pèsent respectivement 714,4 milliards de dollars canadiens et 473 milliards. AustralianSuper pèse 315 milliards de dollars australiens fin juin 2024</w:t>
      </w:r>
      <w:r>
        <w:rPr>
          <w:rStyle w:val="FootnoteReference"/>
        </w:rPr>
        <w:footnoteReference w:id="34"/>
      </w:r>
      <w:r>
        <w:t xml:space="preserve">. CalPERS pesait 506,6 milliards de dollars au 30 juin 2024</w:t>
      </w:r>
      <w:r>
        <w:rPr>
          <w:rStyle w:val="FootnoteReference"/>
        </w:rPr>
        <w:footnoteReference w:id="35"/>
      </w:r>
      <w:r>
        <w:t xml:space="preserve">. Au sommet, le fonds souverain norvégien gère autour de 1 900 milliards d’euros, dans 8 763 sociétés cotées dans 71 pays</w:t>
      </w:r>
      <w:r>
        <w:rPr>
          <w:rStyle w:val="FootnoteReference"/>
        </w:rPr>
        <w:footnoteReference w:id="36"/>
      </w:r>
      <w:r>
        <w:t xml:space="preserve">. Si l’on additionne ces six fonds, on dépasse 4 500 milliards d’euros. Ardian, c’est 4 % de cette somme.</w:t>
      </w:r>
    </w:p>
    <w:p>
      <w:pPr>
        <w:pStyle w:val="BodyText"/>
      </w:pPr>
      <w:r>
        <w:t xml:space="preserve">C’est l’asymétrie. Et elle n’est pas seulement quantitative. Elle est structurelle. L’horizon, d’abord : un fonds de capital-investissement a des</w:t>
      </w:r>
      <w:r>
        <w:t xml:space="preserve"> </w:t>
      </w:r>
      <w:r>
        <w:rPr>
          <w:i/>
          <w:iCs/>
        </w:rPr>
        <w:t xml:space="preserve">limited partners</w:t>
      </w:r>
      <w:r>
        <w:t xml:space="preserve"> </w:t>
      </w:r>
      <w:r>
        <w:t xml:space="preserve">qui lui ont confié leur argent pour cinq à sept ans. Au bout de cette période, il doit vendre. Le rendement attendu se situe entre dix et quinze pour cent net annualisé. Coût implicite du capital : autour de douze pour cent. Un fonds de pension, lui, a des engagements à payer sur trente ou cinquante ans. Il peut détenir un actif aussi longtemps qu’il génère un revenu stable. Rendement attendu plus modeste — six à huit pour cent —, contrainte de temps presque inexistante, coût implicite autour de six à sept pour cent</w:t>
      </w:r>
      <w:r>
        <w:rPr>
          <w:rStyle w:val="FootnoteReference"/>
        </w:rPr>
        <w:footnoteReference w:id="37"/>
      </w:r>
      <w:r>
        <w:t xml:space="preserve">.</w:t>
      </w:r>
    </w:p>
    <w:p>
      <w:pPr>
        <w:pStyle w:val="BodyText"/>
      </w:pPr>
      <w:r>
        <w:t xml:space="preserve">Cette différence d’horizon se traduit en prix. Pour une ETI française produisant cinq millions d’euros d’EBITDA, Ardian peut payer trois à quatre fois l’EBITDA — quinze à vingt millions — en espérant la revendre à six ou sept fois dans cinq ans. Un fonds de pension étranger peut payer cinq à six fois l’EBITDA — vingt-cinq à trente millions —, conserver vingt ans, et atteindre malgré tout son objectif grâce à la durée. Concrètement,</w:t>
      </w:r>
      <w:r>
        <w:t xml:space="preserve"> </w:t>
      </w:r>
      <w:r>
        <w:rPr>
          <w:b/>
          <w:bCs/>
        </w:rPr>
        <w:t xml:space="preserve">vingt à cinquante pour cent plus cher</w:t>
      </w:r>
      <w:r>
        <w:t xml:space="preserve"> </w:t>
      </w:r>
      <w:r>
        <w:t xml:space="preserve">pour la même entreprise. Quand un dirigeant cédant regarde le chèque qu’on lui tend, le plus gros vient presque toujours du fonds de pension étranger. Le choix est mécanique.</w:t>
      </w:r>
    </w:p>
    <w:p>
      <w:pPr>
        <w:pStyle w:val="BodyText"/>
      </w:pPr>
      <w:r>
        <w:t xml:space="preserve">La structure de coûts amplifie l’écart. Un fonds de PE facture entre 1,5 et 2,5 % de frais annuels, plus 20 % de</w:t>
      </w:r>
      <w:r>
        <w:t xml:space="preserve"> </w:t>
      </w:r>
      <w:r>
        <w:rPr>
          <w:i/>
          <w:iCs/>
        </w:rPr>
        <w:t xml:space="preserve">carried interest</w:t>
      </w:r>
      <w:r>
        <w:t xml:space="preserve">. Un fonds de pension public supporte des frais bien moindres — 0,5 à 1 %, parfois moins. AP7 suédois opère à 0,05 % sur sa poche actions. NBIM norvégien à 0,04 %</w:t>
      </w:r>
      <w:r>
        <w:rPr>
          <w:rStyle w:val="FootnoteReference"/>
        </w:rPr>
        <w:footnoteReference w:id="38"/>
      </w:r>
      <w:r>
        <w:t xml:space="preserve">. La différence se cumule sur trente ans : à capital et rendement brut égaux, le ménage suédois ou norvégien récupère, à terme, vingt à trente pour cent de plus. La taille des tickets, enfin : pour un fonds de pension de plusieurs centaines de milliards, une ETI à 500 millions représente moins de 0,5 % du portefeuille — une participation marginale qu’il peut détenir sans nécessité de revente.</w:t>
      </w:r>
    </w:p>
    <w:tbl>
      <w:tblPr>
        <w:tblStyle w:val="Table"/>
        <w:tblW w:type="pct" w:w="4878"/>
        <w:tblLayout w:type="fixed"/>
        <w:tblLook w:firstRow="1" w:lastRow="0" w:firstColumn="0" w:lastColumn="0" w:noHBand="0" w:noVBand="0" w:val="0020"/>
      </w:tblPr>
      <w:tblGrid>
        <w:gridCol w:w="2704"/>
        <w:gridCol w:w="2318"/>
        <w:gridCol w:w="2704"/>
      </w:tblGrid>
      <w:tr>
        <w:trPr>
          <w:tblHeader w:val="on"/>
        </w:trPr>
        <w:tc>
          <w:tcPr/>
          <w:p>
            <w:pPr>
              <w:pStyle w:val="Compact"/>
              <w:jc w:val="left"/>
            </w:pPr>
            <w:r>
              <w:t xml:space="preserve">Critère</w:t>
            </w:r>
          </w:p>
        </w:tc>
        <w:tc>
          <w:tcPr/>
          <w:p>
            <w:pPr>
              <w:pStyle w:val="Compact"/>
              <w:jc w:val="left"/>
            </w:pPr>
            <w:r>
              <w:t xml:space="preserve">Fonds de PE français</w:t>
            </w:r>
          </w:p>
        </w:tc>
        <w:tc>
          <w:tcPr/>
          <w:p>
            <w:pPr>
              <w:pStyle w:val="Compact"/>
              <w:jc w:val="left"/>
            </w:pPr>
            <w:r>
              <w:t xml:space="preserve">Fonds de pension étranger</w:t>
            </w:r>
          </w:p>
        </w:tc>
      </w:tr>
      <w:tr>
        <w:tc>
          <w:tcPr/>
          <w:p>
            <w:pPr>
              <w:pStyle w:val="Compact"/>
              <w:jc w:val="left"/>
            </w:pPr>
            <w:r>
              <w:t xml:space="preserve">Taille typique</w:t>
            </w:r>
          </w:p>
        </w:tc>
        <w:tc>
          <w:tcPr/>
          <w:p>
            <w:pPr>
              <w:pStyle w:val="Compact"/>
              <w:jc w:val="left"/>
            </w:pPr>
            <w:r>
              <w:t xml:space="preserve">10 à 200 Md€</w:t>
            </w:r>
          </w:p>
        </w:tc>
        <w:tc>
          <w:tcPr/>
          <w:p>
            <w:pPr>
              <w:pStyle w:val="Compact"/>
              <w:jc w:val="left"/>
            </w:pPr>
            <w:r>
              <w:t xml:space="preserve">300 à 1 900 Md€</w:t>
            </w:r>
          </w:p>
        </w:tc>
      </w:tr>
      <w:tr>
        <w:tc>
          <w:tcPr/>
          <w:p>
            <w:pPr>
              <w:pStyle w:val="Compact"/>
              <w:jc w:val="left"/>
            </w:pPr>
            <w:r>
              <w:t xml:space="preserve">Horizon de détention</w:t>
            </w:r>
          </w:p>
        </w:tc>
        <w:tc>
          <w:tcPr/>
          <w:p>
            <w:pPr>
              <w:pStyle w:val="Compact"/>
              <w:jc w:val="left"/>
            </w:pPr>
            <w:r>
              <w:t xml:space="preserve">5 à 7 ans</w:t>
            </w:r>
          </w:p>
        </w:tc>
        <w:tc>
          <w:tcPr/>
          <w:p>
            <w:pPr>
              <w:pStyle w:val="Compact"/>
              <w:jc w:val="left"/>
            </w:pPr>
            <w:r>
              <w:t xml:space="preserve">20 à 50 ans</w:t>
            </w:r>
          </w:p>
        </w:tc>
      </w:tr>
      <w:tr>
        <w:tc>
          <w:tcPr/>
          <w:p>
            <w:pPr>
              <w:pStyle w:val="Compact"/>
              <w:jc w:val="left"/>
            </w:pPr>
            <w:r>
              <w:t xml:space="preserve">Coût implicite du capital</w:t>
            </w:r>
          </w:p>
        </w:tc>
        <w:tc>
          <w:tcPr/>
          <w:p>
            <w:pPr>
              <w:pStyle w:val="Compact"/>
              <w:jc w:val="left"/>
            </w:pPr>
            <w:r>
              <w:t xml:space="preserve">10 à 15 %</w:t>
            </w:r>
          </w:p>
        </w:tc>
        <w:tc>
          <w:tcPr/>
          <w:p>
            <w:pPr>
              <w:pStyle w:val="Compact"/>
              <w:jc w:val="left"/>
            </w:pPr>
            <w:r>
              <w:t xml:space="preserve">5 à 8 %</w:t>
            </w:r>
          </w:p>
        </w:tc>
      </w:tr>
      <w:tr>
        <w:tc>
          <w:tcPr/>
          <w:p>
            <w:pPr>
              <w:pStyle w:val="Compact"/>
              <w:jc w:val="left"/>
            </w:pPr>
            <w:r>
              <w:t xml:space="preserve">Frais de gestion</w:t>
            </w:r>
          </w:p>
        </w:tc>
        <w:tc>
          <w:tcPr/>
          <w:p>
            <w:pPr>
              <w:pStyle w:val="Compact"/>
              <w:jc w:val="left"/>
            </w:pPr>
            <w:r>
              <w:t xml:space="preserve">1,5 à 2,5 %</w:t>
            </w:r>
          </w:p>
        </w:tc>
        <w:tc>
          <w:tcPr/>
          <w:p>
            <w:pPr>
              <w:pStyle w:val="Compact"/>
              <w:jc w:val="left"/>
            </w:pPr>
            <w:r>
              <w:t xml:space="preserve">0,1 à 1 %</w:t>
            </w:r>
          </w:p>
        </w:tc>
      </w:tr>
      <w:tr>
        <w:tc>
          <w:tcPr/>
          <w:p>
            <w:pPr>
              <w:pStyle w:val="Compact"/>
              <w:jc w:val="left"/>
            </w:pPr>
            <w:r>
              <w:t xml:space="preserve">Capacité à payer le prix</w:t>
            </w:r>
          </w:p>
        </w:tc>
        <w:tc>
          <w:tcPr/>
          <w:p>
            <w:pPr>
              <w:pStyle w:val="Compact"/>
              <w:jc w:val="left"/>
            </w:pPr>
            <w:r>
              <w:t xml:space="preserve">3 à 4 × EBITDA</w:t>
            </w:r>
          </w:p>
        </w:tc>
        <w:tc>
          <w:tcPr/>
          <w:p>
            <w:pPr>
              <w:pStyle w:val="Compact"/>
              <w:jc w:val="left"/>
            </w:pPr>
            <w:r>
              <w:t xml:space="preserve">5 à 6 × EBITDA</w:t>
            </w:r>
          </w:p>
        </w:tc>
      </w:tr>
      <w:tr>
        <w:tc>
          <w:tcPr/>
          <w:p>
            <w:pPr>
              <w:pStyle w:val="Compact"/>
              <w:jc w:val="left"/>
            </w:pPr>
            <w:r>
              <w:t xml:space="preserve">Pression à la revente</w:t>
            </w:r>
          </w:p>
        </w:tc>
        <w:tc>
          <w:tcPr/>
          <w:p>
            <w:pPr>
              <w:pStyle w:val="Compact"/>
              <w:jc w:val="left"/>
            </w:pPr>
            <w:r>
              <w:t xml:space="preserve">Forte (obligation LP)</w:t>
            </w:r>
          </w:p>
        </w:tc>
        <w:tc>
          <w:tcPr/>
          <w:p>
            <w:pPr>
              <w:pStyle w:val="Compact"/>
              <w:jc w:val="left"/>
            </w:pPr>
            <w:r>
              <w:t xml:space="preserve">Faible (rente long terme)</w:t>
            </w:r>
          </w:p>
        </w:tc>
      </w:tr>
    </w:tbl>
    <w:p>
      <w:pPr>
        <w:pStyle w:val="BodyText"/>
      </w:pPr>
      <w:r>
        <w:t xml:space="preserve">Ce n’est pas un combat. C’est une partie déséquilibrée par construction. À chaque cession d’une belle ETI française, le fonds de pension étranger arrive avec un chèque plus gros et une promesse de stabilité que le PE français ne peut pas faire. Et il l’emporte. Pas parce qu’il est meilleur. Parce qu’il vient d’un système qui, lui, a construit l’outil. L’asymétrie ne se résoudra pas par un Ardian qui doublerait de taille. Elle se résout par des fonds de pension structurels — un véhicule que la France n’a pas.</w:t>
      </w:r>
    </w:p>
    <w:bookmarkEnd w:id="39"/>
    <w:bookmarkStart w:id="51" w:name="X06a564458aba269c8d1071dd221bbf0f71e5797"/>
    <w:p>
      <w:pPr>
        <w:pStyle w:val="Heading2"/>
      </w:pPr>
      <w:r>
        <w:t xml:space="preserve">3.3 Doliprane, Alstom, Lafarge : dix ans de cessions</w:t>
      </w:r>
    </w:p>
    <w:p>
      <w:pPr>
        <w:pStyle w:val="FirstParagraph"/>
      </w:pPr>
      <w:r>
        <w:t xml:space="preserve">L’asymétrie ne reste pas théorique. Elle se traduit, opération par opération, en cessions très concrètes.</w:t>
      </w:r>
    </w:p>
    <w:p>
      <w:pPr>
        <w:pStyle w:val="BodyText"/>
      </w:pPr>
      <w:r>
        <w:rPr>
          <w:b/>
          <w:bCs/>
        </w:rPr>
        <w:t xml:space="preserve">Doliprane / Opella → Clayton, Dubilier &amp; Rice (octobre 2024, clôture 30 avril 2025).</w:t>
      </w:r>
      <w:r>
        <w:t xml:space="preserve"> </w:t>
      </w:r>
      <w:r>
        <w:t xml:space="preserve">Le cas le plus médiatisé, et celui qui ouvre cet ouvrage. Sanofi cède son pôle santé grand public à CD&amp;R pour une</w:t>
      </w:r>
      <w:r>
        <w:t xml:space="preserve"> </w:t>
      </w:r>
      <w:r>
        <w:rPr>
          <w:i/>
          <w:iCs/>
        </w:rPr>
        <w:t xml:space="preserve">enterprise value</w:t>
      </w:r>
      <w:r>
        <w:t xml:space="preserve"> </w:t>
      </w:r>
      <w:r>
        <w:t xml:space="preserve">de 16 milliards d’euros. Répartition finale : Sanofi 48,2 %, Bpifrance 1,8 %, CD&amp;R 50 % avec le contrôle effectif</w:t>
      </w:r>
      <w:r>
        <w:rPr>
          <w:rStyle w:val="FootnoteReference"/>
        </w:rPr>
        <w:footnoteReference w:id="40"/>
      </w:r>
      <w:r>
        <w:t xml:space="preserve">. Sanofi récupère un produit net d’environ 10 milliards qu’il redirigera vers ses recherches en immunologie. Le Premier ministre Michel Barnier obtient en novembre 2024 des garanties : siège maintenu à Neuilly, production Domloup pour cinq ans, R&amp;D de 70 millions sur cinq ans, 4 000 emplois préservés. Le détail crucial : cinq ans. Un fonds de PE tient une participation cinq à sept ans avant de la revendre. La clôture étant en avril 2025, la prochaine revente d’Opella interviendra entre 2030 et 2032. Les garanties Barnier auront alors expiré. Le Doliprane sera, à ce moment-là, libre de toute attache.</w:t>
      </w:r>
    </w:p>
    <w:p>
      <w:pPr>
        <w:pStyle w:val="BodyText"/>
      </w:pPr>
      <w:r>
        <w:rPr>
          <w:b/>
          <w:bCs/>
        </w:rPr>
        <w:t xml:space="preserve">Alstom Énergie → General Electric (2014-2015).</w:t>
      </w:r>
      <w:r>
        <w:t xml:space="preserve"> </w:t>
      </w:r>
      <w:r>
        <w:t xml:space="preserve">Le cas le plus emblématique. Le 22 avril 2014, GE annonce une offre sur la branche Énergie d’Alstom — turbines à gaz, turbines à vapeur, hydraulique, et surtout les turbines Arabelle qui équipent les centrales nucléaires d’EDF. Prix initial : 12,35 milliards d’euros. À la clôture, le 2 novembre 2015, le prix final encaissé après ajustements ressort à</w:t>
      </w:r>
      <w:r>
        <w:t xml:space="preserve"> </w:t>
      </w:r>
      <w:r>
        <w:rPr>
          <w:b/>
          <w:bCs/>
        </w:rPr>
        <w:t xml:space="preserve">9,7 milliards</w:t>
      </w:r>
      <w:r>
        <w:rPr>
          <w:rStyle w:val="FootnoteReference"/>
        </w:rPr>
        <w:footnoteReference w:id="41"/>
      </w:r>
      <w:r>
        <w:t xml:space="preserve">. Presque trois milliards de moins que ce qui avait été annoncé politiquement. À cela s’ajoute le contexte. Frédéric Pierucci, cadre dirigeant d’Alstom, est arrêté à JFK le 14 avril 2013, un an avant l’offre publique, sous procédure du</w:t>
      </w:r>
      <w:r>
        <w:t xml:space="preserve"> </w:t>
      </w:r>
      <w:r>
        <w:rPr>
          <w:i/>
          <w:iCs/>
        </w:rPr>
        <w:t xml:space="preserve">Department of Justice</w:t>
      </w:r>
      <w:r>
        <w:t xml:space="preserve">. Il restera incarcéré quatorze mois. Dans</w:t>
      </w:r>
      <w:r>
        <w:t xml:space="preserve"> </w:t>
      </w:r>
      <w:r>
        <w:rPr>
          <w:i/>
          <w:iCs/>
        </w:rPr>
        <w:t xml:space="preserve">Le piège américain</w:t>
      </w:r>
      <w:r>
        <w:t xml:space="preserve"> </w:t>
      </w:r>
      <w:r>
        <w:t xml:space="preserve">(JC Lattès, 2019), il décrit ce qu’il vit comme un instrument d’extraterritorialité juridique utilisé pour faire pression sur Alstom</w:t>
      </w:r>
      <w:r>
        <w:rPr>
          <w:rStyle w:val="FootnoteReference"/>
        </w:rPr>
        <w:footnoteReference w:id="42"/>
      </w:r>
      <w:r>
        <w:t xml:space="preserve">. La thèse est contestée ; les faits sont documentés. Dix ans plus tard, la France est devenue dépendante, pour les turbines nucléaires de ses propres réacteurs, d’un constructeur américain.</w:t>
      </w:r>
    </w:p>
    <w:p>
      <w:pPr>
        <w:pStyle w:val="BodyText"/>
      </w:pPr>
      <w:r>
        <w:rPr>
          <w:b/>
          <w:bCs/>
        </w:rPr>
        <w:t xml:space="preserve">Photonis → HLD (février 2021).</w:t>
      </w:r>
      <w:r>
        <w:t xml:space="preserve"> </w:t>
      </w:r>
      <w:r>
        <w:t xml:space="preserve">Photonis fabrique des tubes intensificateurs d’image — les yeux des forces spéciales françaises et européennes la nuit. En décembre 2020, l’américain Teledyne Technologies propose un rachat évalué à 550 millions de dollars (environ 510 millions d’euros) qui aurait donné un quasi-monopole mondial. Bercy oppose son veto. Le rachat patrimonial est organisé en urgence avec le fonds français HLD, qui acquiert Photonis pour 370 millions d’euros</w:t>
      </w:r>
      <w:r>
        <w:rPr>
          <w:rStyle w:val="FootnoteReference"/>
        </w:rPr>
        <w:footnoteReference w:id="43"/>
      </w:r>
      <w:r>
        <w:t xml:space="preserve">. Environ cent quarante millions de moins : le « coût de la souveraineté » que la France a accepté de payer. HLD est un fonds patrimonial français, pas un fonds de pension. Sans le veto Bercy, Photonis serait aujourd’hui sous pavillon américain. Le cas est exemplaire d’un blocage politique réussi — mais on ne peut pas activer un veto à chaque transmission d’ETI.</w:t>
      </w:r>
    </w:p>
    <w:p>
      <w:pPr>
        <w:pStyle w:val="BodyText"/>
      </w:pPr>
      <w:r>
        <w:rPr>
          <w:b/>
          <w:bCs/>
        </w:rPr>
        <w:t xml:space="preserve">Latécoère → Searchlight Capital (juin 2019).</w:t>
      </w:r>
      <w:r>
        <w:t xml:space="preserve"> </w:t>
      </w:r>
      <w:r>
        <w:t xml:space="preserve">L’équipementier aéronautique toulousain, qui fournit Boeing, Airbus, Bombardier, passe sous contrôle d’un fonds de</w:t>
      </w:r>
      <w:r>
        <w:t xml:space="preserve"> </w:t>
      </w:r>
      <w:r>
        <w:rPr>
          <w:i/>
          <w:iCs/>
        </w:rPr>
        <w:t xml:space="preserve">private equity</w:t>
      </w:r>
      <w:r>
        <w:t xml:space="preserve"> </w:t>
      </w:r>
      <w:r>
        <w:t xml:space="preserve">américain. Searchlight acquiert en juin 2019 26,05 % du capital pour 106,8 millions de dollars</w:t>
      </w:r>
      <w:r>
        <w:rPr>
          <w:rStyle w:val="FootnoteReference"/>
        </w:rPr>
        <w:footnoteReference w:id="44"/>
      </w:r>
      <w:r>
        <w:t xml:space="preserve">. Une OPA suit, valorisant la totalité à 365 millions d’euros. Recapitalisation de 124,4 millions en novembre 2023, à l’issue de laquelle Searchlight passe à 86,9 %. Effectifs France passés de 2 800 à 2 100 entre 2019 et 2023 — une coupe de 25 %.</w:t>
      </w:r>
    </w:p>
    <w:p>
      <w:pPr>
        <w:pStyle w:val="BodyText"/>
      </w:pPr>
      <w:r>
        <w:rPr>
          <w:b/>
          <w:bCs/>
        </w:rPr>
        <w:t xml:space="preserve">Exxelia → Heico (juillet 2022, clôture janvier 2023).</w:t>
      </w:r>
      <w:r>
        <w:t xml:space="preserve"> </w:t>
      </w:r>
      <w:r>
        <w:t xml:space="preserve">Exxelia fabrique les composants passifs de haute fiabilité qu’on retrouve dans les sous-marins nucléaires Barracuda, les Rafale, les lanceurs Ariane 5 et 6, l’A320neo, le Falcon. Heico Corporation, fonds industriel coté au Nasdaq, l’acquiert pour 453 millions d’euros plus 14 millions de dette assumée</w:t>
      </w:r>
      <w:r>
        <w:rPr>
          <w:rStyle w:val="FootnoteReference"/>
        </w:rPr>
        <w:footnoteReference w:id="45"/>
      </w:r>
      <w:r>
        <w:t xml:space="preserve">. La France obtient une</w:t>
      </w:r>
      <w:r>
        <w:t xml:space="preserve"> </w:t>
      </w:r>
      <w:r>
        <w:rPr>
          <w:i/>
          <w:iCs/>
        </w:rPr>
        <w:t xml:space="preserve">golden share</w:t>
      </w:r>
      <w:r>
        <w:t xml:space="preserve"> </w:t>
      </w:r>
      <w:r>
        <w:t xml:space="preserve">négociée tardivement. Sur le papier, elle peut bloquer une décision stratégique ; dans les faits, ce qui n’aura pas été pré-positionné se négocie à l’unité, années après années. Le siège reste en France ; la direction stratégique est à Hollywood, Floride.</w:t>
      </w:r>
    </w:p>
    <w:p>
      <w:pPr>
        <w:pStyle w:val="BodyText"/>
      </w:pPr>
      <w:r>
        <w:t xml:space="preserve">À ces cinq cas s’ajoute une série d’opérations qui dessinent le même mouvement.</w:t>
      </w:r>
      <w:r>
        <w:t xml:space="preserve"> </w:t>
      </w:r>
      <w:r>
        <w:rPr>
          <w:b/>
          <w:bCs/>
        </w:rPr>
        <w:t xml:space="preserve">Lafarge-Holcim (2015)</w:t>
      </w:r>
      <w:r>
        <w:t xml:space="preserve"> </w:t>
      </w:r>
      <w:r>
        <w:t xml:space="preserve">: fusion avec le suisse Holcim, siège du groupe combiné délocalisé à Jona, effectifs français passés de 6 500 à moins de 5 500 en deux ans</w:t>
      </w:r>
      <w:r>
        <w:rPr>
          <w:rStyle w:val="FootnoteReference"/>
        </w:rPr>
        <w:footnoteReference w:id="46"/>
      </w:r>
      <w:r>
        <w:t xml:space="preserve">.</w:t>
      </w:r>
      <w:r>
        <w:t xml:space="preserve"> </w:t>
      </w:r>
      <w:r>
        <w:rPr>
          <w:b/>
          <w:bCs/>
        </w:rPr>
        <w:t xml:space="preserve">Technip-FMC (2016)</w:t>
      </w:r>
      <w:r>
        <w:t xml:space="preserve"> </w:t>
      </w:r>
      <w:r>
        <w:t xml:space="preserve">: fusion 50/50 avec l’américain FMC, cotation principale transférée au NYSE, siège opérationnel à Houston, effectifs français passés de plus de 5 000 à moins de 3 500 entre 2017 et 2021</w:t>
      </w:r>
      <w:r>
        <w:rPr>
          <w:rStyle w:val="FootnoteReference"/>
        </w:rPr>
        <w:footnoteReference w:id="47"/>
      </w:r>
      <w:r>
        <w:t xml:space="preserve">.</w:t>
      </w:r>
      <w:r>
        <w:t xml:space="preserve"> </w:t>
      </w:r>
      <w:r>
        <w:rPr>
          <w:b/>
          <w:bCs/>
        </w:rPr>
        <w:t xml:space="preserve">Servier-Agios (mars 2021)</w:t>
      </w:r>
      <w:r>
        <w:t xml:space="preserve"> </w:t>
      </w:r>
      <w:r>
        <w:t xml:space="preserve">: le contre-exemple. Servier, contrôlé par une fondation à but non lucratif, rachète à l’américain Agios son portefeuille d’oncologie pour 1,8 milliard de dollars</w:t>
      </w:r>
      <w:r>
        <w:rPr>
          <w:rStyle w:val="FootnoteReference"/>
        </w:rPr>
        <w:footnoteReference w:id="48"/>
      </w:r>
      <w:r>
        <w:t xml:space="preserve">. Pourquoi Servier réussit là où d’autres groupes français échouent ? Parce qu’il dispose d’un capital patient, structurellement comparable à celui d’un fonds de pension : pas de pression d’actionnaires cotés, horizon quasi infini. Le contre-exemple parfait, qui prouve que le problème n’est pas culturel, mais structurel.</w:t>
      </w:r>
      <w:r>
        <w:t xml:space="preserve"> </w:t>
      </w:r>
      <w:r>
        <w:rPr>
          <w:b/>
          <w:bCs/>
        </w:rPr>
        <w:t xml:space="preserve">Ingenico-Worldline (2020)</w:t>
      </w:r>
      <w:r>
        <w:t xml:space="preserve"> </w:t>
      </w:r>
      <w:r>
        <w:t xml:space="preserve">: Worldline rachète Ingenico pour 7,8 milliards d’euros</w:t>
      </w:r>
      <w:r>
        <w:rPr>
          <w:rStyle w:val="FootnoteReference"/>
        </w:rPr>
        <w:footnoteReference w:id="49"/>
      </w:r>
      <w:r>
        <w:t xml:space="preserve">, en théorie la fusion des deux champions français du paiement. Dans les faits, l’ensemble se retrouve surendetté, le cours s’effondre en 2023, des fonds activistes américains entrent au capital. La leçon : créer un champion sans capital long terme pour l’accompagner, c’est créer une cible.</w:t>
      </w:r>
      <w:r>
        <w:t xml:space="preserve"> </w:t>
      </w:r>
      <w:r>
        <w:rPr>
          <w:b/>
          <w:bCs/>
        </w:rPr>
        <w:t xml:space="preserve">SoLocal (2004-2024)</w:t>
      </w:r>
      <w:r>
        <w:t xml:space="preserve"> </w:t>
      </w:r>
      <w:r>
        <w:t xml:space="preserve">: ex-PagesJaunes, introduite en Bourse en 2004, a dilué progressivement son capital dans une succession de recapitalisations et de prises de contrôle par des fonds anglo-saxons. Pas de hold-up spectaculaire. Une dilution progressive, jusqu’à ce qu’on regarde la table de capital et qu’on s’aperçoive que SoLocal n’est plus une entreprise française.</w:t>
      </w:r>
    </w:p>
    <w:p>
      <w:pPr>
        <w:pStyle w:val="BodyText"/>
      </w:pPr>
      <w:r>
        <w:t xml:space="preserve">Dix cas. Six acquéreurs américains ou anglo-saxons (GE, FMC, Searchlight, Heico, CD&amp;R, succession SoLocal), un suisse (Holcim), deux français (HLD après veto Bercy, Servier en cas inverse), un franco-français fragile (Worldline). Sur les sept cessions vers l’étranger, la valeur cumulée transférée atteint environ</w:t>
      </w:r>
      <w:r>
        <w:t xml:space="preserve"> </w:t>
      </w:r>
      <w:r>
        <w:rPr>
          <w:b/>
          <w:bCs/>
        </w:rPr>
        <w:t xml:space="preserve">85 milliards d’euros</w:t>
      </w:r>
      <w:r>
        <w:t xml:space="preserve">. En ajoutant la moitié française d’Opella, on dépasse les</w:t>
      </w:r>
      <w:r>
        <w:t xml:space="preserve"> </w:t>
      </w:r>
      <w:r>
        <w:rPr>
          <w:b/>
          <w:bCs/>
        </w:rPr>
        <w:t xml:space="preserve">quatre-vingt-dix milliards</w:t>
      </w:r>
      <w:r>
        <w:t xml:space="preserve">. Sur dix ans, c’est l’équivalent d’un budget de la Défense par décennie qui sort du périmètre français.</w:t>
      </w:r>
    </w:p>
    <w:p>
      <w:pPr>
        <w:pStyle w:val="BodyText"/>
      </w:pPr>
      <w:r>
        <w:t xml:space="preserve">Mais cette galerie ne dit pas tout. Quand une ETI française se vend à un fonds étranger, ce n’est pas un simple changement d’actionnaire. C’est tout un écosystème qui glisse vers une autre juridiction. Le siège, d’abord. Lafarge à Jona, Technip à Houston, Alstom Énergie sous direction Fairfield, Connecticut. Le centre de décision quotidien migre vers le pays de l’acquéreur. Même quand le siège « officiel » reste en France, comme chez Exxelia, les décisions stratégiques se prennent ailleurs. La hiérarchie suit l’argent. La R&amp;D, ensuite — le plus pernicieux. Une multinationale a intérêt à concentrer ses moyens dans un nombre limité de centres mondiaux. Quand une entreprise française est rachetée par un groupe américain qui possède déjà un centre R&amp;D à Boston, on rationalise. Au bout de cinq ans, le laboratoire français ne fait plus de recherche fondamentale, il fait de l’adaptation locale. C’est ce qui s’est passé chez Technip après 2017, chez Lafarge après 2016. C’est ce qui pourrait arriver chez Opella après 2030. Les brevets, surtout : ils peuvent être cédés intra-groupe à une filiale localisée dans une juridiction fiscale favorable — Pays-Bas, Irlande, Luxembourg, Delaware. Les redevances futures, qui étaient encaissées en France, le sont désormais ailleurs. L’impôt sur les sociétés correspondant aussi. C’est ce qu’on appelle, dans le jargon de l’OCDE, l’érosion de la base fiscale</w:t>
      </w:r>
      <w:r>
        <w:rPr>
          <w:rStyle w:val="FootnoteReference"/>
        </w:rPr>
        <w:footnoteReference w:id="50"/>
      </w:r>
      <w:r>
        <w:t xml:space="preserve">. Les fournisseurs et les talents, enfin : les acheteurs du groupe acquéreur préfèrent les fournisseurs qu’ils connaissent, et les meilleurs ingénieurs s’expatrient vers le siège avec un savoir-faire que l’écosystème français a mis des années à former.</w:t>
      </w:r>
    </w:p>
    <w:p>
      <w:pPr>
        <w:pStyle w:val="BodyText"/>
      </w:pPr>
      <w:r>
        <w:t xml:space="preserve">Tout cela mis bout à bout, ce ne sont pas seulement des « actifs » qui changent de main. C’est une partie du tissu économique national qui se rétracte, opération après opération. On peut mesurer la valeur cash d’une transaction. On ne mesure jamais ce qui part avec : les sièges, les recherches, les brevets, les fournisseurs, les impôts, les talents. C’est exactement ce que les Britanniques appellent le</w:t>
      </w:r>
      <w:r>
        <w:t xml:space="preserve"> </w:t>
      </w:r>
      <w:r>
        <w:rPr>
          <w:i/>
          <w:iCs/>
        </w:rPr>
        <w:t xml:space="preserve">hollowing out</w:t>
      </w:r>
      <w:r>
        <w:t xml:space="preserve"> </w:t>
      </w:r>
      <w:r>
        <w:t xml:space="preserve">— le creusement de l’intérieur. La coque reste, l’intérieur s’évide. Garder l’enseigne ne suffit pas à garder l’économie.</w:t>
      </w:r>
    </w:p>
    <w:bookmarkEnd w:id="51"/>
    <w:bookmarkStart w:id="57" w:name="milliards-de-dividendes-vers-létranger"/>
    <w:p>
      <w:pPr>
        <w:pStyle w:val="Heading2"/>
      </w:pPr>
      <w:r>
        <w:t xml:space="preserve">3.4 36 milliards de dividendes vers l’étranger</w:t>
      </w:r>
    </w:p>
    <w:p>
      <w:pPr>
        <w:pStyle w:val="FirstParagraph"/>
      </w:pPr>
      <w:r>
        <w:t xml:space="preserve">On peut, pour finir de mesurer le hold-up, sortir de la transmission d’ETI et regarder les grands. Le CAC 40 a versé en 2024 un montant record de</w:t>
      </w:r>
      <w:r>
        <w:t xml:space="preserve"> </w:t>
      </w:r>
      <w:r>
        <w:rPr>
          <w:b/>
          <w:bCs/>
        </w:rPr>
        <w:t xml:space="preserve">72,8 milliards d’euros de dividendes</w:t>
      </w:r>
      <w:r>
        <w:t xml:space="preserve">, en hausse de 8,5 %. Si l’on ajoute les rachats d’actions, le retour total à l’actionnaire atteint 98,2 milliards</w:t>
      </w:r>
      <w:r>
        <w:rPr>
          <w:rStyle w:val="FootnoteReference"/>
        </w:rPr>
        <w:footnoteReference w:id="52"/>
      </w:r>
      <w:r>
        <w:t xml:space="preserve">. TotalEnergies a versé à elle seule 14,6 milliards. LVMH 6,9. Stellantis 6,7. Ces chiffres sont des montants effectivement décaissés, ligne après ligne.</w:t>
      </w:r>
    </w:p>
    <w:p>
      <w:pPr>
        <w:pStyle w:val="BodyText"/>
      </w:pPr>
      <w:r>
        <w:t xml:space="preserve">Or, à fin 2024,</w:t>
      </w:r>
      <w:r>
        <w:t xml:space="preserve"> </w:t>
      </w:r>
      <w:r>
        <w:rPr>
          <w:b/>
          <w:bCs/>
        </w:rPr>
        <w:t xml:space="preserve">50 % du capital des trente-cinq plus grandes sociétés du CAC 40 sont détenus par des investisseurs non-résidents</w:t>
      </w:r>
      <w:r>
        <w:rPr>
          <w:rStyle w:val="FootnoteReference"/>
        </w:rPr>
        <w:footnoteReference w:id="53"/>
      </w:r>
      <w:r>
        <w:t xml:space="preserve">. La capitalisation totale concernée s’élève à 2 165 milliards d’euros ; 1 083 milliards sont donc détenus depuis l’étranger. Dix-neuf de ces trente-cinq sociétés sont contrôlées à plus de 50 % par des non-résidents.</w:t>
      </w:r>
    </w:p>
    <w:p>
      <w:pPr>
        <w:pStyle w:val="BodyText"/>
      </w:pPr>
      <w:r>
        <w:t xml:space="preserve">L’arithmétique est cruelle. 50 % × 72,8 Md€ =</w:t>
      </w:r>
      <w:r>
        <w:t xml:space="preserve"> </w:t>
      </w:r>
      <w:r>
        <w:rPr>
          <w:b/>
          <w:bCs/>
        </w:rPr>
        <w:t xml:space="preserve">36,4 milliards d’euros</w:t>
      </w:r>
      <w:r>
        <w:t xml:space="preserve"> </w:t>
      </w:r>
      <w:r>
        <w:t xml:space="preserve">de dividendes qui ont quitté la France en 2024. L’équivalent du budget annuel du ministère de l’Éducation nationale, ou presque. Par habitant, 535 euros qui partent chaque année à l’étranger.</w:t>
      </w:r>
    </w:p>
    <w:p>
      <w:pPr>
        <w:pStyle w:val="BodyText"/>
      </w:pPr>
      <w:r>
        <w:t xml:space="preserve">D’où viennent ces non-résidents ? 92 % investissent en portefeuille (fonds, ETF, gestion passive). Par zone : 40 % zone euro, 34 % États-Unis, 26 % reste du monde</w:t>
      </w:r>
      <w:r>
        <w:rPr>
          <w:rStyle w:val="FootnoteReference"/>
        </w:rPr>
        <w:footnoteReference w:id="54"/>
      </w:r>
      <w:r>
        <w:t xml:space="preserve">. Les noms reviennent : BlackRock pesait environ 2,1 % de l’indice CAC 40 en 2020, Vanguard 2,0 %, State Street autour de 1,5 %</w:t>
      </w:r>
      <w:r>
        <w:rPr>
          <w:rStyle w:val="FootnoteReference"/>
        </w:rPr>
        <w:footnoteReference w:id="55"/>
      </w:r>
      <w:r>
        <w:t xml:space="preserve">. Ce ne sont pas des « ennemis » de la France. Ce sont des gestionnaires d’actifs qui servent leurs clients, eux-mêmes très majoritairement des fonds de pension américains, britanniques, canadiens, néerlandais. Le Doliprane vendu en France par Sanofi finit, par circuits intermédiaires, à payer la pension d’un instituteur de Caroline du Nord ou d’un fonctionnaire municipal d’Ontario. Chaîne mécanique, parfaitement légale.</w:t>
      </w:r>
    </w:p>
    <w:p>
      <w:pPr>
        <w:pStyle w:val="BodyText"/>
      </w:pPr>
      <w:r>
        <w:t xml:space="preserve">Le problème n’est pas qu’elle existe. Le problème est qu’elle n’a pas son symétrique français. Le FRR gère 21 milliards. L’ERAFP 48. Le PER tous types confondus 119. Aucun de ces véhicules ne joue le rôle qu’un ABP, un CPPIB, un AustralianSuper joue dans son économie. Structurellement, la France n’a pas de levier pour reprendre une partie de son propre capital.</w:t>
      </w:r>
    </w:p>
    <w:p>
      <w:pPr>
        <w:pStyle w:val="BlockText"/>
      </w:pPr>
      <w:r>
        <w:rPr>
          <w:b/>
          <w:bCs/>
        </w:rPr>
        <w:t xml:space="preserve">Calcul Où Va l’Argent.</w:t>
      </w:r>
      <w:r>
        <w:t xml:space="preserve"> </w:t>
      </w:r>
      <w:r>
        <w:t xml:space="preserve">La fuite cumulée sur dix ans.</w:t>
      </w:r>
    </w:p>
    <w:p>
      <w:pPr>
        <w:pStyle w:val="BlockText"/>
      </w:pPr>
      <w:r>
        <w:t xml:space="preserve">En 2024 : 36,4 Md€ partis à l’étranger.</w:t>
      </w:r>
      <w:r>
        <w:br/>
      </w:r>
      <w:r>
        <w:t xml:space="preserve">En appliquant la croissance moyenne des dividendes du CAC 40 (environ 6 % nominal annualisé sur la décennie écoulée) et en faisant l’hypothèse d’une détention non-résidente stable à 50 %, le flux annuel atteindrait, en 2034, autour de</w:t>
      </w:r>
      <w:r>
        <w:t xml:space="preserve"> </w:t>
      </w:r>
      <w:r>
        <w:rPr>
          <w:b/>
          <w:bCs/>
        </w:rPr>
        <w:t xml:space="preserve">65 Md€</w:t>
      </w:r>
      <w:r>
        <w:t xml:space="preserve">.</w:t>
      </w:r>
    </w:p>
    <w:p>
      <w:pPr>
        <w:pStyle w:val="BlockText"/>
      </w:pPr>
      <w:r>
        <w:t xml:space="preserve">Sur la décennie 2024-2034, le total cumulé des dividendes partis à l’étranger devrait dépasser</w:t>
      </w:r>
      <w:r>
        <w:t xml:space="preserve"> </w:t>
      </w:r>
      <w:r>
        <w:rPr>
          <w:b/>
          <w:bCs/>
        </w:rPr>
        <w:t xml:space="preserve">500 milliards d’euros</w:t>
      </w:r>
      <w:r>
        <w:rPr>
          <w:rStyle w:val="FootnoteReference"/>
        </w:rPr>
        <w:footnoteReference w:id="56"/>
      </w:r>
      <w:r>
        <w:t xml:space="preserve">.</w:t>
      </w:r>
    </w:p>
    <w:p>
      <w:pPr>
        <w:pStyle w:val="FirstParagraph"/>
      </w:pPr>
      <w:r>
        <w:t xml:space="preserve">Cette fuite n’est pas le résultat d’une malveillance étrangère, ni d’un manque de patriotisme français, ni d’une « invasion ». Elle est le résultat mécanique d’un vide. Les fonds de pension étrangers viennent investir dans le CAC 40 parce qu’ils ont besoin d’allouer des sommes colossales sur des marchés profonds, et que la France offre, par sa taille et la qualité de ses entreprises, un terrain attractif. Si les Français avaient leurs propres fonds de pension, ils investiraient eux aussi — en partie, comme les Norvégiens, les Néerlandais et les Canadiens — dans leurs propres entreprises nationales. Les non-résidents continueraient à investir, mais leur part relative serait plus faible, et le flux de dividendes vers l’étranger le serait dans la même proportion.</w:t>
      </w:r>
    </w:p>
    <w:bookmarkEnd w:id="57"/>
    <w:bookmarkStart w:id="65" w:name="X81a1c665510db1e3338e98af2866fc35ed71590"/>
    <w:p>
      <w:pPr>
        <w:pStyle w:val="Heading2"/>
      </w:pPr>
      <w:r>
        <w:t xml:space="preserve">3.5 Ce que feraient 1 500 milliards en fonds de pension français</w:t>
      </w:r>
    </w:p>
    <w:p>
      <w:pPr>
        <w:pStyle w:val="FirstParagraph"/>
      </w:pPr>
      <w:r>
        <w:t xml:space="preserve">Imaginons, pour finir, ce qui se passerait si la France avait des fonds de pension de taille comparable à ceux de ses voisins. Pas une utopie ; un calcul.</w:t>
      </w:r>
    </w:p>
    <w:p>
      <w:pPr>
        <w:pStyle w:val="BodyText"/>
      </w:pPr>
      <w:r>
        <w:t xml:space="preserve">D’où viendraient ces 1 500 milliards ? Ils ne tomberaient pas du ciel. Ils viendraient des cotisations retraite des Français eux-mêmes. Chaque mois, une part du salaire — quelques points du brut, comme en Suède (2,5 % sur la</w:t>
      </w:r>
      <w:r>
        <w:t xml:space="preserve"> </w:t>
      </w:r>
      <w:r>
        <w:rPr>
          <w:i/>
          <w:iCs/>
        </w:rPr>
        <w:t xml:space="preserve">Premiepension</w:t>
      </w:r>
      <w:r>
        <w:t xml:space="preserve">) ou en Australie (12 % sur la</w:t>
      </w:r>
      <w:r>
        <w:t xml:space="preserve"> </w:t>
      </w:r>
      <w:r>
        <w:rPr>
          <w:i/>
          <w:iCs/>
        </w:rPr>
        <w:t xml:space="preserve">Superannuation Guarantee</w:t>
      </w:r>
      <w:r>
        <w:t xml:space="preserve">) — ne partirait plus immédiatement vers un retraité actuel, mais s’accumulerait dans un fonds, qui l’investirait dans un portefeuille diversifié. Et parce qu’un fonds de pension français ferait, comme tous ses homologues, du</w:t>
      </w:r>
      <w:r>
        <w:t xml:space="preserve"> </w:t>
      </w:r>
      <w:r>
        <w:rPr>
          <w:i/>
          <w:iCs/>
        </w:rPr>
        <w:t xml:space="preserve">home bias</w:t>
      </w:r>
      <w:r>
        <w:t xml:space="preserve">, vingt à trente pour cent de ses actifs reviendraient sur le marché français. Le salarié cotise une fois, et son argent fait</w:t>
      </w:r>
      <w:r>
        <w:t xml:space="preserve"> </w:t>
      </w:r>
      <w:r>
        <w:rPr>
          <w:b/>
          <w:bCs/>
        </w:rPr>
        <w:t xml:space="preserve">deux choses à la fois</w:t>
      </w:r>
      <w:r>
        <w:t xml:space="preserve"> </w:t>
      </w:r>
      <w:r>
        <w:t xml:space="preserve">: il prépare sa retraite, et il devient — pour la première fois — actionnaire des entreprises de son pays.</w:t>
      </w:r>
    </w:p>
    <w:p>
      <w:pPr>
        <w:pStyle w:val="BodyText"/>
      </w:pPr>
      <w:r>
        <w:t xml:space="preserve">Deux faits d’honnêteté intellectuelle s’imposent. Le premier : un fonds de pension français n’investirait pas cent pour cent en France. Aucun fonds de pension dans le monde ne le fait. Le GPFG norvégien plafonne réglementairement la part de son portefeuille équité en actions norvégiennes. L’ABP néerlandais alloue son portefeuille à l’échelle européenne et mondiale. CPPIB et CDPQ, malgré une cotisation entièrement nationale, plafonnent autour d’un quart leur exposition canadienne ou québécoise. Les grands fonds publics étrangers allouent entre dix et vingt-cinq pour cent de leurs actifs à leur économie domestique</w:t>
      </w:r>
      <w:r>
        <w:rPr>
          <w:rStyle w:val="FootnoteReference"/>
        </w:rPr>
        <w:footnoteReference w:id="58"/>
      </w:r>
      <w:r>
        <w:t xml:space="preserve">. Un fonds de pension français suivrait la même logique : vingt à trente pour cent dirigés vers la France et la zone euro, le reste diversifié à l’international. Croire qu’il en irait autrement, ce serait promettre un protectionnisme financier que les règles de diversification prudentielle interdisent.</w:t>
      </w:r>
    </w:p>
    <w:p>
      <w:pPr>
        <w:pStyle w:val="BodyText"/>
      </w:pPr>
      <w:r>
        <w:t xml:space="preserve">Le second : pour que ces vingt à trente pour cent soient effectivement investis en France, encore faut-il que le capital français soit rentable. La capitalisation des retraites n’élimine pas la fuite des capitaux si l’environnement reste peu compétitif. Elle suppose une politique d’ensemble : compétitivité fiscale, stabilité réglementaire, profondeur du marché de capitaux, écosystème PME-ETI compétitif, investissement public en R&amp;D et infrastructures. La capitalisation n’est donc pas une condition suffisante. Elle est une condition nécessaire. Mais elle change le jeu, parce qu’elle crée la demande structurelle de long terme qui justifie ces politiques : aujourd’hui, le capital qui s’investit en France vient de l’étranger et peut repartir ; demain, une partie serait ancrée par contrat social aux pensions des Français eux-mêmes. Même à vingt-cinq pour cent d’allocation domestique, sur 1 500 milliards de stock cible, cela représenterait environ 375 milliards d’euros qui changeraient de mains — un volume supérieur à la totalité du capital-investissement français actuel.</w:t>
      </w:r>
    </w:p>
    <w:p>
      <w:pPr>
        <w:pStyle w:val="BodyText"/>
      </w:pPr>
      <w:r>
        <w:t xml:space="preserve">Pour atteindre 50 % du PIB en actifs de fonds de pension, soit la position approximative du Canada à mi-parcours, la France aurait besoin d’environ</w:t>
      </w:r>
      <w:r>
        <w:t xml:space="preserve"> </w:t>
      </w:r>
      <w:r>
        <w:rPr>
          <w:b/>
          <w:bCs/>
        </w:rPr>
        <w:t xml:space="preserve">1 500 milliards d’euros</w:t>
      </w:r>
      <w:r>
        <w:t xml:space="preserve"> </w:t>
      </w:r>
      <w:r>
        <w:t xml:space="preserve">sous gestion</w:t>
      </w:r>
      <w:r>
        <w:rPr>
          <w:rStyle w:val="FootnoteReference"/>
        </w:rPr>
        <w:footnoteReference w:id="59"/>
      </w:r>
      <w:r>
        <w:t xml:space="preserve">. C’est l’objectif théorique d’une transition étalée sur vingt-cinq à trente ans (modèle australien). Comparé aux 200 milliards actuels de tous les véhicules de capitalisation français additionnés, c’est un changement d’ordre de grandeur. Encore inférieur aux 1 900 milliards du seul fonds souverain norvégien.</w:t>
      </w:r>
    </w:p>
    <w:p>
      <w:pPr>
        <w:pStyle w:val="BodyText"/>
      </w:pPr>
      <w:r>
        <w:t xml:space="preserve">Allouons ces 1 500 milliards selon le profil d’un fonds de pension standard : 50 % en actions cotées internationales, dont une part «</w:t>
      </w:r>
      <w:r>
        <w:t xml:space="preserve"> </w:t>
      </w:r>
      <w:r>
        <w:rPr>
          <w:i/>
          <w:iCs/>
        </w:rPr>
        <w:t xml:space="preserve">home bias</w:t>
      </w:r>
      <w:r>
        <w:t xml:space="preserve"> </w:t>
      </w:r>
      <w:r>
        <w:t xml:space="preserve">» de 30-40 % en France et en Europe, 25 % en obligations, 15 % en actifs alternatifs (capital-investissement, infrastructures, immobilier), 10 % en liquidités et autres. Cela donne :</w:t>
      </w:r>
    </w:p>
    <w:p>
      <w:pPr>
        <w:pStyle w:val="Compact"/>
        <w:numPr>
          <w:ilvl w:val="0"/>
          <w:numId w:val="1001"/>
        </w:numPr>
      </w:pPr>
      <w:r>
        <w:rPr>
          <w:b/>
          <w:bCs/>
        </w:rPr>
        <w:t xml:space="preserve">300 à 400 milliards d’euros</w:t>
      </w:r>
      <w:r>
        <w:t xml:space="preserve"> </w:t>
      </w:r>
      <w:r>
        <w:t xml:space="preserve">investis directement dans le CAC 40 et le SBF 120, soit 14 à 18 % du capital total des grandes capitalisations françaises. Cette substitution ferait passer la détention non-résidente de 50 % à environ 32-36 %.</w:t>
      </w:r>
    </w:p>
    <w:p>
      <w:pPr>
        <w:pStyle w:val="Compact"/>
        <w:numPr>
          <w:ilvl w:val="0"/>
          <w:numId w:val="1001"/>
        </w:numPr>
      </w:pPr>
      <w:r>
        <w:rPr>
          <w:b/>
          <w:bCs/>
        </w:rPr>
        <w:t xml:space="preserve">75 à 100 milliards d’euros</w:t>
      </w:r>
      <w:r>
        <w:t xml:space="preserve"> </w:t>
      </w:r>
      <w:r>
        <w:t xml:space="preserve">orientés vers le capital-investissement et les ETI françaises, soit trois à quatre années d’activité du capital-investissement français actuel concentrées sur le seul marché domestique.</w:t>
      </w:r>
    </w:p>
    <w:p>
      <w:pPr>
        <w:pStyle w:val="Compact"/>
        <w:numPr>
          <w:ilvl w:val="0"/>
          <w:numId w:val="1001"/>
        </w:numPr>
      </w:pPr>
      <w:r>
        <w:rPr>
          <w:b/>
          <w:bCs/>
        </w:rPr>
        <w:t xml:space="preserve">50 à 75 milliards d’euros</w:t>
      </w:r>
      <w:r>
        <w:t xml:space="preserve"> </w:t>
      </w:r>
      <w:r>
        <w:t xml:space="preserve">dans les infrastructures domestiques (énergie, transport, logement social, transition climatique).</w:t>
      </w:r>
    </w:p>
    <w:p>
      <w:pPr>
        <w:pStyle w:val="FirstParagraph"/>
      </w:pPr>
      <w:r>
        <w:t xml:space="preserve">Sur le flux de dividendes : 36,4 Md€ × 30 % = environ</w:t>
      </w:r>
      <w:r>
        <w:t xml:space="preserve"> </w:t>
      </w:r>
      <w:r>
        <w:rPr>
          <w:b/>
          <w:bCs/>
        </w:rPr>
        <w:t xml:space="preserve">15 milliards d’euros par an</w:t>
      </w:r>
      <w:r>
        <w:t xml:space="preserve"> </w:t>
      </w:r>
      <w:r>
        <w:t xml:space="preserve">retenus en France au lieu de partir à l’étranger. Cumulé sur dix ans, plus de 200 milliards qui financeraient des retraites françaises au lieu de retraites étrangères</w:t>
      </w:r>
      <w:r>
        <w:rPr>
          <w:rStyle w:val="FootnoteReference"/>
        </w:rPr>
        <w:footnoteReference w:id="60"/>
      </w:r>
      <w:r>
        <w:t xml:space="preserve">. Sur les transmissions d’ETI : avec 100 milliards alloués au capital-investissement français, une capacité d’acquisition de 15 à 25 milliards par an, suffisante pour absorber 100 à 200 transmissions d’ETI par an à des prix capables de rivaliser avec les fonds étrangers — parce qu’on aurait, enfin, le même horizon de temps et le même coût implicite du capital qu’eux. Sur la décennie 2025-2035, 1 000 à 2 000 ETI françaises qui pourraient rester sous capital national.</w:t>
      </w:r>
    </w:p>
    <w:p>
      <w:pPr>
        <w:pStyle w:val="BodyText"/>
      </w:pPr>
      <w:r>
        <w:t xml:space="preserve">Trois cas étrangers illustrent ce que peut faire un fonds de pension quand il décide de jouer ce rôle.</w:t>
      </w:r>
    </w:p>
    <w:p>
      <w:pPr>
        <w:pStyle w:val="BodyText"/>
      </w:pPr>
      <w:r>
        <w:rPr>
          <w:b/>
          <w:bCs/>
        </w:rPr>
        <w:t xml:space="preserve">CDPQ-Bombardier Transport (2015-2021).</w:t>
      </w:r>
      <w:r>
        <w:t xml:space="preserve"> </w:t>
      </w:r>
      <w:r>
        <w:t xml:space="preserve">En novembre 2015, la Caisse de dépôt et placement du Québec acquiert 30 % de la holding logée derrière Bombardier Transport pour 1,5 milliard de dollars américains</w:t>
      </w:r>
      <w:r>
        <w:rPr>
          <w:rStyle w:val="FootnoteReference"/>
        </w:rPr>
        <w:footnoteReference w:id="61"/>
      </w:r>
      <w:r>
        <w:t xml:space="preserve">. Objectif : sauver la division ferroviaire de Bombardier, alors en grande difficulté, et préserver les emplois québécois. Le partenariat dure cinq ans. Le 29 janvier 2021, l’ensemble est revendu à Alstom dans le cadre d’un mariage industriel européen. La CDPQ sort avec un rendement honorable, Bombardier sort de l’ornière, Alstom prend la première place mondiale du transport ferroviaire. L’opération n’aurait jamais pu se faire sans un fonds de pension public capable de prendre 30 % d’une division industrielle géante, à horizon long, sans pression de revente immédiate.</w:t>
      </w:r>
    </w:p>
    <w:p>
      <w:pPr>
        <w:pStyle w:val="BodyText"/>
      </w:pPr>
      <w:r>
        <w:rPr>
          <w:b/>
          <w:bCs/>
        </w:rPr>
        <w:t xml:space="preserve">ABP-impact investments (2024).</w:t>
      </w:r>
      <w:r>
        <w:t xml:space="preserve"> </w:t>
      </w:r>
      <w:r>
        <w:t xml:space="preserve">En 2024, ABP annonce un plan d’investissements à impact de 30 milliards d’euros à horizon 2030</w:t>
      </w:r>
      <w:r>
        <w:rPr>
          <w:rStyle w:val="FootnoteReference"/>
        </w:rPr>
        <w:footnoteReference w:id="62"/>
      </w:r>
      <w:r>
        <w:t xml:space="preserve">. Une partie significative — estimée à 5 milliards dans les logements locatifs sociaux néerlandais, plusieurs milliards dans la transition énergétique domestique — est concentrée sur le territoire national. C’est exactement ce qu’un fonds de pension français pourrait faire pour notre propre transition énergétique : énergies renouvelables, réseaux de chaleur, rénovation thermique, en partenariat public-privé, rendement modéré mais stable sur trente ans. Aujourd’hui, ce sont les caisses néerlandaises, canadiennes et australiennes qui financent ces projets. Demain, des caisses françaises pourraient le faire à leur place.</w:t>
      </w:r>
    </w:p>
    <w:p>
      <w:pPr>
        <w:pStyle w:val="BodyText"/>
      </w:pPr>
      <w:r>
        <w:rPr>
          <w:b/>
          <w:bCs/>
        </w:rPr>
        <w:t xml:space="preserve">USS-Heathrow (2013-2024).</w:t>
      </w:r>
      <w:r>
        <w:t xml:space="preserve"> </w:t>
      </w:r>
      <w:r>
        <w:t xml:space="preserve">En octobre 2013, l’</w:t>
      </w:r>
      <w:r>
        <w:rPr>
          <w:i/>
          <w:iCs/>
        </w:rPr>
        <w:t xml:space="preserve">Universities Superannuation Scheme</w:t>
      </w:r>
      <w:r>
        <w:t xml:space="preserve">, fonds de pension des universités britanniques, acquiert 8,65 % de la holding qui contrôle l’aéroport de Heathrow pour 392 millions de livres sterling</w:t>
      </w:r>
      <w:r>
        <w:rPr>
          <w:rStyle w:val="FootnoteReference"/>
        </w:rPr>
        <w:footnoteReference w:id="63"/>
      </w:r>
      <w:r>
        <w:t xml:space="preserve">. USS garde sa participation pendant onze ans, puis cède l’intégralité en décembre 2024. Pendant ces onze années, dividendes annuels stables indexés sur le trafic, participation aux décisions stratégiques de modernisation. L’archétype de l’investissement d’infrastructure long terme. Aucun fonds français de taille équivalente ne pourrait, aujourd’hui, prendre une telle position dans Aéroports de Paris ou Vinci Concessions.</w:t>
      </w:r>
    </w:p>
    <w:p>
      <w:pPr>
        <w:pStyle w:val="BodyText"/>
      </w:pPr>
      <w:r>
        <w:t xml:space="preserve">À chacun de ces trois exemples correspond, en France, une opération équivalente que nous aurions pu faire et que nous n’avons pas faite. Pour la simple raison que l’instrument n’existait pas. Imaginer la France équipée de cet instrument, c’est imaginer une France qui n’aurait plus à choisir entre subir les fonds étrangers ou bloquer leurs offres au prix d’une décote payée par le contribuable. Une France qui, comme le Canada, la Norvège, les Pays-Bas et l’Australie, disposerait d’un acteur capable d’arriver à la table d’une transmission avec un chèque comparable et une promesse de long terme aussi crédible.</w:t>
      </w:r>
    </w:p>
    <w:p>
      <w:pPr>
        <w:pStyle w:val="BodyText"/>
      </w:pPr>
      <w:r>
        <w:t xml:space="preserve">C’est cela, l’argument de la capitalisation au-delà de la retraite. Pas seulement un sujet de pensions plus hautes. Un sujet de capital national, de souveraineté économique, de qui décide quoi dans nos propres frontières. Les deux faces du sujet — financement des retraites et financement des entreprises — sont rigoureusement la même chose. La France a refusé, depuis 1945, de se doter du second pilier. Le résultat se voit maintenant, sur les sièges sociaux qui glissent et les dividendes qui partent. Continuer à refuser le second pilier, c’est accepter par défaut de subir la suite.</w:t>
      </w:r>
    </w:p>
    <w:p>
      <w:pPr>
        <w:pStyle w:val="BodyText"/>
      </w:pPr>
      <w:r>
        <w:t xml:space="preserve">Pour rendre tout cela tangible, sortons un instant des chiffres et entrons dans un cas-type. Bernard, comme les autres personnages incarnés dans ce livre, est un</w:t>
      </w:r>
      <w:r>
        <w:t xml:space="preserve"> </w:t>
      </w:r>
      <w:r>
        <w:rPr>
          <w:b/>
          <w:bCs/>
        </w:rPr>
        <w:t xml:space="preserve">personnage composite</w:t>
      </w:r>
      <w:r>
        <w:t xml:space="preserve"> </w:t>
      </w:r>
      <w:r>
        <w:t xml:space="preserve">— son histoire emprunte à plusieurs entretiens menés avec des dirigeants d’ETI en cours de transmission, et les ordres de grandeur financiers sont calés sur les données BPI France Le Lab et CRA</w:t>
      </w:r>
      <w:r>
        <w:rPr>
          <w:rStyle w:val="FootnoteReference"/>
        </w:rPr>
        <w:footnoteReference w:id="64"/>
      </w:r>
      <w:r>
        <w:t xml:space="preserve">.</w:t>
      </w:r>
    </w:p>
    <w:p>
      <w:pPr>
        <w:pStyle w:val="BodyText"/>
      </w:pPr>
      <w:r>
        <w:t xml:space="preserve">Bernard, 58 ans, dirige depuis vingt-deux ans une ETI familiale dans la mécanique de précision, en Maine-et-Loire. Son grand-père a fondé l’entreprise en 1948, son père l’a développée dans les années 1970, lui l’a internationalisée dans les années 2010. Aujourd’hui : 240 salariés, 52 millions d’euros de chiffre d’affaires, 6 millions d’EBITDA, des clients en Allemagne, en Espagne, aux États-Unis, au Japon. L’entreprise est saine, rentable, en croissance modérée. Elle livre des pièces critiques à des sous-traitants de l’aéronautique civile et du nucléaire.</w:t>
      </w:r>
    </w:p>
    <w:p>
      <w:pPr>
        <w:pStyle w:val="BodyText"/>
      </w:pPr>
      <w:r>
        <w:t xml:space="preserve">Bernard veut transmettre dans les deux ans. Sa fille a fait Polytechnique puis HEC ; elle travaille dans le conseil à Paris et n’envisage pas, pour l’instant, de revenir reprendre l’entreprise familiale. Son fils est musicien, et n’a aucune intention de revenir non plus. Le management interne est compétent mais ne dispose pas des fonds propres pour racheter — un</w:t>
      </w:r>
      <w:r>
        <w:t xml:space="preserve"> </w:t>
      </w:r>
      <w:r>
        <w:rPr>
          <w:i/>
          <w:iCs/>
        </w:rPr>
        <w:t xml:space="preserve">leveraged management buy-out</w:t>
      </w:r>
      <w:r>
        <w:t xml:space="preserve"> </w:t>
      </w:r>
      <w:r>
        <w:t xml:space="preserve">l’asphyxierait. Bernard n’a, à ce stade, ni repreneur familial ni repreneur salarié possible.</w:t>
      </w:r>
    </w:p>
    <w:p>
      <w:pPr>
        <w:pStyle w:val="BodyText"/>
      </w:pPr>
      <w:r>
        <w:t xml:space="preserve">Trois pistes restent ouvertes. Bernard a une banque d’affaires régionale, qui lui fait depuis six mois un</w:t>
      </w:r>
      <w:r>
        <w:t xml:space="preserve"> </w:t>
      </w:r>
      <w:r>
        <w:rPr>
          <w:i/>
          <w:iCs/>
        </w:rPr>
        <w:t xml:space="preserve">short-list</w:t>
      </w:r>
      <w:r>
        <w:t xml:space="preserve"> </w:t>
      </w:r>
      <w:r>
        <w:t xml:space="preserve">d’acquéreurs potentiels.</w:t>
      </w:r>
    </w:p>
    <w:p>
      <w:pPr>
        <w:pStyle w:val="BodyText"/>
      </w:pPr>
      <w:r>
        <w:rPr>
          <w:b/>
          <w:bCs/>
        </w:rPr>
        <w:t xml:space="preserve">Première piste : un fonds d’investissement français de taille moyenne.</w:t>
      </w:r>
      <w:r>
        <w:t xml:space="preserve"> </w:t>
      </w:r>
      <w:r>
        <w:t xml:space="preserve">Bernard a rencontré deux acteurs. Tous deux proposent</w:t>
      </w:r>
      <w:r>
        <w:t xml:space="preserve"> </w:t>
      </w:r>
      <w:r>
        <w:rPr>
          <w:b/>
          <w:bCs/>
        </w:rPr>
        <w:t xml:space="preserve">30 millions d’euros</w:t>
      </w:r>
      <w:r>
        <w:t xml:space="preserve">, soit cinq fois l’EBITDA. Conditions : LBO, levier important sur l’entreprise dès la première année, plan sur cinq ans, sortie envisagée à 7 ans. Bernard sait ce que cela veut dire : pression sur les coûts, départs négociés dans l’encadrement, peut-être fermeture d’un site régional. Le prix est jugé correct sans plus.</w:t>
      </w:r>
    </w:p>
    <w:p>
      <w:pPr>
        <w:pStyle w:val="BodyText"/>
      </w:pPr>
      <w:r>
        <w:rPr>
          <w:b/>
          <w:bCs/>
        </w:rPr>
        <w:t xml:space="preserve">Deuxième piste : un industriel américain, leader mondial de son segment.</w:t>
      </w:r>
      <w:r>
        <w:t xml:space="preserve"> </w:t>
      </w:r>
      <w:r>
        <w:t xml:space="preserve">Il propose</w:t>
      </w:r>
      <w:r>
        <w:t xml:space="preserve"> </w:t>
      </w:r>
      <w:r>
        <w:rPr>
          <w:b/>
          <w:bCs/>
        </w:rPr>
        <w:t xml:space="preserve">42 millions d’euros</w:t>
      </w:r>
      <w:r>
        <w:t xml:space="preserve">, soit sept fois l’EBITDA — 40 % de plus que le fonds français. Conditions : siège opérationnel maintenu en France, équipe technique conservée, mais intégration à la division européenne de Stuttgart, et reporting direct au siège mondial dans l’Ohio. Bernard sait que dans les deux ans, le centre R&amp;D de Maine-et-Loire sera fusionné avec celui de Stuttgart, et que dans cinq ans, plus aucune décision stratégique ne sera prise en France. L’entreprise vivra. Elle ne sera plus française dans un sens fonctionnel.</w:t>
      </w:r>
    </w:p>
    <w:p>
      <w:pPr>
        <w:pStyle w:val="BodyText"/>
      </w:pPr>
      <w:r>
        <w:rPr>
          <w:b/>
          <w:bCs/>
        </w:rPr>
        <w:t xml:space="preserve">Troisième piste : un fonds de pension étranger, néerlandais ou canadien.</w:t>
      </w:r>
      <w:r>
        <w:t xml:space="preserve"> </w:t>
      </w:r>
      <w:r>
        <w:t xml:space="preserve">Prix proposé :</w:t>
      </w:r>
      <w:r>
        <w:t xml:space="preserve"> </w:t>
      </w:r>
      <w:r>
        <w:rPr>
          <w:b/>
          <w:bCs/>
        </w:rPr>
        <w:t xml:space="preserve">45 millions d’euros</w:t>
      </w:r>
      <w:r>
        <w:t xml:space="preserve">, soit 7,5 fois l’EBITDA. Conditions : maintien du siège, du management, du tissu de sous-traitants, horizon de détention de 15 à 20 ans, projet de croissance externe via l’acquisition d’autres ETI de la région. Sur le papier, c’est exactement ce que Bernard voudrait. Le seul problème : c’est un fonds néerlandais. Au bout de quinze ans, quand le fonds devra céder, l’acquéreur naturel sera un autre fonds étranger ou un industriel non-français. La sortie nationale n’existe pas dans ce scénario.</w:t>
      </w:r>
    </w:p>
    <w:p>
      <w:pPr>
        <w:pStyle w:val="BodyText"/>
      </w:pPr>
      <w:r>
        <w:t xml:space="preserve">Dans les entretiens qui ont nourri ce cas-type, la même phrase revient, presque mot pour mot : « Si j’avais le choix d’un fonds français équivalent, qui me ferait la même offre que le néerlandais, je signerais demain. Mais il n’existe pas. Il faut que je choisisse entre vendre moins cher à un fonds français de PE, qui presse les coûts, ou vendre plus cher à un acteur étranger, qui à terme nous fait quitter le pays. Mon père m’avait dit, en me passant la main : tu transmettras à un Français. Je ne peux pas, parce que personne n’est en face. »</w:t>
      </w:r>
    </w:p>
    <w:p>
      <w:pPr>
        <w:pStyle w:val="BodyText"/>
      </w:pPr>
      <w:r>
        <w:t xml:space="preserve">Ce n’est pas un cas isolé. C’est la conversation qui se tient, en ce moment même, dans plusieurs centaines de bureaux de dirigeants entre 55 et 65 ans, dans toute la France. Ce que Bernard cherche, c’est un acheteur français pour son entreprise. Ce qu’il ne trouve pas, c’est un fonds de pension français.</w:t>
      </w:r>
    </w:p>
    <w:p>
      <w:pPr>
        <w:pStyle w:val="BodyText"/>
      </w:pPr>
      <w:r>
        <w:t xml:space="preserve">C’est la définition même du hold-up silencieux. Pas d’attaque, pas de bataille. Une succession de transactions parfaitement légales, parfaitement rationnelles à l’échelle de chaque dirigeant, qui produit collectivement un résultat que personne, au fond, ne souhaite. Bernard ne souhaite pas que son entreprise quitte la France. Le fonds néerlandais ne souhaite pas le mal de la France. Le banquier d’affaires ne fait que son travail. Et pourtant, à l’arrivée, l’addition de toutes ces décisions individuelles, en l’absence d’un acteur français à la hauteur, conduit à l’effacement progressif d’un tissu économique national.</w:t>
      </w:r>
    </w:p>
    <w:bookmarkEnd w:id="65"/>
    <w:bookmarkStart w:id="66" w:name="une-décision-politique-pas-une-fatalité"/>
    <w:p>
      <w:pPr>
        <w:pStyle w:val="Heading2"/>
      </w:pPr>
      <w:r>
        <w:t xml:space="preserve">Une décision politique, pas une fatalité</w:t>
      </w:r>
    </w:p>
    <w:p>
      <w:pPr>
        <w:pStyle w:val="FirstParagraph"/>
      </w:pPr>
      <w:r>
        <w:t xml:space="preserve">Reprenons. La France dispose, fin 2024, de plus de six mille milliards d’euros d’épargne financière brute des ménages. Cette épargne est, dans sa très grande majorité, immobilisée dans des produits administrés à rendement nul ou faible. Conséquence directe : la Bourse de Paris s’atrophie, les ménages français détiennent par tête moins d’actions que leurs voisins, et le capital long terme nécessaire au financement des entreprises est sous-dimensionné.</w:t>
      </w:r>
    </w:p>
    <w:p>
      <w:pPr>
        <w:pStyle w:val="BodyText"/>
      </w:pPr>
      <w:r>
        <w:t xml:space="preserve">Dans le même temps, la France entre dans une fenêtre démographique de transmissions massives — 370 000 d’ici 2030, 240 000 sans repreneur identifié au rythme actuel, trois millions d’emplois concernés. Cette fenêtre coïncide avec un déséquilibre structurel : Ardian, premier gestionnaire français, est à peine 4 % de l’addition des six plus grands fonds de pension étrangers. Le coût implicite de son capital est presque deux fois supérieur. Le résultat se mesure : Lafarge, Alstom Énergie, Technip, Latécoère, Exxelia, Doliprane, et les autres. Avec l’entreprise partent les sièges, la R&amp;D, les brevets, les fournisseurs, les recettes fiscales et les talents. À cela s’ajoute la fuite des dividendes du CAC 40 : 36,4 milliards partis à l’étranger en 2024, plus de 500 milliards cumulés sur la décennie qui vient.</w:t>
      </w:r>
    </w:p>
    <w:p>
      <w:pPr>
        <w:pStyle w:val="BodyText"/>
      </w:pPr>
      <w:r>
        <w:t xml:space="preserve">La France n’a pas un problème d’épargne. Elle a un problème d’architecture. La capitalisation, en France, ne tient pas la route comme sujet idéologique. Elle tient la route comme sujet de souveraineté. Le hold-up sur nos entreprises ne s’expliquera pas par un mauvais sort. Il s’expliquera par un choix — celui de n’avoir pas, depuis 1945, construit l’outil qui aurait permis de l’éviter. Cet outil porte un nom : des fonds de pension français. Pas une option parmi d’autres. Une nécessité.</w:t>
      </w:r>
    </w:p>
    <w:p>
      <w:pPr>
        <w:pStyle w:val="BodyText"/>
      </w:pPr>
      <w:r>
        <w:t xml:space="preserve">Les trois chapitres qui précèdent forment alors une seule démonstration. Le premier a établi que la répartition pure ne tient plus — ni démographiquement, ni financièrement, ni générationnellement. Le deuxième a établi qu’un pilier capitalisé, même modeste, transformerait individuellement la pension des actifs nés après 1980. Le troisième vient d’établir que ce même pilier, agrégé, transformerait collectivement le sort des entreprises françaises. Trois problèmes, qu’on a appris à traiter séparément — les retraites au ministère du Travail, l’industrie à Bercy, la souveraineté à Matignon — et qui n’appellent qu’une seule réponse. Il n’y a pas un dossier des pensions et un dossier du capital national : il y a un dossier unique, et nous avons refusé pendant quatre-vingts ans de l’ouvrir.</w:t>
      </w:r>
    </w:p>
    <w:p>
      <w:pPr>
        <w:pStyle w:val="BodyText"/>
      </w:pPr>
      <w:r>
        <w:t xml:space="preserve">C’est exactement l’objet du chapitre suivant : comprendre comment huit pays comparables ont, chacun à sa manière, fait ce que nous n’avons pas fait. Et constater, en passant, à quel point la France n’est plus, sur ce sujet, dans la moyenne occidentale, mais en bout de classement. La suite est dans ce qu’ont fait les autres. Avant nous. Et qu’il nous faut maintenant regarder en face.</w:t>
      </w:r>
    </w:p>
    <w:bookmarkEnd w:id="66"/>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INSEE,</w:t>
      </w:r>
      <w:r>
        <w:t xml:space="preserve"> </w:t>
      </w:r>
      <w:r>
        <w:rPr>
          <w:i/>
          <w:iCs/>
        </w:rPr>
        <w:t xml:space="preserve">Comptes nationaux trimestriels — T2 2025</w:t>
      </w:r>
      <w:r>
        <w:t xml:space="preserve">, septembre 2025. Le taux d’épargne brute des ménages a atteint 18,9 % du revenu disponible au deuxième trimestre 2025, un record depuis les années 1970 hors épisode covid. Voir aussi Banque de France,</w:t>
      </w:r>
      <w:r>
        <w:t xml:space="preserve"> </w:t>
      </w:r>
      <w:r>
        <w:rPr>
          <w:i/>
          <w:iCs/>
        </w:rPr>
        <w:t xml:space="preserve">Épargne des ménages — T4 2024</w:t>
      </w:r>
      <w:r>
        <w:t xml:space="preserve">, mars 2025. Le taux moyen annuel 2024 s’établit à 18,2 % (INSEE, comptes nationaux annuels), contre 15,3 % pour la moyenne de la zone euro (Eurostat).</w:t>
      </w:r>
    </w:p>
  </w:footnote>
  <w:footnote w:id="10">
    <w:p>
      <w:pPr>
        <w:pStyle w:val="FootnoteText"/>
      </w:pPr>
      <w:r>
        <w:rPr>
          <w:rStyle w:val="FootnoteReference"/>
        </w:rPr>
        <w:footnoteRef/>
      </w:r>
      <w:r>
        <w:t xml:space="preserve"> </w:t>
      </w:r>
      <w:r>
        <w:t xml:space="preserve">Cible 25 ans : 50 % du PIB, soit environ 1 500 Md€ pour un PIB français de ~3 000 Md€. Position intermédiaire comparable au Canada à mi-parcours de sa transition CPP. Cible 50 ans (régime stationnaire) : ~100 % du PIB, soit ~3 000 Md€, moyenne pondérée OCDE selon Thinking Ahead Institute,</w:t>
      </w:r>
      <w:r>
        <w:t xml:space="preserve"> </w:t>
      </w:r>
      <w:r>
        <w:rPr>
          <w:i/>
          <w:iCs/>
        </w:rPr>
        <w:t xml:space="preserve">Global Pension Assets Study 2025</w:t>
      </w:r>
      <w:r>
        <w:t xml:space="preserve">, Willis Towers Watson, 2025 (https://www.thinkingaheadinstitute.org/research-papers/global-pension-assets-study-2025/). Voir aussi Institut Montaigne,</w:t>
      </w:r>
      <w:r>
        <w:t xml:space="preserve"> </w:t>
      </w:r>
      <w:r>
        <w:rPr>
          <w:i/>
          <w:iCs/>
        </w:rPr>
        <w:t xml:space="preserve">Les fonds de pension et le financement du long terme en France</w:t>
      </w:r>
      <w:r>
        <w:t xml:space="preserve">, 2024 (https://www.institutmontaigne.org/expressions/les-fonds-de-pension-et-le-financement-du-long-terme-en-france). À titre de comparaison : Pays-Bas ~220 % du PIB, Suisse ~170 %, États-Unis ~130 %, Royaume-Uni ~120 %, France actuelle ~7 %.</w:t>
      </w:r>
    </w:p>
  </w:footnote>
  <w:footnote w:id="11">
    <w:p>
      <w:pPr>
        <w:pStyle w:val="FootnoteText"/>
      </w:pPr>
      <w:r>
        <w:rPr>
          <w:rStyle w:val="FootnoteReference"/>
        </w:rPr>
        <w:footnoteRef/>
      </w:r>
      <w:r>
        <w:t xml:space="preserve"> </w:t>
      </w:r>
      <w:r>
        <w:t xml:space="preserve">Banque de France,</w:t>
      </w:r>
      <w:r>
        <w:t xml:space="preserve"> </w:t>
      </w:r>
      <w:r>
        <w:rPr>
          <w:i/>
          <w:iCs/>
        </w:rPr>
        <w:t xml:space="preserve">Épargne des ménages — Statistiques T4 2024</w:t>
      </w:r>
      <w:r>
        <w:t xml:space="preserve">, mars 2025 (https://www.banque-france.fr/fr/statistiques/epargne/epargne-des-menages-2024-q4). Le patrimoine financier brut s’élève à 6 356,4 Md€ fin 2024 ; les flux nets de l’année représentent +112,8 Md€.</w:t>
      </w:r>
    </w:p>
  </w:footnote>
  <w:footnote w:id="12">
    <w:p>
      <w:pPr>
        <w:pStyle w:val="FootnoteText"/>
      </w:pPr>
      <w:r>
        <w:rPr>
          <w:rStyle w:val="FootnoteReference"/>
        </w:rPr>
        <w:footnoteRef/>
      </w:r>
      <w:r>
        <w:t xml:space="preserve"> </w:t>
      </w:r>
      <w:r>
        <w:t xml:space="preserve">ACPR,</w:t>
      </w:r>
      <w:r>
        <w:t xml:space="preserve"> </w:t>
      </w:r>
      <w:r>
        <w:rPr>
          <w:i/>
          <w:iCs/>
        </w:rPr>
        <w:t xml:space="preserve">Le marché de l’assurance-vie en 2024</w:t>
      </w:r>
      <w:r>
        <w:t xml:space="preserve">, analyse et synthèse n°170, mars 2025 (https://acpr.banque-france.fr/system/files/2025-03/20250327_AS170_assurance_vie_2024.pdf). Encours total assurance-vie 1 988,8 Md€ ; provisions mathématiques fonds euros individuels 1 178 Md€ ; reste en unités de compte et fonds euros collectifs.</w:t>
      </w:r>
    </w:p>
  </w:footnote>
  <w:footnote w:id="13">
    <w:p>
      <w:pPr>
        <w:pStyle w:val="FootnoteText"/>
      </w:pPr>
      <w:r>
        <w:rPr>
          <w:rStyle w:val="FootnoteReference"/>
        </w:rPr>
        <w:footnoteRef/>
      </w:r>
      <w:r>
        <w:t xml:space="preserve"> </w:t>
      </w:r>
      <w:r>
        <w:t xml:space="preserve">Décomposition Banque de France et AFG (Association française de la gestion financière),</w:t>
      </w:r>
      <w:r>
        <w:t xml:space="preserve"> </w:t>
      </w:r>
      <w:r>
        <w:rPr>
          <w:i/>
          <w:iCs/>
        </w:rPr>
        <w:t xml:space="preserve">Indice de performance de l’épargne financière des ménages français</w:t>
      </w:r>
      <w:r>
        <w:t xml:space="preserve">, T4 2024. Détail : dépôts à vue ~2 100 Md€, assurance-vie 1 988 Md€, actions et OPC actions ~1 715 Md€, livrets réglementés (Livret A + LDDS + LEP) 695 Md€ début 2026, PEA 114 Md€, PER 119 Md€, épargne logement et autres ~270 Md€.</w:t>
      </w:r>
    </w:p>
  </w:footnote>
  <w:footnote w:id="14">
    <w:p>
      <w:pPr>
        <w:pStyle w:val="FootnoteText"/>
      </w:pPr>
      <w:r>
        <w:rPr>
          <w:rStyle w:val="FootnoteReference"/>
        </w:rPr>
        <w:footnoteRef/>
      </w:r>
      <w:r>
        <w:t xml:space="preserve"> </w:t>
      </w:r>
      <w:r>
        <w:t xml:space="preserve">ACPR,</w:t>
      </w:r>
      <w:r>
        <w:t xml:space="preserve"> </w:t>
      </w:r>
      <w:r>
        <w:rPr>
          <w:i/>
          <w:iCs/>
        </w:rPr>
        <w:t xml:space="preserve">Revalorisation 2024 des contrats d’assurance-vie et de capitalisation</w:t>
      </w:r>
      <w:r>
        <w:t xml:space="preserve">, analyse et synthèse n°175, août 2025 (https://acpr.banque-france.fr/system/files/2025-08/20250804_AS175_Revalorisation_contrats_assurance_vie_2024.pdf). Rendement brut moyen 2,63 % pour les contrats individuels en 2024.</w:t>
      </w:r>
    </w:p>
  </w:footnote>
  <w:footnote w:id="15">
    <w:p>
      <w:pPr>
        <w:pStyle w:val="FootnoteText"/>
      </w:pPr>
      <w:r>
        <w:rPr>
          <w:rStyle w:val="FootnoteReference"/>
        </w:rPr>
        <w:footnoteRef/>
      </w:r>
      <w:r>
        <w:t xml:space="preserve"> </w:t>
      </w:r>
      <w:r>
        <w:t xml:space="preserve">France Assureurs,</w:t>
      </w:r>
      <w:r>
        <w:t xml:space="preserve"> </w:t>
      </w:r>
      <w:r>
        <w:rPr>
          <w:i/>
          <w:iCs/>
        </w:rPr>
        <w:t xml:space="preserve">Bilan 2024 du marché de l’assurance-vie</w:t>
      </w:r>
      <w:r>
        <w:t xml:space="preserve">, communiqué du 31 janvier 2025 (https://www.franceassureurs.fr/espace-presse/les-communiques-de-presse/assurance-vie-attractivite-2024/). Primes brutes 2024 : 61,8 % vers les supports en euros, 38,2 % vers les unités de compte. Collecte nette 2024 : −5,0 Md€ sur les fonds euros (première décollecte nette annuelle de la décennie), +34,4 Md€ sur les unités de compte, soit une collecte nette totale de +29,4 Md€. Les encours fin 2024 demeurent dominés par les fonds euros (1 178 Md€ d’encours individuels selon ACPR AS170/AS175 contre environ 825 Md€ en unités de compte).</w:t>
      </w:r>
    </w:p>
  </w:footnote>
  <w:footnote w:id="16">
    <w:p>
      <w:pPr>
        <w:pStyle w:val="FootnoteText"/>
      </w:pPr>
      <w:r>
        <w:rPr>
          <w:rStyle w:val="FootnoteReference"/>
        </w:rPr>
        <w:footnoteRef/>
      </w:r>
      <w:r>
        <w:t xml:space="preserve"> </w:t>
      </w:r>
      <w:r>
        <w:t xml:space="preserve">Données historiques composites : indice MSCI World en euros (rendement total réinvesti), indices obligataires Bloomberg Euro Aggregate et rendement annuel moyen pondéré des fonds euros publié par France Assureurs. Voir aussi BNP Paribas Wealth Management,</w:t>
      </w:r>
      <w:r>
        <w:t xml:space="preserve"> </w:t>
      </w:r>
      <w:r>
        <w:rPr>
          <w:i/>
          <w:iCs/>
        </w:rPr>
        <w:t xml:space="preserve">Rendements long-terme attendus par classe d’actifs</w:t>
      </w:r>
      <w:r>
        <w:t xml:space="preserve">, novembre 2023.</w:t>
      </w:r>
    </w:p>
  </w:footnote>
  <w:footnote w:id="17">
    <w:p>
      <w:pPr>
        <w:pStyle w:val="FootnoteText"/>
      </w:pPr>
      <w:r>
        <w:rPr>
          <w:rStyle w:val="FootnoteReference"/>
        </w:rPr>
        <w:footnoteRef/>
      </w:r>
      <w:r>
        <w:t xml:space="preserve"> </w:t>
      </w:r>
      <w:r>
        <w:t xml:space="preserve">ACPR,</w:t>
      </w:r>
      <w:r>
        <w:t xml:space="preserve"> </w:t>
      </w:r>
      <w:r>
        <w:rPr>
          <w:i/>
          <w:iCs/>
        </w:rPr>
        <w:t xml:space="preserve">Le marché de l’assurance-vie en 2024</w:t>
      </w:r>
      <w:r>
        <w:t xml:space="preserve">, n°170, mars 2025. Allocation typique des fonds euros : 35-45 % en obligations souveraines, 15-25 % en obligations corporate investment grade, 5-15 % en immobilier et diversification, exposition marginale aux actions cotées.</w:t>
      </w:r>
    </w:p>
  </w:footnote>
  <w:footnote w:id="18">
    <w:p>
      <w:pPr>
        <w:pStyle w:val="FootnoteText"/>
      </w:pPr>
      <w:r>
        <w:rPr>
          <w:rStyle w:val="FootnoteReference"/>
        </w:rPr>
        <w:footnoteRef/>
      </w:r>
      <w:r>
        <w:t xml:space="preserve"> </w:t>
      </w:r>
      <w:r>
        <w:t xml:space="preserve">Cercle de l’Épargne,</w:t>
      </w:r>
      <w:r>
        <w:t xml:space="preserve"> </w:t>
      </w:r>
      <w:r>
        <w:rPr>
          <w:i/>
          <w:iCs/>
        </w:rPr>
        <w:t xml:space="preserve">Le Livret A : 200 ans d’histoire bien remplie</w:t>
      </w:r>
      <w:r>
        <w:t xml:space="preserve">, dossier mars 2018. La caisse d’épargne et de prévoyance fondée le 22 mai 1818 est officialisée par l’ordonnance royale du 29 juillet 1818.</w:t>
      </w:r>
    </w:p>
  </w:footnote>
  <w:footnote w:id="19">
    <w:p>
      <w:pPr>
        <w:pStyle w:val="FootnoteText"/>
      </w:pPr>
      <w:r>
        <w:rPr>
          <w:rStyle w:val="FootnoteReference"/>
        </w:rPr>
        <w:footnoteRef/>
      </w:r>
      <w:r>
        <w:t xml:space="preserve"> </w:t>
      </w:r>
      <w:r>
        <w:t xml:space="preserve">Elroy Dimson, Paul Marsh, Mike Staunton,</w:t>
      </w:r>
      <w:r>
        <w:t xml:space="preserve"> </w:t>
      </w:r>
      <w:r>
        <w:rPr>
          <w:i/>
          <w:iCs/>
        </w:rPr>
        <w:t xml:space="preserve">Global Investment Returns Yearbook 2025</w:t>
      </w:r>
      <w:r>
        <w:t xml:space="preserve">, UBS Investment Bank et London Business School, 2025. Rendements réels mondiaux annualisés 1900-2024 : actions 5,2 %, obligations 1,7 %, bons du Trésor 0,5 %. La probabilité de perte réelle décroît rapidement avec l’horizon : 30 % à 1 an, &lt; 5 % à 20 ans pour un portefeuille diversifié.</w:t>
      </w:r>
    </w:p>
  </w:footnote>
  <w:footnote w:id="20">
    <w:p>
      <w:pPr>
        <w:pStyle w:val="FootnoteText"/>
      </w:pPr>
      <w:r>
        <w:rPr>
          <w:rStyle w:val="FootnoteReference"/>
        </w:rPr>
        <w:footnoteRef/>
      </w:r>
      <w:r>
        <w:t xml:space="preserve"> </w:t>
      </w:r>
      <w:r>
        <w:t xml:space="preserve">Banque mondiale,</w:t>
      </w:r>
      <w:r>
        <w:t xml:space="preserve"> </w:t>
      </w:r>
      <w:r>
        <w:rPr>
          <w:i/>
          <w:iCs/>
        </w:rPr>
        <w:t xml:space="preserve">Market capitalization of listed domestic companies (% of GDP)</w:t>
      </w:r>
      <w:r>
        <w:t xml:space="preserve">, indicateur CM.MKT.LCAP.GD.ZS, données 2023 actualisées 2024 ; OCDE,</w:t>
      </w:r>
      <w:r>
        <w:t xml:space="preserve"> </w:t>
      </w:r>
      <w:r>
        <w:rPr>
          <w:i/>
          <w:iCs/>
        </w:rPr>
        <w:t xml:space="preserve">Panorama de la gouvernance d’entreprise 2025</w:t>
      </w:r>
      <w:r>
        <w:t xml:space="preserve">. Les ratios oscillent fortement avec les valorisations annuelles — la fourchette 103-124 % pour la France 2024 reflète cette amplitude. Aux Pays-Bas, la capitalisation rapportée au PIB dépasse régulièrement 200 %.</w:t>
      </w:r>
    </w:p>
  </w:footnote>
  <w:footnote w:id="21">
    <w:p>
      <w:pPr>
        <w:pStyle w:val="FootnoteText"/>
      </w:pPr>
      <w:r>
        <w:rPr>
          <w:rStyle w:val="FootnoteReference"/>
        </w:rPr>
        <w:footnoteRef/>
      </w:r>
      <w:r>
        <w:t xml:space="preserve"> </w:t>
      </w:r>
      <w:r>
        <w:t xml:space="preserve">EY,</w:t>
      </w:r>
      <w:r>
        <w:t xml:space="preserve"> </w:t>
      </w:r>
      <w:r>
        <w:rPr>
          <w:i/>
          <w:iCs/>
        </w:rPr>
        <w:t xml:space="preserve">Observatoire des opérations de marché 2024-2025</w:t>
      </w:r>
      <w:r>
        <w:t xml:space="preserve">, février 2025 ; Euronext,</w:t>
      </w:r>
      <w:r>
        <w:t xml:space="preserve"> </w:t>
      </w:r>
      <w:r>
        <w:rPr>
          <w:i/>
          <w:iCs/>
        </w:rPr>
        <w:t xml:space="preserve">Annual Statistics 2024-2025</w:t>
      </w:r>
      <w:r>
        <w:t xml:space="preserve">. Le décompte 2024 inclut les transferts depuis Euronext Access et les introductions d’Euronext Growth (32 sur 47).</w:t>
      </w:r>
    </w:p>
  </w:footnote>
  <w:footnote w:id="22">
    <w:p>
      <w:pPr>
        <w:pStyle w:val="FootnoteText"/>
      </w:pPr>
      <w:r>
        <w:rPr>
          <w:rStyle w:val="FootnoteReference"/>
        </w:rPr>
        <w:footnoteRef/>
      </w:r>
      <w:r>
        <w:t xml:space="preserve"> </w:t>
      </w:r>
      <w:r>
        <w:t xml:space="preserve">Vivendi,</w:t>
      </w:r>
      <w:r>
        <w:t xml:space="preserve"> </w:t>
      </w:r>
      <w:r>
        <w:rPr>
          <w:i/>
          <w:iCs/>
        </w:rPr>
        <w:t xml:space="preserve">Communiqué sur l’approbation du projet de scission</w:t>
      </w:r>
      <w:r>
        <w:t xml:space="preserve">, 9 décembre 2024. Iliad :</w:t>
      </w:r>
      <w:r>
        <w:t xml:space="preserve"> </w:t>
      </w:r>
      <w:r>
        <w:rPr>
          <w:i/>
          <w:iCs/>
        </w:rPr>
        <w:t xml:space="preserve">Communiqué OPA de retrait juillet 2021</w:t>
      </w:r>
      <w:r>
        <w:t xml:space="preserve"> </w:t>
      </w:r>
      <w:r>
        <w:t xml:space="preserve">;</w:t>
      </w:r>
      <w:r>
        <w:t xml:space="preserve"> </w:t>
      </w:r>
      <w:r>
        <w:rPr>
          <w:i/>
          <w:iCs/>
        </w:rPr>
        <w:t xml:space="preserve">Le Monde Informatique</w:t>
      </w:r>
      <w:r>
        <w:t xml:space="preserve">,</w:t>
      </w:r>
      <w:r>
        <w:t xml:space="preserve"> </w:t>
      </w:r>
      <w:r>
        <w:rPr>
          <w:i/>
          <w:iCs/>
        </w:rPr>
        <w:t xml:space="preserve">Iliad rachète ses actions pour se retirer de la Bourse</w:t>
      </w:r>
      <w:r>
        <w:t xml:space="preserve">, juillet 2021.</w:t>
      </w:r>
    </w:p>
  </w:footnote>
  <w:footnote w:id="23">
    <w:p>
      <w:pPr>
        <w:pStyle w:val="FootnoteText"/>
      </w:pPr>
      <w:r>
        <w:rPr>
          <w:rStyle w:val="FootnoteReference"/>
        </w:rPr>
        <w:footnoteRef/>
      </w:r>
      <w:r>
        <w:t xml:space="preserve"> </w:t>
      </w:r>
      <w:r>
        <w:t xml:space="preserve">Euronext,</w:t>
      </w:r>
      <w:r>
        <w:t xml:space="preserve"> </w:t>
      </w:r>
      <w:r>
        <w:rPr>
          <w:i/>
          <w:iCs/>
        </w:rPr>
        <w:t xml:space="preserve">Market overview Paris</w:t>
      </w:r>
      <w:r>
        <w:t xml:space="preserve">, 2025. Décompte par compartiment fin 2024 : marché réglementé 318 sociétés, Euronext Growth 384, Euronext Access et autres une trentaine. Comparaisons : NYSE 2 400+, Nasdaq 3 200+, London Stock Exchange 1 900 (World Federation of Exchanges, 2024).</w:t>
      </w:r>
    </w:p>
  </w:footnote>
  <w:footnote w:id="24">
    <w:p>
      <w:pPr>
        <w:pStyle w:val="FootnoteText"/>
      </w:pPr>
      <w:r>
        <w:rPr>
          <w:rStyle w:val="FootnoteReference"/>
        </w:rPr>
        <w:footnoteRef/>
      </w:r>
      <w:r>
        <w:t xml:space="preserve"> </w:t>
      </w:r>
      <w:r>
        <w:t xml:space="preserve">INSEE,</w:t>
      </w:r>
      <w:r>
        <w:t xml:space="preserve"> </w:t>
      </w:r>
      <w:r>
        <w:rPr>
          <w:i/>
          <w:iCs/>
        </w:rPr>
        <w:t xml:space="preserve">Patrimoine des ménages 2024 — Focus n°354</w:t>
      </w:r>
      <w:r>
        <w:t xml:space="preserve">, mai 2025. En 2024, 17,4 % des ménages français détiennent des valeurs mobilières, dont 9,8 % en PEA et 9,6 % en compte-titres ordinaire ; la détention d’actions cotées en direct progresse depuis 6,9 % en 2020 vers environ 12,5 % en 2024. BCE,</w:t>
      </w:r>
      <w:r>
        <w:t xml:space="preserve"> </w:t>
      </w:r>
      <w:r>
        <w:rPr>
          <w:i/>
          <w:iCs/>
        </w:rPr>
        <w:t xml:space="preserve">Household Finance and Consumption Survey Wave 4</w:t>
      </w:r>
      <w:r>
        <w:t xml:space="preserve">, données 2021 publiées 2023, pour la comparaison européenne ; Federal Reserve,</w:t>
      </w:r>
      <w:r>
        <w:t xml:space="preserve"> </w:t>
      </w:r>
      <w:r>
        <w:rPr>
          <w:i/>
          <w:iCs/>
        </w:rPr>
        <w:t xml:space="preserve">Survey of Consumer Finances 2022</w:t>
      </w:r>
      <w:r>
        <w:t xml:space="preserve">, octobre 2023, pour les États-Unis.</w:t>
      </w:r>
    </w:p>
  </w:footnote>
  <w:footnote w:id="25">
    <w:p>
      <w:pPr>
        <w:pStyle w:val="FootnoteText"/>
      </w:pPr>
      <w:r>
        <w:rPr>
          <w:rStyle w:val="FootnoteReference"/>
        </w:rPr>
        <w:footnoteRef/>
      </w:r>
      <w:r>
        <w:t xml:space="preserve"> </w:t>
      </w:r>
      <w:r>
        <w:t xml:space="preserve">Calcul OVLA. Population France 2024 : 68,1 millions d’habitants (INSEE). Population Suède 2024 : 10,5 millions (Statistiska Centralbyrån). Encours actions et OPC actions Suède : estimation 400-440 Md€ sur la base d’un patrimoine financier brut suédois d’environ 1 100 Md€ × 38 %.</w:t>
      </w:r>
    </w:p>
  </w:footnote>
  <w:footnote w:id="27">
    <w:p>
      <w:pPr>
        <w:pStyle w:val="FootnoteText"/>
      </w:pPr>
      <w:r>
        <w:rPr>
          <w:rStyle w:val="FootnoteReference"/>
        </w:rPr>
        <w:footnoteRef/>
      </w:r>
      <w:r>
        <w:t xml:space="preserve"> </w:t>
      </w:r>
      <w:r>
        <w:t xml:space="preserve">BPI France Le Lab,</w:t>
      </w:r>
      <w:r>
        <w:t xml:space="preserve"> </w:t>
      </w:r>
      <w:r>
        <w:rPr>
          <w:i/>
          <w:iCs/>
        </w:rPr>
        <w:t xml:space="preserve">Transmission en France : un marché de 370 000 entreprises d’ici 2030</w:t>
      </w:r>
      <w:r>
        <w:t xml:space="preserve">, 2024 (https://lelab.bpifrance.fr/Etudes/transmission-en-france-un-marche-de-370-000-entreprises-d-ici-2030). Décomposition : 310 000 TPE, 58 000 PME, 1 200 ETI.</w:t>
      </w:r>
    </w:p>
  </w:footnote>
  <w:footnote w:id="28">
    <w:p>
      <w:pPr>
        <w:pStyle w:val="FootnoteText"/>
      </w:pPr>
      <w:r>
        <w:rPr>
          <w:rStyle w:val="FootnoteReference"/>
        </w:rPr>
        <w:footnoteRef/>
      </w:r>
      <w:r>
        <w:t xml:space="preserve"> </w:t>
      </w:r>
      <w:r>
        <w:t xml:space="preserve">BPI France,</w:t>
      </w:r>
      <w:r>
        <w:t xml:space="preserve"> </w:t>
      </w:r>
      <w:r>
        <w:rPr>
          <w:i/>
          <w:iCs/>
        </w:rPr>
        <w:t xml:space="preserve">Plan Transmission PME-ETI</w:t>
      </w:r>
      <w:r>
        <w:t xml:space="preserve">, 2024. En 2024, 26 000 transmissions effectives ; en 2023, 37 000 (rebond post-covid). Le ratio transmissions réalisées sur potentielles oscille entre 27 % et 35 % en France, contre 60-70 % en Allemagne et au Royaume-Uni.</w:t>
      </w:r>
    </w:p>
  </w:footnote>
  <w:footnote w:id="29">
    <w:p>
      <w:pPr>
        <w:pStyle w:val="FootnoteText"/>
      </w:pPr>
      <w:r>
        <w:rPr>
          <w:rStyle w:val="FootnoteReference"/>
        </w:rPr>
        <w:footnoteRef/>
      </w:r>
      <w:r>
        <w:t xml:space="preserve"> </w:t>
      </w:r>
      <w:r>
        <w:t xml:space="preserve">CRA — Cédants et Repreneurs d’Affaires,</w:t>
      </w:r>
      <w:r>
        <w:t xml:space="preserve"> </w:t>
      </w:r>
      <w:r>
        <w:rPr>
          <w:i/>
          <w:iCs/>
        </w:rPr>
        <w:t xml:space="preserve">Observatoire de la transmission — janvier 2025</w:t>
      </w:r>
      <w:r>
        <w:t xml:space="preserve">. Sur les repreneurs salariés en LMBO, 44 % déclarent rencontrer des obstacles majeurs de financement.</w:t>
      </w:r>
    </w:p>
  </w:footnote>
  <w:footnote w:id="30">
    <w:p>
      <w:pPr>
        <w:pStyle w:val="FootnoteText"/>
      </w:pPr>
      <w:r>
        <w:rPr>
          <w:rStyle w:val="FootnoteReference"/>
        </w:rPr>
        <w:footnoteRef/>
      </w:r>
      <w:r>
        <w:t xml:space="preserve"> </w:t>
      </w:r>
      <w:r>
        <w:t xml:space="preserve">BPI France Le Lab et CRA,</w:t>
      </w:r>
      <w:r>
        <w:t xml:space="preserve"> </w:t>
      </w:r>
      <w:r>
        <w:rPr>
          <w:i/>
          <w:iCs/>
        </w:rPr>
        <w:t xml:space="preserve">Observatoire combiné 2024</w:t>
      </w:r>
      <w:r>
        <w:t xml:space="preserve">. Les négociations échouent dans 41 % des cas sur désaccord de valorisation. L’écart médian entre prix demandé et prix accepté avoisine 25 % du prix de cession.</w:t>
      </w:r>
    </w:p>
  </w:footnote>
  <w:footnote w:id="31">
    <w:p>
      <w:pPr>
        <w:pStyle w:val="FootnoteText"/>
      </w:pPr>
      <w:r>
        <w:rPr>
          <w:rStyle w:val="FootnoteReference"/>
        </w:rPr>
        <w:footnoteRef/>
      </w:r>
      <w:r>
        <w:t xml:space="preserve"> </w:t>
      </w:r>
      <w:r>
        <w:t xml:space="preserve">BPI France Le Lab, étude précitée 2024. 70 % des dirigeants à plus d’un an d’une transmission déclarent ne pas avoir commencé à structurer leur opération.</w:t>
      </w:r>
    </w:p>
  </w:footnote>
  <w:footnote w:id="32">
    <w:p>
      <w:pPr>
        <w:pStyle w:val="FootnoteText"/>
      </w:pPr>
      <w:r>
        <w:rPr>
          <w:rStyle w:val="FootnoteReference"/>
        </w:rPr>
        <w:footnoteRef/>
      </w:r>
      <w:r>
        <w:t xml:space="preserve"> </w:t>
      </w:r>
      <w:r>
        <w:t xml:space="preserve">Ardian,</w:t>
      </w:r>
      <w:r>
        <w:t xml:space="preserve"> </w:t>
      </w:r>
      <w:r>
        <w:rPr>
          <w:i/>
          <w:iCs/>
        </w:rPr>
        <w:t xml:space="preserve">2024 Integrated Report</w:t>
      </w:r>
      <w:r>
        <w:t xml:space="preserve">, 2025 ; Ardian,</w:t>
      </w:r>
      <w:r>
        <w:t xml:space="preserve"> </w:t>
      </w:r>
      <w:r>
        <w:rPr>
          <w:i/>
          <w:iCs/>
        </w:rPr>
        <w:t xml:space="preserve">200bn AUM confirms Ardian among largest managers in Europe</w:t>
      </w:r>
      <w:r>
        <w:t xml:space="preserve">, communiqué 2024. Décomposition fin 2024 : capital-investissement 137 Md$, actifs réels 49 Md$, crédit 14 Md$.</w:t>
      </w:r>
    </w:p>
  </w:footnote>
  <w:footnote w:id="33">
    <w:p>
      <w:pPr>
        <w:pStyle w:val="FootnoteText"/>
      </w:pPr>
      <w:r>
        <w:rPr>
          <w:rStyle w:val="FootnoteReference"/>
        </w:rPr>
        <w:footnoteRef/>
      </w:r>
      <w:r>
        <w:t xml:space="preserve"> </w:t>
      </w:r>
      <w:r>
        <w:t xml:space="preserve">ABP,</w:t>
      </w:r>
      <w:r>
        <w:t xml:space="preserve"> </w:t>
      </w:r>
      <w:r>
        <w:rPr>
          <w:i/>
          <w:iCs/>
        </w:rPr>
        <w:t xml:space="preserve">Quarterly Report Q4 2024</w:t>
      </w:r>
      <w:r>
        <w:t xml:space="preserve"> </w:t>
      </w:r>
      <w:r>
        <w:t xml:space="preserve">(actifs disponibles 542 Md€ au 31 décembre 2024) ;</w:t>
      </w:r>
      <w:r>
        <w:t xml:space="preserve"> </w:t>
      </w:r>
      <w:r>
        <w:rPr>
          <w:i/>
          <w:iCs/>
        </w:rPr>
        <w:t xml:space="preserve">European Pensions</w:t>
      </w:r>
      <w:r>
        <w:t xml:space="preserve">,</w:t>
      </w:r>
      <w:r>
        <w:t xml:space="preserve"> </w:t>
      </w:r>
      <w:r>
        <w:rPr>
          <w:i/>
          <w:iCs/>
        </w:rPr>
        <w:t xml:space="preserve">Dutch pension fund ABP achieves 8.6 per cent investment return in 2024</w:t>
      </w:r>
      <w:r>
        <w:t xml:space="preserve">, 2025. ABP est la caisse de retraite des fonctionnaires et enseignants néerlandais, gérant 2,9 millions d’affiliés.</w:t>
      </w:r>
    </w:p>
  </w:footnote>
  <w:footnote w:id="34">
    <w:p>
      <w:pPr>
        <w:pStyle w:val="FootnoteText"/>
      </w:pPr>
      <w:r>
        <w:rPr>
          <w:rStyle w:val="FootnoteReference"/>
        </w:rPr>
        <w:footnoteRef/>
      </w:r>
      <w:r>
        <w:t xml:space="preserve"> </w:t>
      </w:r>
      <w:r>
        <w:t xml:space="preserve">AustralianSuper,</w:t>
      </w:r>
      <w:r>
        <w:t xml:space="preserve"> </w:t>
      </w:r>
      <w:r>
        <w:rPr>
          <w:i/>
          <w:iCs/>
        </w:rPr>
        <w:t xml:space="preserve">Annual Report 2024</w:t>
      </w:r>
      <w:r>
        <w:t xml:space="preserve"> </w:t>
      </w:r>
      <w:r>
        <w:t xml:space="preserve">puis</w:t>
      </w:r>
      <w:r>
        <w:t xml:space="preserve"> </w:t>
      </w:r>
      <w:r>
        <w:rPr>
          <w:i/>
          <w:iCs/>
        </w:rPr>
        <w:t xml:space="preserve">FY25 investment performance</w:t>
      </w:r>
      <w:r>
        <w:t xml:space="preserve">, 2025. Actifs au 30 juin 2024 : 315 Md AUD. CDPQ,</w:t>
      </w:r>
      <w:r>
        <w:t xml:space="preserve"> </w:t>
      </w:r>
      <w:r>
        <w:rPr>
          <w:i/>
          <w:iCs/>
        </w:rPr>
        <w:t xml:space="preserve">Rapport annuel 2024</w:t>
      </w:r>
      <w:r>
        <w:t xml:space="preserve">, 2025 : 473 Md CAD.</w:t>
      </w:r>
    </w:p>
  </w:footnote>
  <w:footnote w:id="35">
    <w:p>
      <w:pPr>
        <w:pStyle w:val="FootnoteText"/>
      </w:pPr>
      <w:r>
        <w:rPr>
          <w:rStyle w:val="FootnoteReference"/>
        </w:rPr>
        <w:footnoteRef/>
      </w:r>
      <w:r>
        <w:t xml:space="preserve"> </w:t>
      </w:r>
      <w:r>
        <w:t xml:space="preserve">CalPERS,</w:t>
      </w:r>
      <w:r>
        <w:t xml:space="preserve"> </w:t>
      </w:r>
      <w:r>
        <w:rPr>
          <w:i/>
          <w:iCs/>
        </w:rPr>
        <w:t xml:space="preserve">Annual Comprehensive Financial Report FY2024</w:t>
      </w:r>
      <w:r>
        <w:t xml:space="preserve">, 2024. Actifs nets au 30 juin 2024 : 506,6 Md USD.</w:t>
      </w:r>
    </w:p>
  </w:footnote>
  <w:footnote w:id="36">
    <w:p>
      <w:pPr>
        <w:pStyle w:val="FootnoteText"/>
      </w:pPr>
      <w:r>
        <w:rPr>
          <w:rStyle w:val="FootnoteReference"/>
        </w:rPr>
        <w:footnoteRef/>
      </w:r>
      <w:r>
        <w:t xml:space="preserve"> </w:t>
      </w:r>
      <w:r>
        <w:t xml:space="preserve">Norges Bank Investment Management,</w:t>
      </w:r>
      <w:r>
        <w:t xml:space="preserve"> </w:t>
      </w:r>
      <w:r>
        <w:rPr>
          <w:i/>
          <w:iCs/>
        </w:rPr>
        <w:t xml:space="preserve">Government Pension Fund Global — Annual Report 2024</w:t>
      </w:r>
      <w:r>
        <w:t xml:space="preserve">, 2025. Actifs : 19 742 Md NOK. Rendement 2024 : 13,1 %. Présence : 8 763 sociétés cotées dans 71 pays. CPP Investments,</w:t>
      </w:r>
      <w:r>
        <w:t xml:space="preserve"> </w:t>
      </w:r>
      <w:r>
        <w:rPr>
          <w:i/>
          <w:iCs/>
        </w:rPr>
        <w:t xml:space="preserve">Fiscal 2025 Annual Report</w:t>
      </w:r>
      <w:r>
        <w:t xml:space="preserve">, 2025 : 714,4 Md CAD au 31 mars 2025.</w:t>
      </w:r>
    </w:p>
  </w:footnote>
  <w:footnote w:id="37">
    <w:p>
      <w:pPr>
        <w:pStyle w:val="FootnoteText"/>
      </w:pPr>
      <w:r>
        <w:rPr>
          <w:rStyle w:val="FootnoteReference"/>
        </w:rPr>
        <w:footnoteRef/>
      </w:r>
      <w:r>
        <w:t xml:space="preserve"> </w:t>
      </w:r>
      <w:r>
        <w:t xml:space="preserve">McKinsey &amp; Company,</w:t>
      </w:r>
      <w:r>
        <w:t xml:space="preserve"> </w:t>
      </w:r>
      <w:r>
        <w:rPr>
          <w:i/>
          <w:iCs/>
        </w:rPr>
        <w:t xml:space="preserve">Global Private Markets Report 2025</w:t>
      </w:r>
      <w:r>
        <w:t xml:space="preserve">, 2025 ; Bain &amp; Company,</w:t>
      </w:r>
      <w:r>
        <w:t xml:space="preserve"> </w:t>
      </w:r>
      <w:r>
        <w:rPr>
          <w:i/>
          <w:iCs/>
        </w:rPr>
        <w:t xml:space="preserve">Global Private Equity Report 2025</w:t>
      </w:r>
      <w:r>
        <w:t xml:space="preserve">. Cambridge Associates,</w:t>
      </w:r>
      <w:r>
        <w:t xml:space="preserve"> </w:t>
      </w:r>
      <w:r>
        <w:rPr>
          <w:i/>
          <w:iCs/>
        </w:rPr>
        <w:t xml:space="preserve">Right-sizing private investments for the evolving pension</w:t>
      </w:r>
      <w:r>
        <w:t xml:space="preserve">, 2024, fournit la grille d’analyse comparée des coûts de capital implicites.</w:t>
      </w:r>
    </w:p>
  </w:footnote>
  <w:footnote w:id="38">
    <w:p>
      <w:pPr>
        <w:pStyle w:val="FootnoteText"/>
      </w:pPr>
      <w:r>
        <w:rPr>
          <w:rStyle w:val="FootnoteReference"/>
        </w:rPr>
        <w:footnoteRef/>
      </w:r>
      <w:r>
        <w:t xml:space="preserve"> </w:t>
      </w:r>
      <w:r>
        <w:t xml:space="preserve">AP7,</w:t>
      </w:r>
      <w:r>
        <w:t xml:space="preserve"> </w:t>
      </w:r>
      <w:r>
        <w:rPr>
          <w:i/>
          <w:iCs/>
        </w:rPr>
        <w:t xml:space="preserve">Annual and Sustainability Report 2024</w:t>
      </w:r>
      <w:r>
        <w:t xml:space="preserve">, 2025. Frais de gestion 0,05 % sur le fonds actions. NBIM,</w:t>
      </w:r>
      <w:r>
        <w:t xml:space="preserve"> </w:t>
      </w:r>
      <w:r>
        <w:rPr>
          <w:i/>
          <w:iCs/>
        </w:rPr>
        <w:t xml:space="preserve">Annual Report 2024</w:t>
      </w:r>
      <w:r>
        <w:t xml:space="preserve">, frais de gestion 0,041 % des actifs — l’un des plus bas au monde pour un fonds de cette taille.</w:t>
      </w:r>
    </w:p>
  </w:footnote>
  <w:footnote w:id="40">
    <w:p>
      <w:pPr>
        <w:pStyle w:val="FootnoteText"/>
      </w:pPr>
      <w:r>
        <w:rPr>
          <w:rStyle w:val="FootnoteReference"/>
        </w:rPr>
        <w:footnoteRef/>
      </w:r>
      <w:r>
        <w:t xml:space="preserve"> </w:t>
      </w:r>
      <w:r>
        <w:t xml:space="preserve">Sanofi,</w:t>
      </w:r>
      <w:r>
        <w:t xml:space="preserve"> </w:t>
      </w:r>
      <w:r>
        <w:rPr>
          <w:i/>
          <w:iCs/>
        </w:rPr>
        <w:t xml:space="preserve">Communiqué sur la cession d’Opella à Clayton, Dubilier &amp; Rice</w:t>
      </w:r>
      <w:r>
        <w:t xml:space="preserve">, 21 octobre 2024 ; communiqué de finalisation du 30 avril 2025. Répartition capitalistique finale : Sanofi 48,2 %, Bpifrance 1,8 %, CD&amp;R 50 % avec contrôle effectif. Produit net pour Sanofi : environ 10 Md€. Garanties politiques annoncées par le Premier ministre Michel Barnier : siège maintenu à Neuilly, production Domloup garantie cinq ans, R&amp;D 70 M€ sur cinq ans, 4 000 emplois préservés.</w:t>
      </w:r>
    </w:p>
  </w:footnote>
  <w:footnote w:id="41">
    <w:p>
      <w:pPr>
        <w:pStyle w:val="FootnoteText"/>
      </w:pPr>
      <w:r>
        <w:rPr>
          <w:rStyle w:val="FootnoteReference"/>
        </w:rPr>
        <w:footnoteRef/>
      </w:r>
      <w:r>
        <w:t xml:space="preserve"> </w:t>
      </w:r>
      <w:r>
        <w:t xml:space="preserve">General Electric,</w:t>
      </w:r>
      <w:r>
        <w:t xml:space="preserve"> </w:t>
      </w:r>
      <w:r>
        <w:rPr>
          <w:i/>
          <w:iCs/>
        </w:rPr>
        <w:t xml:space="preserve">GE completes acquisition of Alstom Power and Grid Businesses</w:t>
      </w:r>
      <w:r>
        <w:t xml:space="preserve">, 2 novembre 2015. Le communiqué officiel précise une</w:t>
      </w:r>
      <w:r>
        <w:t xml:space="preserve"> </w:t>
      </w:r>
      <w:r>
        <w:rPr>
          <w:i/>
          <w:iCs/>
        </w:rPr>
        <w:t xml:space="preserve">enterprise value</w:t>
      </w:r>
      <w:r>
        <w:t xml:space="preserve"> </w:t>
      </w:r>
      <w:r>
        <w:t xml:space="preserve">de 12,35 Md€ ramenée à une contrepartie cash d’environ 9,7 Md€ après ajustements. Voir aussi Assemblée nationale,</w:t>
      </w:r>
      <w:r>
        <w:t xml:space="preserve"> </w:t>
      </w:r>
      <w:r>
        <w:rPr>
          <w:i/>
          <w:iCs/>
        </w:rPr>
        <w:t xml:space="preserve">Commission d’enquête sur les décisions de l’État en matière de politique industrielle — cas Alstom</w:t>
      </w:r>
      <w:r>
        <w:t xml:space="preserve">, 2018.</w:t>
      </w:r>
    </w:p>
  </w:footnote>
  <w:footnote w:id="42">
    <w:p>
      <w:pPr>
        <w:pStyle w:val="FootnoteText"/>
      </w:pPr>
      <w:r>
        <w:rPr>
          <w:rStyle w:val="FootnoteReference"/>
        </w:rPr>
        <w:footnoteRef/>
      </w:r>
      <w:r>
        <w:t xml:space="preserve"> </w:t>
      </w:r>
      <w:r>
        <w:t xml:space="preserve">Frédéric Pierucci et Matthieu Aron,</w:t>
      </w:r>
      <w:r>
        <w:t xml:space="preserve"> </w:t>
      </w:r>
      <w:r>
        <w:rPr>
          <w:i/>
          <w:iCs/>
        </w:rPr>
        <w:t xml:space="preserve">Le piège américain</w:t>
      </w:r>
      <w:r>
        <w:t xml:space="preserve">, JC Lattès, 2019. L’arrestation à JFK est datée du 14 avril 2013 ; Pierucci est resté incarcéré quatorze mois. La thèse d’un usage politique de la procédure judiciaire pour faire pression sur Alstom reste contestée par GE et la justice américaine, mais le calendrier est documenté.</w:t>
      </w:r>
    </w:p>
  </w:footnote>
  <w:footnote w:id="43">
    <w:p>
      <w:pPr>
        <w:pStyle w:val="FootnoteText"/>
      </w:pPr>
      <w:r>
        <w:rPr>
          <w:rStyle w:val="FootnoteReference"/>
        </w:rPr>
        <w:footnoteRef/>
      </w:r>
      <w:r>
        <w:t xml:space="preserve"> </w:t>
      </w:r>
      <w:r>
        <w:rPr>
          <w:i/>
          <w:iCs/>
        </w:rPr>
        <w:t xml:space="preserve">Opex360 / Zone Militaire</w:t>
      </w:r>
      <w:r>
        <w:t xml:space="preserve">,</w:t>
      </w:r>
      <w:r>
        <w:t xml:space="preserve"> </w:t>
      </w:r>
      <w:r>
        <w:rPr>
          <w:i/>
          <w:iCs/>
        </w:rPr>
        <w:t xml:space="preserve">Photonis racheté par HLD avec le soutien de l’État</w:t>
      </w:r>
      <w:r>
        <w:t xml:space="preserve">, février 2021 ;</w:t>
      </w:r>
      <w:r>
        <w:t xml:space="preserve"> </w:t>
      </w:r>
      <w:r>
        <w:rPr>
          <w:i/>
          <w:iCs/>
        </w:rPr>
        <w:t xml:space="preserve">Les Échos</w:t>
      </w:r>
      <w:r>
        <w:t xml:space="preserve">, dossier Photonis 2020-2021. Veto Bercy contre la cession à Teledyne formalisé en décembre 2020 ; closing HLD à 370 M€ février 2021. L’offre initiale de Teledyne, documentée par Zone Militaire et la presse spécialisée, était de 550 millions de dollars (environ 510 M€ au taux de change de 2020). Le différentiel avec le prix HLD ressort à environ 140 M€.</w:t>
      </w:r>
    </w:p>
  </w:footnote>
  <w:footnote w:id="44">
    <w:p>
      <w:pPr>
        <w:pStyle w:val="FootnoteText"/>
      </w:pPr>
      <w:r>
        <w:rPr>
          <w:rStyle w:val="FootnoteReference"/>
        </w:rPr>
        <w:footnoteRef/>
      </w:r>
      <w:r>
        <w:t xml:space="preserve"> </w:t>
      </w:r>
      <w:r>
        <w:rPr>
          <w:i/>
          <w:iCs/>
        </w:rPr>
        <w:t xml:space="preserve">Boursorama</w:t>
      </w:r>
      <w:r>
        <w:t xml:space="preserve">,</w:t>
      </w:r>
      <w:r>
        <w:t xml:space="preserve"> </w:t>
      </w:r>
      <w:r>
        <w:rPr>
          <w:i/>
          <w:iCs/>
        </w:rPr>
        <w:t xml:space="preserve">Searchlight Capital Partners lance une OPA sur Latécoère</w:t>
      </w:r>
      <w:r>
        <w:t xml:space="preserve">, juin 2019 ;</w:t>
      </w:r>
      <w:r>
        <w:t xml:space="preserve"> </w:t>
      </w:r>
      <w:r>
        <w:rPr>
          <w:i/>
          <w:iCs/>
        </w:rPr>
        <w:t xml:space="preserve">L’Usine Nouvelle</w:t>
      </w:r>
      <w:r>
        <w:t xml:space="preserve">,</w:t>
      </w:r>
      <w:r>
        <w:t xml:space="preserve"> </w:t>
      </w:r>
      <w:r>
        <w:rPr>
          <w:i/>
          <w:iCs/>
        </w:rPr>
        <w:t xml:space="preserve">Searchlight Capital prend 26 % de Latécoère</w:t>
      </w:r>
      <w:r>
        <w:t xml:space="preserve">, avril 2019. SKN Holding (Searchlight) acquiert 24 697 727 actions soit 26,05 % du capital pour 106,8 millions de dollars. Augmentation de capital de novembre 2023 : 124,4 M€ bruts (BusinessWire, 16 novembre 2023).</w:t>
      </w:r>
    </w:p>
  </w:footnote>
  <w:footnote w:id="45">
    <w:p>
      <w:pPr>
        <w:pStyle w:val="FootnoteText"/>
      </w:pPr>
      <w:r>
        <w:rPr>
          <w:rStyle w:val="FootnoteReference"/>
        </w:rPr>
        <w:footnoteRef/>
      </w:r>
      <w:r>
        <w:t xml:space="preserve"> </w:t>
      </w:r>
      <w:r>
        <w:t xml:space="preserve">AccessWire,</w:t>
      </w:r>
      <w:r>
        <w:t xml:space="preserve"> </w:t>
      </w:r>
      <w:r>
        <w:rPr>
          <w:i/>
          <w:iCs/>
        </w:rPr>
        <w:t xml:space="preserve">Heico announces largest acquisition ever : Exxelia International</w:t>
      </w:r>
      <w:r>
        <w:t xml:space="preserve">, juillet 2022 ; communiqués Heico Corporation, 28 juillet 2022 (annonce) et 5 janvier 2023 (clôture). Montant total : 453 M€ en cash, plus 14 M€ d’assomption de dette.</w:t>
      </w:r>
    </w:p>
  </w:footnote>
  <w:footnote w:id="46">
    <w:p>
      <w:pPr>
        <w:pStyle w:val="FootnoteText"/>
      </w:pPr>
      <w:r>
        <w:rPr>
          <w:rStyle w:val="FootnoteReference"/>
        </w:rPr>
        <w:footnoteRef/>
      </w:r>
      <w:r>
        <w:t xml:space="preserve"> </w:t>
      </w:r>
      <w:r>
        <w:t xml:space="preserve">Holcim et Lafarge,</w:t>
      </w:r>
      <w:r>
        <w:t xml:space="preserve"> </w:t>
      </w:r>
      <w:r>
        <w:rPr>
          <w:i/>
          <w:iCs/>
        </w:rPr>
        <w:t xml:space="preserve">Communiqué conjoint sur la fusion — juillet 2015</w:t>
      </w:r>
      <w:r>
        <w:t xml:space="preserve">. Création d’un groupe combiné de 35 Md€ de chiffre d’affaires et 130 000 employés. Voir Observatoire des multinationales,</w:t>
      </w:r>
      <w:r>
        <w:t xml:space="preserve"> </w:t>
      </w:r>
      <w:r>
        <w:rPr>
          <w:i/>
          <w:iCs/>
        </w:rPr>
        <w:t xml:space="preserve">Lafarge-Holcim : fusion, conséquences industrielles et fiscales</w:t>
      </w:r>
      <w:r>
        <w:t xml:space="preserve">, 2015-2016.</w:t>
      </w:r>
    </w:p>
  </w:footnote>
  <w:footnote w:id="47">
    <w:p>
      <w:pPr>
        <w:pStyle w:val="FootnoteText"/>
      </w:pPr>
      <w:r>
        <w:rPr>
          <w:rStyle w:val="FootnoteReference"/>
        </w:rPr>
        <w:footnoteRef/>
      </w:r>
      <w:r>
        <w:t xml:space="preserve"> </w:t>
      </w:r>
      <w:r>
        <w:rPr>
          <w:i/>
          <w:iCs/>
        </w:rPr>
        <w:t xml:space="preserve">L’Usine Nouvelle</w:t>
      </w:r>
      <w:r>
        <w:t xml:space="preserve">,</w:t>
      </w:r>
      <w:r>
        <w:t xml:space="preserve"> </w:t>
      </w:r>
      <w:r>
        <w:rPr>
          <w:i/>
          <w:iCs/>
        </w:rPr>
        <w:t xml:space="preserve">Technip-FMC, une fusion à parts égales</w:t>
      </w:r>
      <w:r>
        <w:t xml:space="preserve">, avril 2016 ; communiqués TechnipFMC,</w:t>
      </w:r>
      <w:r>
        <w:t xml:space="preserve"> </w:t>
      </w:r>
      <w:r>
        <w:rPr>
          <w:i/>
          <w:iCs/>
        </w:rPr>
        <w:t xml:space="preserve">Investor Relations 2017-2019</w:t>
      </w:r>
      <w:r>
        <w:t xml:space="preserve">. La capitalisation post-annonce du nouveau groupe est estimée à 13 Md$.</w:t>
      </w:r>
    </w:p>
  </w:footnote>
  <w:footnote w:id="48">
    <w:p>
      <w:pPr>
        <w:pStyle w:val="FootnoteText"/>
      </w:pPr>
      <w:r>
        <w:rPr>
          <w:rStyle w:val="FootnoteReference"/>
        </w:rPr>
        <w:footnoteRef/>
      </w:r>
      <w:r>
        <w:t xml:space="preserve"> </w:t>
      </w:r>
      <w:r>
        <w:t xml:space="preserve">Servier,</w:t>
      </w:r>
      <w:r>
        <w:t xml:space="preserve"> </w:t>
      </w:r>
      <w:r>
        <w:rPr>
          <w:i/>
          <w:iCs/>
        </w:rPr>
        <w:t xml:space="preserve">Communiqué sur l’acquisition du portefeuille d’oncologie d’Agios Pharmaceuticals</w:t>
      </w:r>
      <w:r>
        <w:t xml:space="preserve">, mars 2021 ; closing du 1er avril 2021. Structure : 1,8 Md$ upfront, plus jusqu’à 200 M$ de paiements conditionnels. Servier, contrôlé par la Fondation Internationale de Recherche Servier, échappe à la pression des marchés cotés.</w:t>
      </w:r>
    </w:p>
  </w:footnote>
  <w:footnote w:id="49">
    <w:p>
      <w:pPr>
        <w:pStyle w:val="FootnoteText"/>
      </w:pPr>
      <w:r>
        <w:rPr>
          <w:rStyle w:val="FootnoteReference"/>
        </w:rPr>
        <w:footnoteRef/>
      </w:r>
      <w:r>
        <w:t xml:space="preserve"> </w:t>
      </w:r>
      <w:r>
        <w:t xml:space="preserve">Worldline,</w:t>
      </w:r>
      <w:r>
        <w:t xml:space="preserve"> </w:t>
      </w:r>
      <w:r>
        <w:rPr>
          <w:i/>
          <w:iCs/>
        </w:rPr>
        <w:t xml:space="preserve">Annonce de l’offre publique sur Ingenico</w:t>
      </w:r>
      <w:r>
        <w:t xml:space="preserve">, 3 février 2020 ; clôture officielle 28 octobre 2020. Valeur implicite : 7,8 Md€, structure 81 % en actions Worldline et 19 % en cash.</w:t>
      </w:r>
      <w:r>
        <w:t xml:space="preserve"> </w:t>
      </w:r>
      <w:r>
        <w:rPr>
          <w:i/>
          <w:iCs/>
        </w:rPr>
        <w:t xml:space="preserve">Le Monde Informatique</w:t>
      </w:r>
      <w:r>
        <w:t xml:space="preserve">,</w:t>
      </w:r>
      <w:r>
        <w:t xml:space="preserve"> </w:t>
      </w:r>
      <w:r>
        <w:rPr>
          <w:i/>
          <w:iCs/>
        </w:rPr>
        <w:t xml:space="preserve">Worldline rachète Ingenico pour devenir géant du paiement</w:t>
      </w:r>
      <w:r>
        <w:t xml:space="preserve">, février 2020.</w:t>
      </w:r>
    </w:p>
  </w:footnote>
  <w:footnote w:id="50">
    <w:p>
      <w:pPr>
        <w:pStyle w:val="FootnoteText"/>
      </w:pPr>
      <w:r>
        <w:rPr>
          <w:rStyle w:val="FootnoteReference"/>
        </w:rPr>
        <w:footnoteRef/>
      </w:r>
      <w:r>
        <w:t xml:space="preserve"> </w:t>
      </w:r>
      <w:r>
        <w:t xml:space="preserve">OCDE,</w:t>
      </w:r>
      <w:r>
        <w:t xml:space="preserve"> </w:t>
      </w:r>
      <w:r>
        <w:rPr>
          <w:i/>
          <w:iCs/>
        </w:rPr>
        <w:t xml:space="preserve">Base Erosion and Profit Shifting Project</w:t>
      </w:r>
      <w:r>
        <w:t xml:space="preserve">, rapports annuels 2015-2024. Sur le cas Lafarge-Holcim, voir Observatoire des multinationales,</w:t>
      </w:r>
      <w:r>
        <w:t xml:space="preserve"> </w:t>
      </w:r>
      <w:r>
        <w:rPr>
          <w:i/>
          <w:iCs/>
        </w:rPr>
        <w:t xml:space="preserve">Lafarge-Holcim : fusion, conséquences industrielles et fiscales</w:t>
      </w:r>
      <w:r>
        <w:t xml:space="preserve">, 2015-2016.</w:t>
      </w:r>
    </w:p>
  </w:footnote>
  <w:footnote w:id="52">
    <w:p>
      <w:pPr>
        <w:pStyle w:val="FootnoteText"/>
      </w:pPr>
      <w:r>
        <w:rPr>
          <w:rStyle w:val="FootnoteReference"/>
        </w:rPr>
        <w:footnoteRef/>
      </w:r>
      <w:r>
        <w:t xml:space="preserve"> </w:t>
      </w:r>
      <w:r>
        <w:t xml:space="preserve">Vernimmen,</w:t>
      </w:r>
      <w:r>
        <w:t xml:space="preserve"> </w:t>
      </w:r>
      <w:r>
        <w:rPr>
          <w:i/>
          <w:iCs/>
        </w:rPr>
        <w:t xml:space="preserve">Dividendes du CAC 40 en hausse de 8,5 % en 2024</w:t>
      </w:r>
      <w:r>
        <w:t xml:space="preserve">, lettre n°223, 2025 ; BFM Bourse et TradingSat,</w:t>
      </w:r>
      <w:r>
        <w:t xml:space="preserve"> </w:t>
      </w:r>
      <w:r>
        <w:rPr>
          <w:i/>
          <w:iCs/>
        </w:rPr>
        <w:t xml:space="preserve">Les groupes du CAC 40 ont rendu plus de 98 Md€ à leurs actionnaires en 2024</w:t>
      </w:r>
      <w:r>
        <w:t xml:space="preserve">, 2025. Décomposition : 72,8 Md€ de dividendes cash, 25,5 Md€ de rachats d’actions. Investissements parallèles du CAC 40 en 2024 : 116,6 Md€, en hausse de 22 %.</w:t>
      </w:r>
    </w:p>
  </w:footnote>
  <w:footnote w:id="53">
    <w:p>
      <w:pPr>
        <w:pStyle w:val="FootnoteText"/>
      </w:pPr>
      <w:r>
        <w:rPr>
          <w:rStyle w:val="FootnoteReference"/>
        </w:rPr>
        <w:footnoteRef/>
      </w:r>
      <w:r>
        <w:t xml:space="preserve"> </w:t>
      </w:r>
      <w:r>
        <w:t xml:space="preserve">Banque de France,</w:t>
      </w:r>
      <w:r>
        <w:t xml:space="preserve"> </w:t>
      </w:r>
      <w:r>
        <w:rPr>
          <w:i/>
          <w:iCs/>
        </w:rPr>
        <w:t xml:space="preserve">La détention des actions des sociétés françaises du CAC 40 par les non-résidents augmente très légèrement en 2024</w:t>
      </w:r>
      <w:r>
        <w:t xml:space="preserve">, bulletin n°255, novembre-décembre 2024. Capitalisation totale CAC 40 fin 2024 : 2 165 Md€. Part non-résidente : 50,0 %, soit 1 083 Md€. Sur 35 sociétés analysées : 19 détenues à plus de 50 % par des non-résidents, 11 entre 30 et 50 %, 5 à moins de 30 %.</w:t>
      </w:r>
    </w:p>
  </w:footnote>
  <w:footnote w:id="54">
    <w:p>
      <w:pPr>
        <w:pStyle w:val="FootnoteText"/>
      </w:pPr>
      <w:r>
        <w:rPr>
          <w:rStyle w:val="FootnoteReference"/>
        </w:rPr>
        <w:footnoteRef/>
      </w:r>
      <w:r>
        <w:t xml:space="preserve"> </w:t>
      </w:r>
      <w:r>
        <w:t xml:space="preserve">Banque de France, bulletin n°255 précité. Investissements de portefeuille : 92,9 % du total non-résident ; investissements directs : 7,1 %. Origine : 40 % zone euro, 34 % États-Unis, 26 % reste du monde.</w:t>
      </w:r>
    </w:p>
  </w:footnote>
  <w:footnote w:id="55">
    <w:p>
      <w:pPr>
        <w:pStyle w:val="FootnoteText"/>
      </w:pPr>
      <w:r>
        <w:rPr>
          <w:rStyle w:val="FootnoteReference"/>
        </w:rPr>
        <w:footnoteRef/>
      </w:r>
      <w:r>
        <w:t xml:space="preserve"> </w:t>
      </w:r>
      <w:r>
        <w:t xml:space="preserve">BFM Bourse,</w:t>
      </w:r>
      <w:r>
        <w:t xml:space="preserve"> </w:t>
      </w:r>
      <w:r>
        <w:rPr>
          <w:i/>
          <w:iCs/>
        </w:rPr>
        <w:t xml:space="preserve">L’inquiétante mainmise des géants américains de la gestion d’actifs sur les marchés</w:t>
      </w:r>
      <w:r>
        <w:t xml:space="preserve">, 2020. Les chiffres BlackRock 2,1 % et Vanguard 2,0 % datent de 2020 ; les estimations 2024 ne sont pas publiées avec la même granularité, mais l’ordre de grandeur reste proche.</w:t>
      </w:r>
    </w:p>
  </w:footnote>
  <w:footnote w:id="56">
    <w:p>
      <w:pPr>
        <w:pStyle w:val="FootnoteText"/>
      </w:pPr>
      <w:r>
        <w:rPr>
          <w:rStyle w:val="FootnoteReference"/>
        </w:rPr>
        <w:footnoteRef/>
      </w:r>
      <w:r>
        <w:t xml:space="preserve"> </w:t>
      </w:r>
      <w:r>
        <w:t xml:space="preserve">Calcul OVLA. Hypothèses : croissance nominale moyenne des dividendes du CAC 40 6 % par an (moyenne 2014-2024 selon Vernimmen) ; part non-résidente stable à 50 %. Cumul des dividendes versés à l’étranger sur la décennie 2024-2034 estimé à 510-540 Md€.</w:t>
      </w:r>
    </w:p>
  </w:footnote>
  <w:footnote w:id="58">
    <w:p>
      <w:pPr>
        <w:pStyle w:val="FootnoteText"/>
      </w:pPr>
      <w:r>
        <w:rPr>
          <w:rStyle w:val="FootnoteReference"/>
        </w:rPr>
        <w:footnoteRef/>
      </w:r>
      <w:r>
        <w:t xml:space="preserve"> </w:t>
      </w:r>
      <w:r>
        <w:t xml:space="preserve">Ordres de grandeur d’allocation domestique : Norges Bank Investment Management,</w:t>
      </w:r>
      <w:r>
        <w:t xml:space="preserve"> </w:t>
      </w:r>
      <w:r>
        <w:rPr>
          <w:i/>
          <w:iCs/>
        </w:rPr>
        <w:t xml:space="preserve">Government Pension Fund Global — Annual Report 2024</w:t>
      </w:r>
      <w:r>
        <w:t xml:space="preserve">, 2025 (règles d’investissement définies par le ministère norvégien des Finances ; exposition actions Norvège marginale en pratique). ABP,</w:t>
      </w:r>
      <w:r>
        <w:t xml:space="preserve"> </w:t>
      </w:r>
      <w:r>
        <w:rPr>
          <w:i/>
          <w:iCs/>
        </w:rPr>
        <w:t xml:space="preserve">Annual Report 2024</w:t>
      </w:r>
      <w:r>
        <w:t xml:space="preserve">, 2025 (allocation Europe et exposition domestique limitée). CPP Investments,</w:t>
      </w:r>
      <w:r>
        <w:t xml:space="preserve"> </w:t>
      </w:r>
      <w:r>
        <w:rPr>
          <w:i/>
          <w:iCs/>
        </w:rPr>
        <w:t xml:space="preserve">Fiscal 2025 Annual Report</w:t>
      </w:r>
      <w:r>
        <w:t xml:space="preserve">, 2025 (allocation Canada autour d’un quart du portefeuille). CDPQ,</w:t>
      </w:r>
      <w:r>
        <w:t xml:space="preserve"> </w:t>
      </w:r>
      <w:r>
        <w:rPr>
          <w:i/>
          <w:iCs/>
        </w:rPr>
        <w:t xml:space="preserve">Engagement Québec</w:t>
      </w:r>
      <w:r>
        <w:t xml:space="preserve">, 2024, et</w:t>
      </w:r>
      <w:r>
        <w:t xml:space="preserve"> </w:t>
      </w:r>
      <w:r>
        <w:rPr>
          <w:i/>
          <w:iCs/>
        </w:rPr>
        <w:t xml:space="preserve">Rapport annuel 2024</w:t>
      </w:r>
      <w:r>
        <w:t xml:space="preserve">, 2025 (exposition Québec environ un quart). Thinking Ahead Institute,</w:t>
      </w:r>
      <w:r>
        <w:t xml:space="preserve"> </w:t>
      </w:r>
      <w:r>
        <w:rPr>
          <w:i/>
          <w:iCs/>
        </w:rPr>
        <w:t xml:space="preserve">Global Pension Assets Study 2025</w:t>
      </w:r>
      <w:r>
        <w:t xml:space="preserve">, 2025, pour les ratios d’allocation domestique des principaux fonds publics. Les fourchettes citées sont des ordres de grandeur publics, susceptibles de varier selon les classes d’actifs et la conjoncture.</w:t>
      </w:r>
    </w:p>
  </w:footnote>
  <w:footnote w:id="59">
    <w:p>
      <w:pPr>
        <w:pStyle w:val="FootnoteText"/>
      </w:pPr>
      <w:r>
        <w:rPr>
          <w:rStyle w:val="FootnoteReference"/>
        </w:rPr>
        <w:footnoteRef/>
      </w:r>
      <w:r>
        <w:t xml:space="preserve"> </w:t>
      </w:r>
      <w:r>
        <w:t xml:space="preserve">Thinking Ahead Institute,</w:t>
      </w:r>
      <w:r>
        <w:t xml:space="preserve"> </w:t>
      </w:r>
      <w:r>
        <w:rPr>
          <w:i/>
          <w:iCs/>
        </w:rPr>
        <w:t xml:space="preserve">Global Pension Assets Study 2025</w:t>
      </w:r>
      <w:r>
        <w:t xml:space="preserve">, 2025. Encours fonds de pension en pourcentage du PIB : Pays-Bas 200-220 %, Canada 40 %, Norvège 280 %, Australie 148 %, États-Unis 130 %, Royaume-Uni 120 %. PIB France 2024 : environ 2 950 Md€. Une cible de 50 % du PIB représenterait 1 475 Md€ en stock stationnaire.</w:t>
      </w:r>
    </w:p>
  </w:footnote>
  <w:footnote w:id="60">
    <w:p>
      <w:pPr>
        <w:pStyle w:val="FootnoteText"/>
      </w:pPr>
      <w:r>
        <w:rPr>
          <w:rStyle w:val="FootnoteReference"/>
        </w:rPr>
        <w:footnoteRef/>
      </w:r>
      <w:r>
        <w:t xml:space="preserve"> </w:t>
      </w:r>
      <w:r>
        <w:t xml:space="preserve">Calcul OVLA. Hypothèse : substitution progressive de 15-20 points de détention non-résidente par des fonds de pension français à horizon stationnaire. Sur 36,4 Md€ de dividendes captés annuellement par les non-résidents, environ 11-15 Md€ resteraient en France au lieu de partir. Cumul sur dix ans, ordre de grandeur de 200-250 Md€.</w:t>
      </w:r>
    </w:p>
  </w:footnote>
  <w:footnote w:id="61">
    <w:p>
      <w:pPr>
        <w:pStyle w:val="FootnoteText"/>
      </w:pPr>
      <w:r>
        <w:rPr>
          <w:rStyle w:val="FootnoteReference"/>
        </w:rPr>
        <w:footnoteRef/>
      </w:r>
      <w:r>
        <w:t xml:space="preserve"> </w:t>
      </w:r>
      <w:r>
        <w:t xml:space="preserve">CDPQ,</w:t>
      </w:r>
      <w:r>
        <w:t xml:space="preserve"> </w:t>
      </w:r>
      <w:r>
        <w:rPr>
          <w:i/>
          <w:iCs/>
        </w:rPr>
        <w:t xml:space="preserve">Annual report 2015</w:t>
      </w:r>
      <w:r>
        <w:t xml:space="preserve">, 2016 ; voir aussi CDPQ,</w:t>
      </w:r>
      <w:r>
        <w:t xml:space="preserve"> </w:t>
      </w:r>
      <w:r>
        <w:rPr>
          <w:i/>
          <w:iCs/>
        </w:rPr>
        <w:t xml:space="preserve">Department of Commerce investigation targeting CSeries aircraft program</w:t>
      </w:r>
      <w:r>
        <w:t xml:space="preserve">. Acquisition de 30 % de BT Holdco en novembre 2015 pour 1,5 Md$ US. Sortie via la cession Alstom-Bombardier Transport, closing 29 janvier 2021.</w:t>
      </w:r>
    </w:p>
  </w:footnote>
  <w:footnote w:id="62">
    <w:p>
      <w:pPr>
        <w:pStyle w:val="FootnoteText"/>
      </w:pPr>
      <w:r>
        <w:rPr>
          <w:rStyle w:val="FootnoteReference"/>
        </w:rPr>
        <w:footnoteRef/>
      </w:r>
      <w:r>
        <w:t xml:space="preserve"> </w:t>
      </w:r>
      <w:r>
        <w:t xml:space="preserve">ABP / APG,</w:t>
      </w:r>
      <w:r>
        <w:t xml:space="preserve"> </w:t>
      </w:r>
      <w:r>
        <w:rPr>
          <w:i/>
          <w:iCs/>
        </w:rPr>
        <w:t xml:space="preserve">Plan d’investissements à impact 2024-2030</w:t>
      </w:r>
      <w:r>
        <w:t xml:space="preserve">, communiqué 2024 ; couverture</w:t>
      </w:r>
      <w:r>
        <w:t xml:space="preserve"> </w:t>
      </w:r>
      <w:r>
        <w:rPr>
          <w:i/>
          <w:iCs/>
        </w:rPr>
        <w:t xml:space="preserve">ESG News</w:t>
      </w:r>
      <w:r>
        <w:t xml:space="preserve">, 2024. La part dédiée aux investissements domestiques inclut notamment 5 Md€ pour les logements locatifs sociaux néerlandais.</w:t>
      </w:r>
    </w:p>
  </w:footnote>
  <w:footnote w:id="63">
    <w:p>
      <w:pPr>
        <w:pStyle w:val="FootnoteText"/>
      </w:pPr>
      <w:r>
        <w:rPr>
          <w:rStyle w:val="FootnoteReference"/>
        </w:rPr>
        <w:footnoteRef/>
      </w:r>
      <w:r>
        <w:t xml:space="preserve"> </w:t>
      </w:r>
      <w:r>
        <w:t xml:space="preserve">USS,</w:t>
      </w:r>
      <w:r>
        <w:t xml:space="preserve"> </w:t>
      </w:r>
      <w:r>
        <w:rPr>
          <w:i/>
          <w:iCs/>
        </w:rPr>
        <w:t xml:space="preserve">USS invests in Heathrow Airport</w:t>
      </w:r>
      <w:r>
        <w:t xml:space="preserve">, communication 2013/2014 ; IPE,</w:t>
      </w:r>
      <w:r>
        <w:t xml:space="preserve"> </w:t>
      </w:r>
      <w:r>
        <w:rPr>
          <w:i/>
          <w:iCs/>
        </w:rPr>
        <w:t xml:space="preserve">USS buys 8% stake in Heathrow Airport</w:t>
      </w:r>
      <w:r>
        <w:t xml:space="preserve">, 2013. Acquisition de 8,65 % de FGP Topco pour 392 M£ en octobre 2013. Vente complète en décembre 2024.</w:t>
      </w:r>
    </w:p>
  </w:footnote>
  <w:footnote w:id="64">
    <w:p>
      <w:pPr>
        <w:pStyle w:val="FootnoteText"/>
      </w:pPr>
      <w:r>
        <w:rPr>
          <w:rStyle w:val="FootnoteReference"/>
        </w:rPr>
        <w:footnoteRef/>
      </w:r>
      <w:r>
        <w:t xml:space="preserve"> </w:t>
      </w:r>
      <w:r>
        <w:t xml:space="preserve">Bernard est un personnage composite, construit à partir de plusieurs entretiens avec des dirigeants d’ETI familiales en cours de transmission dans le Grand-Ouest (Bretagne, Pays de la Loire, Normandie). Les ordres de grandeur financiers — taille de l’ETI, multiples d’EBITDA proposés par les trois pistes d’acquéreurs — sont calés sur les données du panel BPI France Le Lab 2024, de l’Observatoire CRA janvier 2025 et des fourchettes de valorisation observées sur le marché secondaire des ETI industrielles françaises 2023-2025. Aucun individu identifiable n’est représenté.</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fr-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Capitalisons</dc:title>
  <dc:creator>Où Va l’Argent</dc:creator>
  <dc:language>fr-FR</dc:language>
  <cp:keywords/>
  <dcterms:created xsi:type="dcterms:W3CDTF">2026-05-16T13:53:27Z</dcterms:created>
  <dcterms:modified xsi:type="dcterms:W3CDTF">2026-05-16T13:53:27Z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y fmtid="{D5CDD505-2E9C-101B-9397-08002B2CF9AE}" pid="3" name="documentclass">
    <vt:lpwstr>book</vt:lpwstr>
  </property>
  <property fmtid="{D5CDD505-2E9C-101B-9397-08002B2CF9AE}" pid="4" name="fontsize">
    <vt:lpwstr>11pt</vt:lpwstr>
  </property>
  <property fmtid="{D5CDD505-2E9C-101B-9397-08002B2CF9AE}" pid="5" name="geometry">
    <vt:lpwstr/>
  </property>
  <property fmtid="{D5CDD505-2E9C-101B-9397-08002B2CF9AE}" pid="6" name="linestretch">
    <vt:lpwstr>1.4</vt:lpwstr>
  </property>
  <property fmtid="{D5CDD505-2E9C-101B-9397-08002B2CF9AE}" pid="7" name="links-as-notes">
    <vt:lpwstr>True</vt:lpwstr>
  </property>
  <property fmtid="{D5CDD505-2E9C-101B-9397-08002B2CF9AE}" pid="8" name="mainfont">
    <vt:lpwstr>Cambria</vt:lpwstr>
  </property>
  <property fmtid="{D5CDD505-2E9C-101B-9397-08002B2CF9AE}" pid="9" name="notes-after-punctuation">
    <vt:lpwstr>True</vt:lpwstr>
  </property>
  <property fmtid="{D5CDD505-2E9C-101B-9397-08002B2CF9AE}" pid="10" name="numbersections">
    <vt:lpwstr>False</vt:lpwstr>
  </property>
  <property fmtid="{D5CDD505-2E9C-101B-9397-08002B2CF9AE}" pid="11" name="reference-section-title">
    <vt:lpwstr>Notes</vt:lpwstr>
  </property>
  <property fmtid="{D5CDD505-2E9C-101B-9397-08002B2CF9AE}" pid="12" name="secnumdepth">
    <vt:lpwstr>0</vt:lpwstr>
  </property>
  <property fmtid="{D5CDD505-2E9C-101B-9397-08002B2CF9AE}" pid="13" name="subtitle">
    <vt:lpwstr>La France et son capital absent</vt:lpwstr>
  </property>
  <property fmtid="{D5CDD505-2E9C-101B-9397-08002B2CF9AE}" pid="14" name="toc">
    <vt:lpwstr>True</vt:lpwstr>
  </property>
  <property fmtid="{D5CDD505-2E9C-101B-9397-08002B2CF9AE}" pid="15" name="toc-depth">
    <vt:lpwstr>2</vt:lpwstr>
  </property>
</Properties>
</file>