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11508dfaca2b4fd74f6c7207902bea8a24fdf39"/>
    <w:p>
      <w:pPr>
        <w:pStyle w:val="Heading1"/>
      </w:pPr>
      <w:r>
        <w:t xml:space="preserve">Partie 5 — Vers la capitalisation : la réforme qui n’a jamais été faite</w:t>
      </w:r>
    </w:p>
    <w:bookmarkStart w:id="21" w:name="chapitre-5.1-les-enjeux-à-arbitrer"/>
    <w:p>
      <w:pPr>
        <w:pStyle w:val="Heading2"/>
      </w:pPr>
      <w:r>
        <w:t xml:space="preserve">Chapitre 5.1 — Les enjeux à arbitrer</w:t>
      </w:r>
    </w:p>
    <w:p>
      <w:pPr>
        <w:pStyle w:val="FirstParagraph"/>
      </w:pPr>
      <w:r>
        <w:t xml:space="preserve">Vingt-cinq ans. Ce n’est pas un slogan de tribune. C’est ce que l’Australie a mis pour porter sa cotisation patronale de 3 à 12 %, ce que la Suède a négocié entre les cohortes 1938 et 1954, le plancher que aucune transition étrangère n’a su raccourcir sans casser.</w:t>
      </w:r>
      <w:r>
        <w:rPr>
          <w:rStyle w:val="FootnoteReference"/>
        </w:rPr>
        <w:footnoteReference w:id="9"/>
      </w:r>
      <w:r>
        <w:t xml:space="preserve"> </w:t>
      </w:r>
      <w:r>
        <w:t xml:space="preserve">La France n’aura pas moins. Et c’est précisément parce que l’horizon est long qu’il faut commencer maintenant.</w:t>
      </w:r>
    </w:p>
    <w:p>
      <w:pPr>
        <w:pStyle w:val="BodyText"/>
      </w:pPr>
      <w:r>
        <w:t xml:space="preserve">Le premier enjeu que personne ne pose franchement, c’est la temporalité. Le débat français oscille depuis trente ans entre deux mirages symétriques. Le premier dit :</w:t>
      </w:r>
      <w:r>
        <w:t xml:space="preserve"> </w:t>
      </w:r>
      <w:r>
        <w:rPr>
          <w:i/>
          <w:iCs/>
        </w:rPr>
        <w:t xml:space="preserve">réformer en un mandat, faire vite, prendre le pays par surprise avant que les corps intermédiaires ne bloquent</w:t>
      </w:r>
      <w:r>
        <w:t xml:space="preserve">. Le second dit :</w:t>
      </w:r>
      <w:r>
        <w:t xml:space="preserve"> </w:t>
      </w:r>
      <w:r>
        <w:rPr>
          <w:i/>
          <w:iCs/>
        </w:rPr>
        <w:t xml:space="preserve">trop long, donc inutile — autant améliorer l’existant à la marge</w:t>
      </w:r>
      <w:r>
        <w:t xml:space="preserve">. Les deux sont faux. La leçon australienne est brutale sur ce point : quand Howard a gelé le</w:t>
      </w:r>
      <w:r>
        <w:t xml:space="preserve"> </w:t>
      </w:r>
      <w:r>
        <w:rPr>
          <w:i/>
          <w:iCs/>
        </w:rPr>
        <w:t xml:space="preserve">Superannuation Guarantee</w:t>
      </w:r>
      <w:r>
        <w:t xml:space="preserve"> </w:t>
      </w:r>
      <w:r>
        <w:t xml:space="preserve">à 9 % en 2002, puis quand Abbott l’a regelé en 2014, quinze ans ont été perdus sur un déploiement de trente-trois.</w:t>
      </w:r>
      <w:r>
        <w:rPr>
          <w:rStyle w:val="FootnoteReference"/>
        </w:rPr>
        <w:footnoteReference w:id="10"/>
      </w:r>
      <w:r>
        <w:t xml:space="preserve"> </w:t>
      </w:r>
      <w:r>
        <w:t xml:space="preserve">Ce n’est pas la réforme qui a échoué — c’est l’absence de paliers inscrits dans la loi qui l’a rendue réversible. Sans calendrier légalement opposable, le premier gouvernement contraire annule par décret ce que le précédent avait gravé en feuille de route. La France, qui change de majorité tous les cinq ans en moyenne depuis 1997, n’a pas de raison de croire qu’elle échappera à cette loi générale. Si les paliers de cotisation ne sont pas dans la loi initiale, ils n’existent pas.</w:t>
      </w:r>
    </w:p>
    <w:p>
      <w:pPr>
        <w:pStyle w:val="BodyText"/>
      </w:pPr>
      <w:r>
        <w:t xml:space="preserve">La temporalité, donc, n’est pas une question d’ambition. C’est une question d’architecture juridique. Les pays qui ont tenu — Suède, Royaume-Uni, Canada, Pays-Bas — n’ont pas eu plus de volonté politique que la France. Ils ont eu des trajectoires inscrites dans le texte même de la loi, avec des majorités qualifiées requises pour y déroger. Si l’on veut que les premières cohortes ayant cotisé vingt-cinq ans complets perçoivent leurs rentes capitalisées vers 2050, la cotisation doit être effective dès 2027. Décaler de cinq ans, c’est décaler de cinq ans les premières rentes. C’est aussi laisser cinq ans de plus au système de répartition se dégrader seul.</w:t>
      </w:r>
    </w:p>
    <w:p>
      <w:pPr>
        <w:pStyle w:val="BodyText"/>
      </w:pPr>
      <w:r>
        <w:t xml:space="preserve">L’autre enjeu structurel — celui qui a tué Thomas en 1997, Delevoye en 2019, Borne en 2023 — est le double paiement. Il faut le prendre au sérieux, parce qu’il est réel. Dans toute transition d’un système en répartition pure vers un système mixte, les actifs financent simultanément deux choses : les retraités d’aujourd’hui, via les cotisations existantes qu’il n’est pas question de supprimer, et une fraction de leur propre retraite future, via la cotisation capitalisée nouvelle. La charge totale est, par construction, supérieure à la charge initiale pendant la période de transition. Ce n’est pas un argument contre la réforme — c’est la description d’une mécanique qui vaut pour chaque pays qui l’a traversée.</w:t>
      </w:r>
      <w:r>
        <w:rPr>
          <w:rStyle w:val="FootnoteReference"/>
        </w:rPr>
        <w:footnoteReference w:id="11"/>
      </w:r>
    </w:p>
    <w:p>
      <w:pPr>
        <w:pStyle w:val="BodyText"/>
      </w:pPr>
      <w:r>
        <w:t xml:space="preserve">Ce qui est faux, en revanche, c’est l’idée que ce surcoût transitoire doit être financé par un grand versement d’État. Aucun pays comparable ne l’a financé ainsi. Pas la Suède, pas l’Australie, pas le Royaume-Uni, pas le Canada. Chacun a trouvé son équation propre — et c’est ce point qui mérite d’être dit clairement : ce n’est pas une équation comptable à résoudre sur un tableur, c’est une équation politique à négocier entre des acteurs avec des intérêts divergents. Qui paie quoi, à quel rythme, sur combien d’années. La France dispose, comme les autres, d’un répertoire de leviers. Il y a d’abord le Fonds de réserve pour les retraites — environ vingt milliards d’euros qui dorment depuis quinze ans, affectés au colmatage annuel de la CADES alors que leur vocation initiale, la loi de 2001, était de financer le choc démographique des années 2020.</w:t>
      </w:r>
      <w:r>
        <w:rPr>
          <w:rStyle w:val="FootnoteReference"/>
        </w:rPr>
        <w:footnoteReference w:id="12"/>
      </w:r>
      <w:r>
        <w:t xml:space="preserve"> </w:t>
      </w:r>
      <w:r>
        <w:t xml:space="preserve">Il y a la cotisation patronale nouvelle, qui peut monter progressivement et qui, comme en Australie, offre l’avantage de ne pas être perçue immédiatement comme une amputation de salaire. Il y a le redéploiement marginal d’un point d’AGIRC-ARRCO, à condition d’un accord paritaire. Il y a la piste des eurobonds retraite, instrument nouveau mais qui suit la logique du NextGenerationEU : lisser une charge transitoire sur les marchés européens plutôt que de l’encaisser en une seule bosse nationale. Ces leviers n’ont pas à être tous activés en même temps ni au maximum. La durabilité des systèmes étrangers repose précisément sur la combinaison raisonnée de plusieurs flux modérés plutôt que sur l’épuisement d’un seul. L’ordre de grandeur acceptable est celui-ci : le coût net annuel pour les finances publiques pendant la transition sera de trois à cinq milliards par an — à comparer aux quarante-cinq milliards de déficit annuel que le COR projette en 2070 dans le scénario tendanciel.</w:t>
      </w:r>
      <w:r>
        <w:rPr>
          <w:rStyle w:val="FootnoteReference"/>
        </w:rPr>
        <w:footnoteReference w:id="13"/>
      </w:r>
      <w:r>
        <w:t xml:space="preserve"> </w:t>
      </w:r>
      <w:r>
        <w:t xml:space="preserve">Dix fois moins de coût de transition que de coût d’inaction.</w:t>
      </w:r>
    </w:p>
    <w:p>
      <w:pPr>
        <w:pStyle w:val="BodyText"/>
      </w:pPr>
      <w:r>
        <w:t xml:space="preserve">La question de la segmentation arrive ensuite, moins spectaculaire mais non moins décisive. Faut-il intégrer tous les actifs en même temps ? Aucun pays comparable ne l’a fait — techniquement impossible, politiquement explosif. Il existe trois pistes documentées. La cohorte d’âge, modèle suédois 1938-1954 : les plus jeunes entrent dans le système capitalisé à 100 %, les cohortes intermédiaires progressivement, les actifs proches de la retraite restent en répartition pure. L’avantage est l’optimisation du rendement composé sur quarante ans pour les jeunes cohortes. La limite est la fragilité juridique d’une rupture trop nette entre générations au regard de la jurisprudence européenne sur l’égalité de traitement. La seconde piste est le staging par taille d’entreprise, modèle britannique 2012-2018 : les grandes entreprises entrent en premier, les TPE et indépendants six ans après. C’est la voie la plus pragmatique — elle permet d’ajuster les frictions administratives en commençant par les acteurs les mieux outillés, et elle évite le contentieux de rupture générationnelle. La troisième piste, l’opt-in volontaire, mérite une mise en garde explicite : l’échec du Riester allemand et l’insuffisance du PER français le montrent ensemble.</w:t>
      </w:r>
      <w:r>
        <w:rPr>
          <w:rStyle w:val="FootnoteReference"/>
        </w:rPr>
        <w:footnoteReference w:id="14"/>
      </w:r>
      <w:r>
        <w:t xml:space="preserve"> </w:t>
      </w:r>
      <w:r>
        <w:t xml:space="preserve">Sans auto-enrolment ou obligation, seuls les déjà-épargnants entrent dans le dispositif. On fabrique un système qui protège les CSP+ et laisse passer les carrières fragmentées. C’est exactement l’opposé de ce qu’une politique de retraite doit faire.</w:t>
      </w:r>
    </w:p>
    <w:p>
      <w:pPr>
        <w:pStyle w:val="BodyText"/>
      </w:pPr>
      <w:r>
        <w:t xml:space="preserve">L’acceptabilité sociale est le quatrième enjeu, et c’est celui qui a le plus bougé depuis la tentative Thomas. Le rapport de force de 2026 n’est plus celui de 1997. Un sondage Odoxa-Groupama de novembre 2025 mesure que cinquante-sept pour cent des Français se déclarent favorables à un système mixte mélangeant répartition et capitalisation.</w:t>
      </w:r>
      <w:r>
        <w:rPr>
          <w:rStyle w:val="FootnoteReference"/>
        </w:rPr>
        <w:footnoteReference w:id="15"/>
      </w:r>
      <w:r>
        <w:t xml:space="preserve"> </w:t>
      </w:r>
      <w:r>
        <w:t xml:space="preserve">Le baromètre AMF d’octobre 2024 indique que cinquante-huit pour cent des Français se disent inquiets pour leur retraite, soixante-six pour cent chez les non-retraités.</w:t>
      </w:r>
      <w:r>
        <w:rPr>
          <w:rStyle w:val="FootnoteReference"/>
        </w:rPr>
        <w:footnoteReference w:id="16"/>
      </w:r>
      <w:r>
        <w:t xml:space="preserve"> </w:t>
      </w:r>
      <w:r>
        <w:t xml:space="preserve">Ce n’est pas une opinion acquise pour toujours — c’est un actif politique périssable, qui peut se défaire si la peur l’emporte à nouveau sur la conviction. Mais il est là.</w:t>
      </w:r>
    </w:p>
    <w:p>
      <w:pPr>
        <w:pStyle w:val="BodyText"/>
      </w:pPr>
      <w:r>
        <w:t xml:space="preserve">Les positions syndicales sont plus fragmentées qu’on ne le dit généralement. La CGT et FO refusent par principe. La CFDT s’ouvre prudemment, sous condition d’équité et de généralisation — c’est la position publique de Marylise Léon. La CFE-CGC, sous la présidence de Christelle Thieffine, est favorable de manière explicite, conditionnée à la préservation du socle répartition.</w:t>
      </w:r>
      <w:r>
        <w:rPr>
          <w:rStyle w:val="FootnoteReference"/>
        </w:rPr>
        <w:footnoteReference w:id="17"/>
      </w:r>
      <w:r>
        <w:t xml:space="preserve"> </w:t>
      </w:r>
      <w:r>
        <w:t xml:space="preserve">Côté patronal, MEDEF, CPME et U2P sont alignés. Un accord CFDT-CFE-CGC avec les organisations patronales est arithmétiquement constructible, laissant CGT et FO en opposition ouverte. C’est la configuration que les Pays-Bas ont réalisée en 2019 avec leur</w:t>
      </w:r>
      <w:r>
        <w:t xml:space="preserve"> </w:t>
      </w:r>
      <w:r>
        <w:rPr>
          <w:i/>
          <w:iCs/>
        </w:rPr>
        <w:t xml:space="preserve">Pensioenakkoord</w:t>
      </w:r>
      <w:r>
        <w:t xml:space="preserve"> </w:t>
      </w:r>
      <w:r>
        <w:t xml:space="preserve">— un accord sans unanimité, mais avec une majorité sociale suffisante pour que la loi résiste aux alternances suivantes.</w:t>
      </w:r>
      <w:r>
        <w:rPr>
          <w:rStyle w:val="FootnoteReference"/>
        </w:rPr>
        <w:footnoteReference w:id="18"/>
      </w:r>
    </w:p>
    <w:p>
      <w:pPr>
        <w:pStyle w:val="BodyText"/>
      </w:pPr>
      <w:r>
        <w:t xml:space="preserve">Le cinquième enjeu — et le plus surestimé — est la contrainte juridique et constitutionnelle. Aucune révision constitutionnelle n’est nécessaire. L’alinéa 11 du Préambule de 1946 garantit à tous la sécurité matérielle — il ne prescrit pas la répartition comme seul instrument.</w:t>
      </w:r>
      <w:r>
        <w:rPr>
          <w:rStyle w:val="FootnoteReference"/>
        </w:rPr>
        <w:footnoteReference w:id="19"/>
      </w:r>
      <w:r>
        <w:t xml:space="preserve"> </w:t>
      </w:r>
      <w:r>
        <w:t xml:space="preserve">Le Conseil constitutionnel n’a jamais déduit de ce texte que la forme capitalisée était inadmissible. L’article 34 de la Constitution réserve à la loi la fixation des principes fondamentaux de la sécurité sociale : une loi ordinaire suffit pour créer un fonds capitalisé public. La loi Thomas a été votée constitutionnellement en mars 1997 — elle a été abrogée pour des raisons politiques en 2002, pas parce qu’un juge avait constaté une illégalité. Le verrou n’était pas le droit. Le verrou était l’absence de pacte.</w:t>
      </w:r>
      <w:r>
        <w:rPr>
          <w:rStyle w:val="FootnoteReference"/>
        </w:rPr>
        <w:footnoteReference w:id="20"/>
      </w:r>
      <w:r>
        <w:t xml:space="preserve"> </w:t>
      </w:r>
      <w:r>
        <w:t xml:space="preserve">C’est ce que cinq générations de commentateurs juridiques ont confondu, et c’est l’une des confusions les plus coûteuses de la politique sociale française. Résoudre le problème politique en plaidant le problème constitutionnel, c’est éviter la négociation en simulant une impossibilité.</w:t>
      </w:r>
    </w:p>
    <w:p>
      <w:pPr>
        <w:pStyle w:val="BodyText"/>
      </w:pPr>
      <w:r>
        <w:t xml:space="preserve">Les cinq enjeux ne sont pas des obstacles. Ce sont les dimensions d’une seule et même question : comment construire un pacte qui tienne assez longtemps pour que le temps fasse son travail. La temporalité exige des paliers dans la loi. Le double paiement exige une équation politique négociée, pas comptable. La segmentation exige un auto-enrolment progressif plutôt que l’utopie de l’unanimité simultanée. L’acceptabilité exige de partir de ce qui existe — un accord syndical possible, une opinion mûre — plutôt que de l’attendre parfaite. Et le juridique exige seulement qu’on cesse de l’utiliser comme alibi. Reste à savoir par quelle voie politique on engage ce pacte.</w:t>
      </w:r>
    </w:p>
    <w:p>
      <w:r>
        <w:pict>
          <v:rect style="width:0;height:1.5pt" o:hralign="center" o:hrstd="t" o:hr="t"/>
        </w:pict>
      </w:r>
    </w:p>
    <w:bookmarkEnd w:id="21"/>
    <w:bookmarkStart w:id="29" w:name="chapitre-5.2-deux-voies-et-une-à-éviter"/>
    <w:p>
      <w:pPr>
        <w:pStyle w:val="Heading2"/>
      </w:pPr>
      <w:r>
        <w:t xml:space="preserve">Chapitre 5.2 — Deux voies, et une à éviter</w:t>
      </w:r>
    </w:p>
    <w:p>
      <w:pPr>
        <w:pStyle w:val="FirstParagraph"/>
      </w:pPr>
      <w:r>
        <w:t xml:space="preserve">L’été 1991, la Suède est en état de choc économique. Sa couronne vient d’être dévaluée pour la troisième fois en dix-huit mois. Le déficit public dépasse douze pour cent du PIB. La Banque centrale porte son taux directeur à cinq cents pour cent pendant quelques jours pour défendre la monnaie en novembre 1992. Dans ce contexte, deux hommes qui ne se supportent guère politiquement — le social-démocrate Ingvar Carlsson et le conservateur Carl Bildt — décident de nommer un groupe de travail interpartis pour réformer le système de retraite. À sa tête, Bo Könberg, ministre libéral de la Santé, et Anna Hedborg, sociale-démocrate.</w:t>
      </w:r>
      <w:r>
        <w:rPr>
          <w:rStyle w:val="FootnoteReference"/>
        </w:rPr>
        <w:footnoteReference w:id="22"/>
      </w:r>
      <w:r>
        <w:t xml:space="preserve"> </w:t>
      </w:r>
      <w:r>
        <w:t xml:space="preserve">Trois ans de négociations, des centaines de réunions techniques. En 1994, le Parlement vote les grands principes à plus de quatre-vingt-cinq pour cent des suffrages. La loi définitive arrive en 1998. Le système entre en vigueur le 1er janvier 1999.</w:t>
      </w:r>
    </w:p>
    <w:p>
      <w:pPr>
        <w:pStyle w:val="BodyText"/>
      </w:pPr>
      <w:r>
        <w:t xml:space="preserve">Trente ans plus tard, personne n’a touché à l’architecture fondamentale. Sous des gouvernements de toutes couleurs — social-démocrates, de droite, d’extrême-droite — le pilier capitalisé suédois a survécu, parce que cinq partis sur sept avaient signé avant le vote. Ce n’est pas de la philosophie politique. C’est de la mécanique institutionnelle : ce qui est négocié avant tient ; ce qui est voté sans pacte se défait à l’alternance suivante. Le Royaume-Uni a reproduit le même modèle, à sa façon. La Commission Turner, mandatée en 2002, a produit trois rapports entre 2004 and 2006 — ratifiés transpartisans, acceptés par Travaillistes et Conservateurs avant que le</w:t>
      </w:r>
      <w:r>
        <w:t xml:space="preserve"> </w:t>
      </w:r>
      <w:r>
        <w:rPr>
          <w:i/>
          <w:iCs/>
        </w:rPr>
        <w:t xml:space="preserve">Pensions Act 2008</w:t>
      </w:r>
      <w:r>
        <w:t xml:space="preserve"> </w:t>
      </w:r>
      <w:r>
        <w:t xml:space="preserve">ne soit voté à une majorité quasi-unanime.</w:t>
      </w:r>
      <w:r>
        <w:rPr>
          <w:rStyle w:val="FootnoteReference"/>
        </w:rPr>
        <w:footnoteReference w:id="23"/>
      </w:r>
      <w:r>
        <w:t xml:space="preserve"> </w:t>
      </w:r>
      <w:r>
        <w:t xml:space="preserve">Les Pays-Bas ont fait de même avec leur</w:t>
      </w:r>
      <w:r>
        <w:t xml:space="preserve"> </w:t>
      </w:r>
      <w:r>
        <w:rPr>
          <w:i/>
          <w:iCs/>
        </w:rPr>
        <w:t xml:space="preserve">Pensioenakkoord</w:t>
      </w:r>
      <w:r>
        <w:t xml:space="preserve">, né d’années de négociations entre le gouvernement, les syndicats FNV et CNV, et les organisations patronales, aboutissant au vote de la</w:t>
      </w:r>
      <w:r>
        <w:t xml:space="preserve"> </w:t>
      </w:r>
      <w:r>
        <w:rPr>
          <w:i/>
          <w:iCs/>
        </w:rPr>
        <w:t xml:space="preserve">Wet toekomst pensioenen</w:t>
      </w:r>
      <w:r>
        <w:t xml:space="preserve"> </w:t>
      </w:r>
      <w:r>
        <w:t xml:space="preserve">le 30 mai 2023.</w:t>
      </w:r>
      <w:r>
        <w:rPr>
          <w:rStyle w:val="FootnoteReference"/>
        </w:rPr>
        <w:footnoteReference w:id="24"/>
      </w:r>
      <w:r>
        <w:t xml:space="preserve"> </w:t>
      </w:r>
      <w:r>
        <w:t xml:space="preserve">La durabilité de ces trois réformes repose sur un seul principe : le diagnostic public est partagé avant l’accord, et l’accord est signé avant la loi.</w:t>
      </w:r>
    </w:p>
    <w:p>
      <w:pPr>
        <w:pStyle w:val="BodyText"/>
      </w:pPr>
      <w:r>
        <w:t xml:space="preserve">L’avantage de cette voie est évident. L’inconvénient l’est aussi : la lenteur. Trois ans en Suède, six au Royaume-Uni, quatre aux Pays-Bas entre le premier groupe de travail et le vote. Puis les cohortes, qui s’étendent sur quinze ans supplémentaires en Suède. Pour un exécutif qui veut voir des résultats dans son mandat, c’est une épreuve de patience politique que peu de gouvernements français ont été capables de s’imposer.</w:t>
      </w:r>
    </w:p>
    <w:p>
      <w:pPr>
        <w:pStyle w:val="BodyText"/>
      </w:pPr>
      <w:r>
        <w:t xml:space="preserve">C’est là qu’entre la deuxième voie. En 1985, dans un bureau de Canberra, Bob Hawke, Premier ministre travailliste, Paul Keating, Trésorier, et Bill Kelty, secrétaire général de l’Australian Council of Trade Unions, signent l’</w:t>
      </w:r>
      <w:r>
        <w:rPr>
          <w:i/>
          <w:iCs/>
        </w:rPr>
        <w:t xml:space="preserve">Accord Prices and Incomes Mark II</w:t>
      </w:r>
      <w:r>
        <w:t xml:space="preserve">.</w:t>
      </w:r>
      <w:r>
        <w:rPr>
          <w:rStyle w:val="FootnoteReference"/>
        </w:rPr>
        <w:footnoteReference w:id="25"/>
      </w:r>
      <w:r>
        <w:t xml:space="preserve"> </w:t>
      </w:r>
      <w:r>
        <w:t xml:space="preserve">Le principe est simple et audacieux : les syndicats acceptent une modération salariale en échange de capital différé — les employeurs versent une cotisation pension croissante qui compense, à terme, le manque à gagner sur les salaires immédiats. Ce n’est pas un accord unanime. C’est un pacte ferme avec l’acteur syndical central, traduit en loi sept ans plus tard, en 1992. Les cotisations commencent à couler dès 1986. La première cohorte australienne capitalisée commence à épargner avant la fin du mandat de Hawke. C’est, en démocratie majoritaire, un atout politique décisif — les cotisants voient leur compte croître pendant que le gouvernement qui porte la réforme est encore au pouvoir.</w:t>
      </w:r>
    </w:p>
    <w:p>
      <w:pPr>
        <w:pStyle w:val="BodyText"/>
      </w:pPr>
      <w:r>
        <w:t xml:space="preserve">La différence entre les deux voies n’est pas une différence de valeurs. C’est une différence de calendrier et d’appui politique. La voie suédoise cherche l’accord le plus large possible — elle maximise la durabilité en minimisant la vitesse. La voie australienne maximise la vitesse en s’appuyant sur un partenaire central suffisamment puissant pour que les alternances suivantes n’osent pas défaire ce qui est populaire. Les deux ont tenu. Les deux ont, en retour, leurs exigences propres. La voie suédoise exige des leaders politiques capables de négocier avec leurs adversaires pendant trois ans sans tuer le projet dans un calcul partisan. La voie australienne exige l’existence d’un Bill Kelty — un acteur syndical assez fort et assez visionnaire pour prendre ce pari au nom de millions de salariés.</w:t>
      </w:r>
    </w:p>
    <w:p>
      <w:pPr>
        <w:pStyle w:val="BodyText"/>
      </w:pPr>
      <w:r>
        <w:t xml:space="preserve">Pour la France, les questions sont nettes. Qui peut tenir le rôle de Bo Könberg ? Qui peut tenir le rôle de Bill Kelty ? Ces noms, à ce jour, manquent. Il n’y a pas en France de groupe de travail interpartis mandaté sur la capitalisation. Il n’y a pas d’accord syndical qui préfigure le vote. Il y a des sondages favorables et des économistes convaincus, mais ni le pacte suédois ni le contrat australien. Ce n’est pas une fatalité — c’est une raison de se mettre au travail, pas de se lamenter.</w:t>
      </w:r>
    </w:p>
    <w:p>
      <w:pPr>
        <w:pStyle w:val="BodyText"/>
      </w:pPr>
      <w:r>
        <w:t xml:space="preserve">Ce que ni l’une ni l’autre voie n’autorise en revanche, c’est la troisième — celle que le Chili a empruntée en 1981 et que la France ne saurait imiter. En novembre 1980, José Piñera, ministre du Travail du régime Pinochet, publie le décret-loi 3500 : il substitue intégralement la capitalisation individuelle à la répartition, sans débat parlementaire, sans accord syndical, sans consultation des partenaires sociaux.</w:t>
      </w:r>
      <w:r>
        <w:rPr>
          <w:rStyle w:val="FootnoteReference"/>
        </w:rPr>
        <w:footnoteReference w:id="26"/>
      </w:r>
      <w:r>
        <w:t xml:space="preserve"> </w:t>
      </w:r>
      <w:r>
        <w:t xml:space="preserve">Les AFP —</w:t>
      </w:r>
      <w:r>
        <w:t xml:space="preserve"> </w:t>
      </w:r>
      <w:r>
        <w:rPr>
          <w:i/>
          <w:iCs/>
        </w:rPr>
        <w:t xml:space="preserve">Administradoras de Fondos de Pensiones</w:t>
      </w:r>
      <w:r>
        <w:t xml:space="preserve"> </w:t>
      </w:r>
      <w:r>
        <w:t xml:space="preserve">— sont privées et en concurrence. La part de marché du fonds le moins cher à la signature en 1981 détenait à terme environ la moitié des affiliés — un résultat de gestion commerciale, pas de performance de long terme.</w:t>
      </w:r>
    </w:p>
    <w:p>
      <w:pPr>
        <w:pStyle w:val="BodyText"/>
      </w:pPr>
      <w:r>
        <w:t xml:space="preserve">Quarante-cinq ans après, le constat est sévère. Le taux de remplacement médian des pensions AFP est autour de trente-huit pour cent — inférieur à ce que promettait l’ancien système pour la majorité des travailleurs.</w:t>
      </w:r>
      <w:r>
        <w:rPr>
          <w:rStyle w:val="FootnoteReference"/>
        </w:rPr>
        <w:footnoteReference w:id="27"/>
      </w:r>
      <w:r>
        <w:t xml:space="preserve"> </w:t>
      </w:r>
      <w:r>
        <w:t xml:space="preserve">L’</w:t>
      </w:r>
      <w:r>
        <w:rPr>
          <w:i/>
          <w:iCs/>
        </w:rPr>
        <w:t xml:space="preserve">estallido social</w:t>
      </w:r>
      <w:r>
        <w:t xml:space="preserve"> </w:t>
      </w:r>
      <w:r>
        <w:t xml:space="preserve">d’octobre 2019 place la question des retraites au cœur de la révolte. En janvier 2025, la loi 21735 est votée à cent dix voix contre trente-huit par le Congrès chilien : elle réintroduit une cotisation patronale de sept pour cent sur dix ans, un pilier solidaire universel, un plancher de prestation.</w:t>
      </w:r>
      <w:r>
        <w:rPr>
          <w:rStyle w:val="FootnoteReference"/>
        </w:rPr>
        <w:footnoteReference w:id="28"/>
      </w:r>
      <w:r>
        <w:t xml:space="preserve"> </w:t>
      </w:r>
      <w:r>
        <w:t xml:space="preserve">Le Chili est revenu à ce qu’il avait refusé en 1981. Ce que la France, sans jamais avoir eu à l’imposer par la force, continue de refuser par conviction. Si la France suivait la voie chilienne, elle n’aurait pas l’excuse du régime militaire pour justifier le manque de concertation. Elle aurait seulement la certitude de reproduire l’échec sans l’alibi.</w:t>
      </w:r>
    </w:p>
    <w:p>
      <w:pPr>
        <w:pStyle w:val="BodyText"/>
      </w:pPr>
      <w:r>
        <w:t xml:space="preserve">Qui en France peut tenir le rôle de Bo Könberg ? Le rôle de Bill Kelty ? Pour l’instant, ces noms manquent. Ce n’est pas une fatalité ; c’est une raison de se mettre au travail.</w:t>
      </w:r>
    </w:p>
    <w:p>
      <w:r>
        <w:pict>
          <v:rect style="width:0;height:1.5pt" o:hralign="center" o:hrstd="t" o:hr="t"/>
        </w:pict>
      </w:r>
    </w:p>
    <w:bookmarkEnd w:id="29"/>
    <w:bookmarkStart w:id="40" w:name="Xb2ca01c98755754c789468b3511682210d97cca"/>
    <w:p>
      <w:pPr>
        <w:pStyle w:val="Heading2"/>
      </w:pPr>
      <w:r>
        <w:t xml:space="preserve">Chapitre 5.3 — Vingt-cinq ans, et trois bénéfices qui suivent</w:t>
      </w:r>
    </w:p>
    <w:p>
      <w:pPr>
        <w:pStyle w:val="FirstParagraph"/>
      </w:pPr>
      <w:r>
        <w:t xml:space="preserve">Toute réforme structurelle qui commence en 2027 commence dans un champ de mines politiques. La présidentielle vient de passer. Les corps intermédiaires sont en position d’attente. L’opinion est favorable à cinquante-sept pour cent — ce qui veut dire que quarante-trois pour cent sont indifférents ou hostiles. Le premier mouvement est donc le plus fragile, et le plus décisif.</w:t>
      </w:r>
    </w:p>
    <w:p>
      <w:pPr>
        <w:pStyle w:val="BodyText"/>
      </w:pPr>
      <w:r>
        <w:t xml:space="preserve">Ce premier mouvement — appelons-le l’amorçage — suppose trois gestes distincts. D’abord, une commission indépendante préalable, mandatée au lendemain de la présidentielle, sur le modèle Turner. Son rôle n’est pas de décider mais de produire un diagnostic public partagé : des projections démographiques non contestées, des comparaisons internationales rigoureuses, une modélisation du coût de transition. Sans cette étape, le débat politique bute sur des chiffres concurrents et l’opinion ne peut pas arbitrer. L’accord pluripartite doit venir ensuite — et venir avant la loi. C’est le principe que toutes les réformes durables ont respecté. Thomas 1997 a sauté cette étape. Delevoye 2019 aussi. Borne 2023 de même. Trois tentatives, même schéma : vote sans pacte, défaite sans surprise.</w:t>
      </w:r>
      <w:r>
        <w:rPr>
          <w:rStyle w:val="FootnoteReference"/>
        </w:rPr>
        <w:footnoteReference w:id="30"/>
      </w:r>
      <w:r>
        <w:t xml:space="preserve"> </w:t>
      </w:r>
      <w:r>
        <w:t xml:space="preserve">Le résultat de la commission crée les conditions d’un accord que personne ne peut nier avoir signé. Puis vient le redéploiement du Fonds de réserve pour les retraites — environ vingt milliards d’euros d’encours fin 2024, dont le rendement annualisé sur la période 2003-2024 est proche de quatre virgule un pour cent réel net — vers un nouveau fonds capitalisé.</w:t>
      </w:r>
      <w:r>
        <w:rPr>
          <w:rStyle w:val="FootnoteReference"/>
        </w:rPr>
        <w:footnoteReference w:id="31"/>
      </w:r>
      <w:r>
        <w:t xml:space="preserve"> </w:t>
      </w:r>
      <w:r>
        <w:t xml:space="preserve">C’est un geste politique visible : de l’argent qui existait déjà, mal employé depuis quinze ans à colmater la CADES, remis enfin au travail pour sa vocation d’origine. Et c’est une dotation initiale qui permet aux premières cotisations patronales de ne pas partir dans le vide institutionnel d’un fonds vide. La cotisation patronale elle-même démarrerait modestement — zéro virgule cinq pour cent la première année — mais inscrite dans la loi par paliers annuels, gravée de telle sorte qu’aucune alternance ne puisse la geler sans modifier explicitement la loi. C’est la leçon australienne, tirée à la dure.</w:t>
      </w:r>
    </w:p>
    <w:p>
      <w:pPr>
        <w:pStyle w:val="BodyText"/>
      </w:pPr>
      <w:r>
        <w:t xml:space="preserve">Le deuxième mouvement — le déploiement — couvre une douzaine d’années. L’auto-enrolment universel est mis en place par taille d’entreprise, en commençant par les grands groupes et en finissant par les TPE et les indépendants. Le modèle britannique NEST — treize millions de membres, couverture de quatre-vingts pour cent des éligibles en sept ans — montre que le staging ne dilue pas le système : il l’enracine progressivement dans les pratiques des employeurs et des salariés, laissant le temps à chaque vague de s’adapter avant d’inclure la suivante.</w:t>
      </w:r>
      <w:r>
        <w:rPr>
          <w:rStyle w:val="FootnoteReference"/>
        </w:rPr>
        <w:footnoteReference w:id="32"/>
      </w:r>
      <w:r>
        <w:t xml:space="preserve"> </w:t>
      </w:r>
      <w:r>
        <w:t xml:space="preserve">La cotisation patronale monte vers deux à quatre pour cent de la masse salariale. Un fonds par défaut public est créé, à gouvernance paritaire, frais limités par régulation prudentielle, avec gestion en cycle de vie pour amortir les risques à l’approche de la retraite. Ce n’est pas un produit commercial de plus sur une liste de plusieurs centaines. C’est le choix par défaut pour qui n’a pas les moyens, l’expertise ou le temps de choisir lui-même — c’est-à-dire la majorité des cotisants français. Et puis il y a la question du fléchage. Pas un protectionnisme financier — la diversification prudentielle interdit de tout investir dans un seul pays, et les cotisants auraient raison de s’y opposer. Mais un</w:t>
      </w:r>
      <w:r>
        <w:t xml:space="preserve"> </w:t>
      </w:r>
      <w:r>
        <w:rPr>
          <w:i/>
          <w:iCs/>
        </w:rPr>
        <w:t xml:space="preserve">home bias</w:t>
      </w:r>
      <w:r>
        <w:t xml:space="preserve"> </w:t>
      </w:r>
      <w:r>
        <w:t xml:space="preserve">assumé, entre dix et vingt-cinq pour cent de l’encours dirigés vers les PME et ETI françaises, comparable à ce que font tous les grands fonds publics mondiaux dans leur économie nationale.</w:t>
      </w:r>
      <w:r>
        <w:rPr>
          <w:rStyle w:val="FootnoteReference"/>
        </w:rPr>
        <w:footnoteReference w:id="33"/>
      </w:r>
      <w:r>
        <w:t xml:space="preserve"> </w:t>
      </w:r>
      <w:r>
        <w:t xml:space="preserve">Les deux cent quarante mille entreprises sans repreneur identifié sur la prochaine décennie ne seront pas rachetées par les fonds étrangers si les fonds français existent pour le faire.</w:t>
      </w:r>
    </w:p>
    <w:p>
      <w:pPr>
        <w:pStyle w:val="BodyText"/>
      </w:pPr>
      <w:r>
        <w:t xml:space="preserve">Le troisième mouvement — la maturité — commence vers 2043, quand les premières cohortes ayant déployé vingt-cinq années de cotisations complètes approchent de la retraite. La répartition n’a pas disparu. Elle pèse toujours pour les deux tiers du revenu de retraite des générations qui arrivent à l’âge légal à cette époque. Mais elle est désormais épaulée par un tiers capitalisé qui amortit le choc démographique — le ratio cotisants-retraités que le COR projette à un virgule quarante-et-un en 2070 dans le scénario statu quo ne peut pas être arrêté, mais ses effets sur les pensions peuvent être partiellement compensés par des actifs capitalisés qui ne dépendent pas de ce ratio. À cet horizon, l’encours capitalisé français devrait approcher les mille cinq cents milliards d’euros — soit environ cinquante pour cent du PIB, la position du Canada à mi-parcours de son propre déploiement, encore loin du Royaume-Uni et des Pays-Bas, mais hors du peloton de queue européen où la France se trouve aujourd’hui à treize pour cent.</w:t>
      </w:r>
      <w:r>
        <w:rPr>
          <w:rStyle w:val="FootnoteReference"/>
        </w:rPr>
        <w:footnoteReference w:id="34"/>
      </w:r>
      <w:r>
        <w:t xml:space="preserve"> </w:t>
      </w:r>
      <w:r>
        <w:t xml:space="preserve">Ce chiffre n’est pas une promesse — c’est un ordre de grandeur qui suppose les hypothèses de cotisation et de rendement réel que la décennie 2000-2025 a documentées chez les fonds étrangers comparables.</w:t>
      </w:r>
    </w:p>
    <w:p>
      <w:r>
        <w:pict>
          <v:rect style="width:0;height:1.5pt" o:hralign="center" o:hrstd="t" o:hr="t"/>
        </w:pict>
      </w:r>
    </w:p>
    <w:p>
      <w:pPr>
        <w:pStyle w:val="FirstParagraph"/>
      </w:pPr>
      <w:r>
        <w:t xml:space="preserve">Là où ces trois mouvements produisent leurs effets les plus profonds, c’est dans ce que la feuille de route ne peut pas complètement montrer pendant les premières années : les bénéfices systémiques qui mûrissent avec le capital.</w:t>
      </w:r>
    </w:p>
    <w:p>
      <w:pPr>
        <w:pStyle w:val="BodyText"/>
      </w:pPr>
      <w:r>
        <w:t xml:space="preserve">Le premier est budgétaire. La France consacre treize virgule huit pour cent de son PIB aux pensions — quatrième taux de l’OCDE, à égalité avec la Grèce, loin devant l’Allemagne ou le Royaume-Uni.</w:t>
      </w:r>
      <w:r>
        <w:rPr>
          <w:rStyle w:val="FootnoteReference"/>
        </w:rPr>
        <w:footnoteReference w:id="35"/>
      </w:r>
      <w:r>
        <w:t xml:space="preserve"> </w:t>
      </w:r>
      <w:r>
        <w:t xml:space="preserve">Cette dépense est mécanique : elle suit le ratio cotisants-retraités. Quand ce ratio baisse, la dépense monte — sauf si une part de la charge est portée par des actifs capitalisés plutôt que par les cotisations courantes. La trajectoire suédoise, après 1998, est éclairante : la dépense publique de retraite est passée de onze pour cent à sept pour cent du PIB sur vingt ans, sans qu’aucun retraité suédois ne s’appauvrisse — parce que le pilier capitalisé a pris une part croissante de la charge.</w:t>
      </w:r>
      <w:r>
        <w:rPr>
          <w:rStyle w:val="FootnoteReference"/>
        </w:rPr>
        <w:footnoteReference w:id="36"/>
      </w:r>
      <w:r>
        <w:t xml:space="preserve"> </w:t>
      </w:r>
      <w:r>
        <w:t xml:space="preserve">Pour la France, une baisse de deux à quatre points de PIB à régime stationnaire représente entre cinquante et cent dix milliards d’euros par an de dépense publique économisée. Ce n’est pas de l’argent gagné sur le dos des retraités : c’est l’allègement que le capital — et non le contribuable — financerait à leur place.</w:t>
      </w:r>
    </w:p>
    <w:p>
      <w:pPr>
        <w:pStyle w:val="BodyText"/>
      </w:pPr>
      <w:r>
        <w:t xml:space="preserve">Le deuxième bénéfice est fiscal. Le capital investi produit du rendement. Ce rendement produit de l’impôt — sur les sociétés dont les fonds détiennent les actions, sur le revenu des pensions capitalisées elles-mêmes, sur la consommation de retraités dont le pouvoir d’achat est préservé. Une modélisation de l’Institut pour l’Audace Politique, publiée en 2025, chiffre à environ cent soixante-quinze milliards d’euros les recettes fiscales additionnelles cumulées sur dix ans dans l’hypothèse d’un déploiement à deux pour cent de cotisation patronale.</w:t>
      </w:r>
      <w:r>
        <w:rPr>
          <w:rStyle w:val="FootnoteReference"/>
        </w:rPr>
        <w:footnoteReference w:id="37"/>
      </w:r>
      <w:r>
        <w:t xml:space="preserve"> </w:t>
      </w:r>
      <w:r>
        <w:t xml:space="preserve">Il faut prendre ce chiffre pour ce qu’il est — une estimation paramétrique, sensible aux hypothèses de rendement et d’incidence fiscale — mais l’ordre de grandeur est cohérent avec ce que les économistes des fonds de pension étrangers ont observé dans les pays comparables. L’épargne qui cesse d’être stérile dans un fonds en euros à rendement réel nul redevient du capital productif — et le capital productif paie des impôts.</w:t>
      </w:r>
    </w:p>
    <w:p>
      <w:pPr>
        <w:pStyle w:val="BodyText"/>
      </w:pPr>
      <w:r>
        <w:t xml:space="preserve">Le troisième bénéfice est macroéconomique. La croissance additionnelle générée par le surcroît d’investissement productif est difficile à isoler précisément, mais les travaux de Zvi Bodie sur les fonds de pension et la croissance, ou ceux de Rafael Porta et Florencio Lopez-de-Silanes sur les marchés financiers et le développement économique, montrent une corrélation documentée entre profondeur des marchés de capitaux domestiques et croissance à long terme.</w:t>
      </w:r>
      <w:r>
        <w:rPr>
          <w:rStyle w:val="FootnoteReference"/>
        </w:rPr>
        <w:footnoteReference w:id="38"/>
      </w:r>
      <w:r>
        <w:t xml:space="preserve"> </w:t>
      </w:r>
      <w:r>
        <w:t xml:space="preserve">Pour la France, dont les marchés de capitaux sont structurellement moins profonds que ceux de ses pairs, l’effet serait à la fois direct — les fonds finançant directement des entreprises non cotées — et indirect — la profondeur du marché réduisant le coût du capital pour toutes les entreprises. Quelques centaines de milliers d’emplois supplémentaires sur la décennie, selon les modélisations citées, ne sont pas un chiffre invraisemblable si l’on prend pour référence les simulations australiennes et néerlandaises menées après vingt ans de déploiement.</w:t>
      </w:r>
      <w:r>
        <w:rPr>
          <w:rStyle w:val="FootnoteReference"/>
        </w:rPr>
        <w:footnoteReference w:id="39"/>
      </w:r>
    </w:p>
    <w:p>
      <w:pPr>
        <w:pStyle w:val="BodyText"/>
      </w:pPr>
      <w:r>
        <w:t xml:space="preserve">Ces trois bénéfices n’arrivent pas ensemble, ni rapidement. Ils se déploient sur vingt à trente ans, à la même cadence que le capital s’accumule. C’est précisément pour cela qu’il faut commencer maintenant. Chaque année passée en répartition pure est une année perdue sur le seul levier disponible : le temps. La capitalisation ne remplace pas la solidarité — elle la finance mieux. Elle ne détruit pas la répartition — elle l’allège du poids que la démographie lui impose mécaniquement depuis 1995 et dont rien, dans les projections disponibles, ne suggère qu’il diminuera.</w:t>
      </w:r>
    </w:p>
    <w:p>
      <w:pPr>
        <w:pStyle w:val="BodyText"/>
      </w:pPr>
      <w:r>
        <w:t xml:space="preserve">Reste à désamorcer les cinq mensonges qui, depuis trente ans, ont empêché ce choix d’être posé.</w:t>
      </w:r>
    </w:p>
    <w:p>
      <w:r>
        <w:pict>
          <v:rect style="width:0;height:1.5pt" o:hralign="center" o:hrstd="t" o:hr="t"/>
        </w:pic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Paris, OCDE, 2023. URL : https://www.oecd.org/en/publications/oecd-pensions-at-a-glance-2023_678055dd-en.html (consulté en mai 2026). Comparaison des durées de transition dans les pays membres ayant introduit un pilier capitalisé obligatoire après 1985.</w:t>
      </w:r>
    </w:p>
  </w:footnote>
  <w:footnote w:id="10">
    <w:p>
      <w:pPr>
        <w:pStyle w:val="FootnoteText"/>
      </w:pPr>
      <w:r>
        <w:rPr>
          <w:rStyle w:val="FootnoteReference"/>
        </w:rPr>
        <w:footnoteRef/>
      </w:r>
      <w:r>
        <w:t xml:space="preserve"> </w:t>
      </w:r>
      <w:r>
        <w:t xml:space="preserve">Grattan Institute,</w:t>
      </w:r>
      <w:r>
        <w:t xml:space="preserve"> </w:t>
      </w:r>
      <w:r>
        <w:rPr>
          <w:i/>
          <w:iCs/>
        </w:rPr>
        <w:t xml:space="preserve">Super Sting : How Australia’s Superannuation System Has Stalled</w:t>
      </w:r>
      <w:r>
        <w:t xml:space="preserve">, 2019 ; Commonwealth of Australia,</w:t>
      </w:r>
      <w:r>
        <w:t xml:space="preserve"> </w:t>
      </w:r>
      <w:r>
        <w:rPr>
          <w:i/>
          <w:iCs/>
        </w:rPr>
        <w:t xml:space="preserve">Superannuation Guarantee (Administration) Act 1992</w:t>
      </w:r>
      <w:r>
        <w:t xml:space="preserve">, amendements 2002 et 2014. Les gels Howard (2002) et Abbott (2014) ont maintenu la cotisation à 9 % pendant dix ans, repoussant à 2022 l’atteinte des 10 % initialement prévue pour 2011.</w:t>
      </w:r>
    </w:p>
  </w:footnote>
  <w:footnote w:id="11">
    <w:p>
      <w:pPr>
        <w:pStyle w:val="FootnoteText"/>
      </w:pPr>
      <w:r>
        <w:rPr>
          <w:rStyle w:val="FootnoteReference"/>
        </w:rPr>
        <w:footnoteRef/>
      </w:r>
      <w:r>
        <w:t xml:space="preserve"> </w:t>
      </w:r>
      <w:r>
        <w:t xml:space="preserve">Barr Nicholas, Diamond Peter,</w:t>
      </w:r>
      <w:r>
        <w:t xml:space="preserve"> </w:t>
      </w:r>
      <w:r>
        <w:rPr>
          <w:i/>
          <w:iCs/>
        </w:rPr>
        <w:t xml:space="preserve">Pension Reform : A Short Guide</w:t>
      </w:r>
      <w:r>
        <w:t xml:space="preserve">, Oxford University Press, 2009. Les auteurs montrent que le coût du double paiement est une réalité comptable mais pas un obstacle insurmontable dès lors que la transition est étalée sur plusieurs décennies et financée par plusieurs leviers combinés.</w:t>
      </w:r>
    </w:p>
  </w:footnote>
  <w:footnote w:id="12">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Paris, FRR, 2025. Encours environ 20 Md€ fin 2024 ; rendement annualisé 2003-2024 proche de 4,1 % réel net selon les comptes publiés. URL : https://www.fondsdereserve.fr (consulté en mai 2026).</w:t>
      </w:r>
    </w:p>
  </w:footnote>
  <w:footnote w:id="13">
    <w:p>
      <w:pPr>
        <w:pStyle w:val="FootnoteText"/>
      </w:pPr>
      <w:r>
        <w:rPr>
          <w:rStyle w:val="FootnoteReference"/>
        </w:rPr>
        <w:footnoteRef/>
      </w:r>
      <w:r>
        <w:t xml:space="preserve"> </w:t>
      </w:r>
      <w:r>
        <w:t xml:space="preserve">Conseil d’Orientation des Retraites,</w:t>
      </w:r>
      <w:r>
        <w:t xml:space="preserve"> </w:t>
      </w:r>
      <w:r>
        <w:rPr>
          <w:i/>
          <w:iCs/>
        </w:rPr>
        <w:t xml:space="preserve">Rapport annuel 2025 — Évolutions et perspectives des retraites en France</w:t>
      </w:r>
      <w:r>
        <w:t xml:space="preserve">, Paris, COR, 2025. Le déficit projeté en 2070 dans le scénario central est de l’ordre de 40 à 45 Md€/an. URL : https://www.cor-retraites.fr (consulté en mai 2026).</w:t>
      </w:r>
    </w:p>
  </w:footnote>
  <w:footnote w:id="14">
    <w:p>
      <w:pPr>
        <w:pStyle w:val="FootnoteText"/>
      </w:pPr>
      <w:r>
        <w:rPr>
          <w:rStyle w:val="FootnoteReference"/>
        </w:rPr>
        <w:footnoteRef/>
      </w:r>
      <w:r>
        <w:t xml:space="preserve"> </w:t>
      </w:r>
      <w:r>
        <w:t xml:space="preserve">Bundesministerium für Arbeit und Soziales,</w:t>
      </w:r>
      <w:r>
        <w:t xml:space="preserve"> </w:t>
      </w:r>
      <w:r>
        <w:rPr>
          <w:i/>
          <w:iCs/>
        </w:rPr>
        <w:t xml:space="preserve">Alterssicherungsbericht 2025</w:t>
      </w:r>
      <w:r>
        <w:t xml:space="preserve">, Berlin, BMAS, 2025. Le Riester compte environ 9,7 millions de contrats actifs en 2024 pour un potentiel estimé à 35 millions de bénéficiaires potentiels. URL : https://www.bmas.de (consulté en mai 2026).</w:t>
      </w:r>
    </w:p>
  </w:footnote>
  <w:footnote w:id="15">
    <w:p>
      <w:pPr>
        <w:pStyle w:val="FootnoteText"/>
      </w:pPr>
      <w:r>
        <w:rPr>
          <w:rStyle w:val="FootnoteReference"/>
        </w:rPr>
        <w:footnoteRef/>
      </w:r>
      <w:r>
        <w:t xml:space="preserve"> </w:t>
      </w:r>
      <w:r>
        <w:t xml:space="preserve">Odoxa-Groupama,</w:t>
      </w:r>
      <w:r>
        <w:t xml:space="preserve"> </w:t>
      </w:r>
      <w:r>
        <w:rPr>
          <w:i/>
          <w:iCs/>
        </w:rPr>
        <w:t xml:space="preserve">Baromètre des Français et de la retraite</w:t>
      </w:r>
      <w:r>
        <w:t xml:space="preserve">, novembre 2025, 1 006 répondants représentatifs. 57 % des Français favorables à un système mixte répartition-capitalisation.</w:t>
      </w:r>
    </w:p>
  </w:footnote>
  <w:footnote w:id="16">
    <w:p>
      <w:pPr>
        <w:pStyle w:val="FootnoteText"/>
      </w:pPr>
      <w:r>
        <w:rPr>
          <w:rStyle w:val="FootnoteReference"/>
        </w:rPr>
        <w:footnoteRef/>
      </w:r>
      <w:r>
        <w:t xml:space="preserve"> </w:t>
      </w:r>
      <w:r>
        <w:t xml:space="preserve">Autorité des marchés financiers,</w:t>
      </w:r>
      <w:r>
        <w:t xml:space="preserve"> </w:t>
      </w:r>
      <w:r>
        <w:rPr>
          <w:i/>
          <w:iCs/>
        </w:rPr>
        <w:t xml:space="preserve">Baromètre de l’épargne et de l’investissement</w:t>
      </w:r>
      <w:r>
        <w:t xml:space="preserve">, octobre 2024, 2 044 répondants. 58 % des Français se disent inquiets pour leur retraite, 66 % chez les non-retraités. URL : https://www.amf-france.org (consulté en mai 2026).</w:t>
      </w:r>
    </w:p>
  </w:footnote>
  <w:footnote w:id="17">
    <w:p>
      <w:pPr>
        <w:pStyle w:val="FootnoteText"/>
      </w:pPr>
      <w:r>
        <w:rPr>
          <w:rStyle w:val="FootnoteReference"/>
        </w:rPr>
        <w:footnoteRef/>
      </w:r>
      <w:r>
        <w:t xml:space="preserve"> </w:t>
      </w:r>
      <w:r>
        <w:t xml:space="preserve">CFE-CGC,</w:t>
      </w:r>
      <w:r>
        <w:t xml:space="preserve"> </w:t>
      </w:r>
      <w:r>
        <w:rPr>
          <w:i/>
          <w:iCs/>
        </w:rPr>
        <w:t xml:space="preserve">Mémorandum sur la retraite par capitalisation complémentaire</w:t>
      </w:r>
      <w:r>
        <w:t xml:space="preserve">, mars 2025 ; CFDT, déclarations de Marylise Léon, congrès de Clermont-Ferrand, juin 2025. La CFDT conditionne son soutien à la généralisation et à un plancher universel préservé.</w:t>
      </w:r>
    </w:p>
  </w:footnote>
  <w:footnote w:id="18">
    <w:p>
      <w:pPr>
        <w:pStyle w:val="FootnoteText"/>
      </w:pPr>
      <w:r>
        <w:rPr>
          <w:rStyle w:val="FootnoteReference"/>
        </w:rPr>
        <w:footnoteRef/>
      </w:r>
      <w:r>
        <w:t xml:space="preserve"> </w:t>
      </w:r>
      <w:r>
        <w:t xml:space="preserve">Sociaal-Economische Raad,</w:t>
      </w:r>
      <w:r>
        <w:t xml:space="preserve"> </w:t>
      </w:r>
      <w:r>
        <w:rPr>
          <w:i/>
          <w:iCs/>
        </w:rPr>
        <w:t xml:space="preserve">Pensioenakkoord 2019</w:t>
      </w:r>
      <w:r>
        <w:t xml:space="preserve">, Den Haag, SER, juin 2019. Accord entre le gouvernement, FNV, CNV et VCP côté syndicats, VNO-NCW et MKB côté patronal. Traduit en</w:t>
      </w:r>
      <w:r>
        <w:t xml:space="preserve"> </w:t>
      </w:r>
      <w:r>
        <w:rPr>
          <w:i/>
          <w:iCs/>
        </w:rPr>
        <w:t xml:space="preserve">Wet toekomst pensioenen</w:t>
      </w:r>
      <w:r>
        <w:t xml:space="preserve"> </w:t>
      </w:r>
      <w:r>
        <w:t xml:space="preserve">votée le 30 mai 2023. URL : https://www.ser.nl (consulté en mai 2026).</w:t>
      </w:r>
    </w:p>
  </w:footnote>
  <w:footnote w:id="19">
    <w:p>
      <w:pPr>
        <w:pStyle w:val="FootnoteText"/>
      </w:pPr>
      <w:r>
        <w:rPr>
          <w:rStyle w:val="FootnoteReference"/>
        </w:rPr>
        <w:footnoteRef/>
      </w:r>
      <w:r>
        <w:t xml:space="preserve"> </w:t>
      </w:r>
      <w:r>
        <w:t xml:space="preserve">Conseil constitutionnel, décision n° 2003-483 DC du 14 août 2003 ; décision n° 2023-849 DC du 14 avril 2023. L’alinéa 11 du Préambule de 1946 pose une obligation de résultat — la sécurité matérielle des vieux travailleurs — sans prescrire la répartition comme seul instrument constitutionnellement admissible.</w:t>
      </w:r>
    </w:p>
  </w:footnote>
  <w:footnote w:id="20">
    <w:p>
      <w:pPr>
        <w:pStyle w:val="FootnoteText"/>
      </w:pPr>
      <w:r>
        <w:rPr>
          <w:rStyle w:val="FootnoteReference"/>
        </w:rPr>
        <w:footnoteRef/>
      </w:r>
      <w:r>
        <w:t xml:space="preserve"> </w:t>
      </w:r>
      <w:r>
        <w:t xml:space="preserve">Loi n° 97-277 du 25 mars 1997 créant les plans d’épargne retraite, abrogée par la loi n° 2002-73 du 17 janvier 2002. La loi Thomas avait été votée constitutionnellement ; son abrogation par le gouvernement Jospin fut une décision politique, non juridique.</w:t>
      </w:r>
    </w:p>
  </w:footnote>
  <w:footnote w:id="22">
    <w:p>
      <w:pPr>
        <w:pStyle w:val="FootnoteText"/>
      </w:pPr>
      <w:r>
        <w:rPr>
          <w:rStyle w:val="FootnoteReference"/>
        </w:rPr>
        <w:footnoteRef/>
      </w:r>
      <w:r>
        <w:t xml:space="preserve"> </w:t>
      </w:r>
      <w:r>
        <w:t xml:space="preserve">Könberg Bo, Palmer Edward, Sundén Annika, « The NDC Reform in Sweden : The 1994 Decision, Its Implementation and the Effects on 65+ », in</w:t>
      </w:r>
      <w:r>
        <w:t xml:space="preserve"> </w:t>
      </w:r>
      <w:r>
        <w:rPr>
          <w:i/>
          <w:iCs/>
        </w:rPr>
        <w:t xml:space="preserve">NDC Pension Schemes : Design, Implementation and Performance</w:t>
      </w:r>
      <w:r>
        <w:t xml:space="preserve">, World Bank Pension Research Working Paper, 2006. Bo Könberg et Anna Hedborg ont coprésidé la</w:t>
      </w:r>
      <w:r>
        <w:t xml:space="preserve"> </w:t>
      </w:r>
      <w:r>
        <w:rPr>
          <w:i/>
          <w:iCs/>
        </w:rPr>
        <w:t xml:space="preserve">Pensionsarbetsgruppen</w:t>
      </w:r>
      <w:r>
        <w:t xml:space="preserve"> </w:t>
      </w:r>
      <w:r>
        <w:t xml:space="preserve">entre 1991 et 1994.</w:t>
      </w:r>
    </w:p>
  </w:footnote>
  <w:footnote w:id="23">
    <w:p>
      <w:pPr>
        <w:pStyle w:val="FootnoteText"/>
      </w:pPr>
      <w:r>
        <w:rPr>
          <w:rStyle w:val="FootnoteReference"/>
        </w:rPr>
        <w:footnoteRef/>
      </w:r>
      <w:r>
        <w:t xml:space="preserve"> </w:t>
      </w:r>
      <w:r>
        <w:t xml:space="preserve">Pensions Commission,</w:t>
      </w:r>
      <w:r>
        <w:t xml:space="preserve"> </w:t>
      </w:r>
      <w:r>
        <w:rPr>
          <w:i/>
          <w:iCs/>
        </w:rPr>
        <w:t xml:space="preserve">A New Pension Settlement for the Twenty-First Century</w:t>
      </w:r>
      <w:r>
        <w:t xml:space="preserve">, Second Report, Londres, The Stationery Office, 2005. Trois rapports publiés entre 2004 et 2006, ratifiés par les deux grands partis britanniques avant le</w:t>
      </w:r>
      <w:r>
        <w:t xml:space="preserve"> </w:t>
      </w:r>
      <w:r>
        <w:rPr>
          <w:i/>
          <w:iCs/>
        </w:rPr>
        <w:t xml:space="preserve">Pensions Act 2008</w:t>
      </w:r>
      <w:r>
        <w:t xml:space="preserve">.</w:t>
      </w:r>
    </w:p>
  </w:footnote>
  <w:footnote w:id="24">
    <w:p>
      <w:pPr>
        <w:pStyle w:val="FootnoteText"/>
      </w:pPr>
      <w:r>
        <w:rPr>
          <w:rStyle w:val="FootnoteReference"/>
        </w:rPr>
        <w:footnoteRef/>
      </w:r>
      <w:r>
        <w:t xml:space="preserve"> </w:t>
      </w:r>
      <w:r>
        <w:t xml:space="preserve">Tweede Kamer der Staten-Generaal,</w:t>
      </w:r>
      <w:r>
        <w:t xml:space="preserve"> </w:t>
      </w:r>
      <w:r>
        <w:rPr>
          <w:i/>
          <w:iCs/>
        </w:rPr>
        <w:t xml:space="preserve">Wet toekomst pensioenen</w:t>
      </w:r>
      <w:r>
        <w:t xml:space="preserve">, votée le 30 mai 2023 par l’</w:t>
      </w:r>
      <w:r>
        <w:rPr>
          <w:i/>
          <w:iCs/>
        </w:rPr>
        <w:t xml:space="preserve">Eerste Kamer</w:t>
      </w:r>
      <w:r>
        <w:t xml:space="preserve"> </w:t>
      </w:r>
      <w:r>
        <w:t xml:space="preserve">à 46 voix contre 27. Bascule des fonds professionnels prévue au 1er janvier 2028. URL : https://www.rijksoverheid.nl (consulté en mai 2026).</w:t>
      </w:r>
    </w:p>
  </w:footnote>
  <w:footnote w:id="25">
    <w:p>
      <w:pPr>
        <w:pStyle w:val="FootnoteText"/>
      </w:pPr>
      <w:r>
        <w:rPr>
          <w:rStyle w:val="FootnoteReference"/>
        </w:rPr>
        <w:footnoteRef/>
      </w:r>
      <w:r>
        <w:t xml:space="preserve"> </w:t>
      </w:r>
      <w:r>
        <w:t xml:space="preserve">Hawke Bob,</w:t>
      </w:r>
      <w:r>
        <w:t xml:space="preserve"> </w:t>
      </w:r>
      <w:r>
        <w:rPr>
          <w:i/>
          <w:iCs/>
        </w:rPr>
        <w:t xml:space="preserve">The Hawke Memoirs</w:t>
      </w:r>
      <w:r>
        <w:t xml:space="preserve">, Heinemann Australia, 1994 ; Kelly Paul,</w:t>
      </w:r>
      <w:r>
        <w:t xml:space="preserve"> </w:t>
      </w:r>
      <w:r>
        <w:rPr>
          <w:i/>
          <w:iCs/>
        </w:rPr>
        <w:t xml:space="preserve">The End of Certainty</w:t>
      </w:r>
      <w:r>
        <w:t xml:space="preserve">, Allen &amp; Unwin, 1992. L’</w:t>
      </w:r>
      <w:r>
        <w:rPr>
          <w:i/>
          <w:iCs/>
        </w:rPr>
        <w:t xml:space="preserve">Accord Prices and Incomes Mark II</w:t>
      </w:r>
      <w:r>
        <w:t xml:space="preserve"> </w:t>
      </w:r>
      <w:r>
        <w:t xml:space="preserve">de 1985 formalisait l’échange modération salariale contre capital différé, négocié entre Hawke, Keating et Bill Kelty, secrétaire général de l’ACTU depuis 1983.</w:t>
      </w:r>
    </w:p>
  </w:footnote>
  <w:footnote w:id="26">
    <w:p>
      <w:pPr>
        <w:pStyle w:val="FootnoteText"/>
      </w:pPr>
      <w:r>
        <w:rPr>
          <w:rStyle w:val="FootnoteReference"/>
        </w:rPr>
        <w:footnoteRef/>
      </w:r>
      <w:r>
        <w:t xml:space="preserve"> </w:t>
      </w:r>
      <w:r>
        <w:t xml:space="preserve">Piñera José,</w:t>
      </w:r>
      <w:r>
        <w:t xml:space="preserve"> </w:t>
      </w:r>
      <w:r>
        <w:rPr>
          <w:i/>
          <w:iCs/>
        </w:rPr>
        <w:t xml:space="preserve">El Cascabel al Gato</w:t>
      </w:r>
      <w:r>
        <w:t xml:space="preserve">, Zigzag, Santiago, 1991 ; Mesa-Lago Carmelo,</w:t>
      </w:r>
      <w:r>
        <w:t xml:space="preserve"> </w:t>
      </w:r>
      <w:r>
        <w:rPr>
          <w:i/>
          <w:iCs/>
        </w:rPr>
        <w:t xml:space="preserve">Reassembling Social Security</w:t>
      </w:r>
      <w:r>
        <w:t xml:space="preserve">, Oxford University Press, 2008. Le DL 3500 du 4 novembre 1980 substituait intégralement la capitalisation individuelle à la répartition, sans débat parlementaire ni consultation syndicale.</w:t>
      </w:r>
    </w:p>
  </w:footnote>
  <w:footnote w:id="27">
    <w:p>
      <w:pPr>
        <w:pStyle w:val="FootnoteText"/>
      </w:pPr>
      <w:r>
        <w:rPr>
          <w:rStyle w:val="FootnoteReference"/>
        </w:rPr>
        <w:footnoteRef/>
      </w:r>
      <w:r>
        <w:t xml:space="preserve"> </w:t>
      </w:r>
      <w:r>
        <w:t xml:space="preserve">Superintendencia de Pensiones de Chile,</w:t>
      </w:r>
      <w:r>
        <w:t xml:space="preserve"> </w:t>
      </w:r>
      <w:r>
        <w:rPr>
          <w:i/>
          <w:iCs/>
        </w:rPr>
        <w:t xml:space="preserve">Informe de Pensiones</w:t>
      </w:r>
      <w:r>
        <w:t xml:space="preserve">, Santiago, 2024. Le taux de remplacement médian des pensions AFP est estimé entre 35 et 40 % pour les retraités de la première génération du système, inférieur aux projections initiales. URL : https://www.spensiones.cl (consulté en mai 2026).</w:t>
      </w:r>
    </w:p>
  </w:footnote>
  <w:footnote w:id="28">
    <w:p>
      <w:pPr>
        <w:pStyle w:val="FootnoteText"/>
      </w:pPr>
      <w:r>
        <w:rPr>
          <w:rStyle w:val="FootnoteReference"/>
        </w:rPr>
        <w:footnoteRef/>
      </w:r>
      <w:r>
        <w:t xml:space="preserve"> </w:t>
      </w:r>
      <w:r>
        <w:t xml:space="preserve">Congreso Nacional de Chile,</w:t>
      </w:r>
      <w:r>
        <w:t xml:space="preserve"> </w:t>
      </w:r>
      <w:r>
        <w:rPr>
          <w:i/>
          <w:iCs/>
        </w:rPr>
        <w:t xml:space="preserve">Ley 21735 de reforma previsional</w:t>
      </w:r>
      <w:r>
        <w:t xml:space="preserve">, janvier 2025. Votée 110 voix contre 38 à la Cámara de Diputadas y Diputados. Introduction d’une cotisation patronale de 7 % sur dix ans, d’un pilier solidaire universel et d’un plancher de prestation.</w:t>
      </w:r>
    </w:p>
  </w:footnote>
  <w:footnote w:id="30">
    <w:p>
      <w:pPr>
        <w:pStyle w:val="FootnoteText"/>
      </w:pPr>
      <w:r>
        <w:rPr>
          <w:rStyle w:val="FootnoteReference"/>
        </w:rPr>
        <w:footnoteRef/>
      </w:r>
      <w:r>
        <w:t xml:space="preserve"> </w:t>
      </w:r>
      <w:r>
        <w:t xml:space="preserve">Palier Bruno,</w:t>
      </w:r>
      <w:r>
        <w:t xml:space="preserve"> </w:t>
      </w:r>
      <w:r>
        <w:rPr>
          <w:i/>
          <w:iCs/>
        </w:rPr>
        <w:t xml:space="preserve">La réforme des retraites</w:t>
      </w:r>
      <w:r>
        <w:t xml:space="preserve">, Que sais-je ?, PUF, 2021. Synthèse des trois tentatives françaises (Thomas 1997, Delevoye 2019, Borne 2023) et de leur défaut commun : l’absence d’accord pluripartite préalable au vote.</w:t>
      </w:r>
    </w:p>
  </w:footnote>
  <w:footnote w:id="31">
    <w:p>
      <w:pPr>
        <w:pStyle w:val="FootnoteText"/>
      </w:pPr>
      <w:r>
        <w:rPr>
          <w:rStyle w:val="FootnoteReference"/>
        </w:rPr>
        <w:footnoteRef/>
      </w:r>
      <w:r>
        <w:t xml:space="preserve"> </w:t>
      </w:r>
      <w:r>
        <w:t xml:space="preserve">Fonds de réserve pour les retraites,</w:t>
      </w:r>
      <w:r>
        <w:t xml:space="preserve"> </w:t>
      </w:r>
      <w:r>
        <w:rPr>
          <w:i/>
          <w:iCs/>
        </w:rPr>
        <w:t xml:space="preserve">Rapport de gestion 2024</w:t>
      </w:r>
      <w:r>
        <w:t xml:space="preserve">, Paris, FRR, 2025. Rendement annualisé depuis la création du fonds proche de 4,1 % réel net selon les comptes publiés. URL : https://www.fondsdereserve.fr (consulté en mai 2026).</w:t>
      </w:r>
    </w:p>
  </w:footnote>
  <w:footnote w:id="32">
    <w:p>
      <w:pPr>
        <w:pStyle w:val="FootnoteText"/>
      </w:pPr>
      <w:r>
        <w:rPr>
          <w:rStyle w:val="FootnoteReference"/>
        </w:rPr>
        <w:footnoteRef/>
      </w:r>
      <w:r>
        <w:t xml:space="preserve"> </w:t>
      </w:r>
      <w:r>
        <w:t xml:space="preserve">The Pensions Regulator,</w:t>
      </w:r>
      <w:r>
        <w:t xml:space="preserve"> </w:t>
      </w:r>
      <w:r>
        <w:rPr>
          <w:i/>
          <w:iCs/>
        </w:rPr>
        <w:t xml:space="preserve">Automatic Enrolment Declaration of Compliance Report</w:t>
      </w:r>
      <w:r>
        <w:t xml:space="preserve">, Londres, TPR, octobre 2024. Au 31 décembre 2023, environ 11,2 millions de membres actifs dans NEST ; taux d’opt-out observé entre 8 % et 12 % selon les années. URL : https://www.thepensionsregulator.gov.uk (consulté en mai 2026).</w:t>
      </w:r>
    </w:p>
  </w:footnote>
  <w:footnote w:id="33">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Willis Towers Watson, 2025. Les fonds de pension des sept plus grands marchés mondiaux allouent entre 10 et 25 % de leurs actifs dans leur économie domestique — CPPIB ~25 % Canada, ABP ~15-20 % Pays-Bas, USS ~20 % Royaume-Uni.</w:t>
      </w:r>
    </w:p>
  </w:footnote>
  <w:footnote w:id="34">
    <w:p>
      <w:pPr>
        <w:pStyle w:val="FootnoteText"/>
      </w:pPr>
      <w:r>
        <w:rPr>
          <w:rStyle w:val="FootnoteReference"/>
        </w:rPr>
        <w:footnoteRef/>
      </w:r>
      <w:r>
        <w:t xml:space="preserve"> </w:t>
      </w:r>
      <w:r>
        <w:t xml:space="preserve">Thinking Ahead Institute, op. cit. ; OCDE,</w:t>
      </w:r>
      <w:r>
        <w:t xml:space="preserve"> </w:t>
      </w:r>
      <w:r>
        <w:rPr>
          <w:i/>
          <w:iCs/>
        </w:rPr>
        <w:t xml:space="preserve">Pension Markets in Focus 2024</w:t>
      </w:r>
      <w:r>
        <w:t xml:space="preserve">, Paris, OCDE, 2024. La France plafonne à environ 13 % du PIB en actifs de retraite privés, le Canada à ~158 %, le Royaume-Uni à ~78 %. L’hypothèse de 50 % du PIB pour la France vers 2050 suppose une cotisation patronale de 2-4 % pendant vingt-cinq ans et un rendement réel net de 3-4 % annualisé.</w:t>
      </w:r>
    </w:p>
  </w:footnote>
  <w:footnote w:id="35">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op. cit. La France consacre 13,8 % du PIB aux pensions — quatrième taux de l’OCDE après la Grèce (14,0 %), l’Italie (13,9 %) et l’Autriche (13,9 %).</w:t>
      </w:r>
    </w:p>
  </w:footnote>
  <w:footnote w:id="36">
    <w:p>
      <w:pPr>
        <w:pStyle w:val="FootnoteText"/>
      </w:pPr>
      <w:r>
        <w:rPr>
          <w:rStyle w:val="FootnoteReference"/>
        </w:rPr>
        <w:footnoteRef/>
      </w:r>
      <w:r>
        <w:t xml:space="preserve"> </w:t>
      </w:r>
      <w:r>
        <w:t xml:space="preserve">Pensionsmyndigheten,</w:t>
      </w:r>
      <w:r>
        <w:t xml:space="preserve"> </w:t>
      </w:r>
      <w:r>
        <w:rPr>
          <w:i/>
          <w:iCs/>
        </w:rPr>
        <w:t xml:space="preserve">Orange Report 2024</w:t>
      </w:r>
      <w:r>
        <w:t xml:space="preserve">, Stockholm, Pensionsmyndigheten, 2025. La part de la dépense publique brute de retraite dans le PIB suédois est passée d’environ 11 % en 1997 à environ 7-8 % en 2023, tandis que les pensions moyennes restaient stables en termes réels grâce au pilier capitalisé. URL : https://www.pensionsmyndigheten.se (consulté en mai 2026).</w:t>
      </w:r>
    </w:p>
  </w:footnote>
  <w:footnote w:id="37">
    <w:p>
      <w:pPr>
        <w:pStyle w:val="FootnoteText"/>
      </w:pPr>
      <w:r>
        <w:rPr>
          <w:rStyle w:val="FootnoteReference"/>
        </w:rPr>
        <w:footnoteRef/>
      </w:r>
      <w:r>
        <w:t xml:space="preserve"> </w:t>
      </w:r>
      <w:r>
        <w:t xml:space="preserve">Institut pour l’Audace Politique,</w:t>
      </w:r>
      <w:r>
        <w:t xml:space="preserve"> </w:t>
      </w:r>
      <w:r>
        <w:rPr>
          <w:i/>
          <w:iCs/>
        </w:rPr>
        <w:t xml:space="preserve">Les effets macroéconomiques d’un pilier capitalisé en France — Modélisation 2025</w:t>
      </w:r>
      <w:r>
        <w:t xml:space="preserve">, Paris, IAP, 2025. Estimation de 175 Md€ de recettes fiscales additionnelles cumulées sur dix ans dans l’hypothèse d’un déploiement à 2 % de cotisation patronale, rendement réel de 4 % et incidence fiscale de 30 % sur les revenus du capital. [À VÉRIFIER : confirmer que cette publication existe sous ce titre exact et cette date — vérification à faire sur le site de l’Institut pour l’Audace Politique avant finalisation.]</w:t>
      </w:r>
    </w:p>
  </w:footnote>
  <w:footnote w:id="38">
    <w:p>
      <w:pPr>
        <w:pStyle w:val="FootnoteText"/>
      </w:pPr>
      <w:r>
        <w:rPr>
          <w:rStyle w:val="FootnoteReference"/>
        </w:rPr>
        <w:footnoteRef/>
      </w:r>
      <w:r>
        <w:t xml:space="preserve"> </w:t>
      </w:r>
      <w:r>
        <w:t xml:space="preserve">Bodie Zvi, Merton Robert, « The Role of Pension Funds in the Capital Markets », in Bodie, Shoven, Wise éds.,</w:t>
      </w:r>
      <w:r>
        <w:t xml:space="preserve"> </w:t>
      </w:r>
      <w:r>
        <w:rPr>
          <w:i/>
          <w:iCs/>
        </w:rPr>
        <w:t xml:space="preserve">Issues in Pension Economics</w:t>
      </w:r>
      <w:r>
        <w:t xml:space="preserve">, NBER/University of Chicago Press, 1987 ; La Porta Rafael, Lopez-de-Silanes Florencio, Shleifer Andrei, Vishny Robert, « Law and Finance »,</w:t>
      </w:r>
      <w:r>
        <w:t xml:space="preserve"> </w:t>
      </w:r>
      <w:r>
        <w:rPr>
          <w:i/>
          <w:iCs/>
        </w:rPr>
        <w:t xml:space="preserve">Journal of Political Economy</w:t>
      </w:r>
      <w:r>
        <w:t xml:space="preserve">, vol. 106, n° 6, 1998. Ces travaux fondamentaux établissent la corrélation entre profondeur des marchés de capitaux domestiques et croissance à long terme.</w:t>
      </w:r>
    </w:p>
  </w:footnote>
  <w:footnote w:id="39">
    <w:p>
      <w:pPr>
        <w:pStyle w:val="FootnoteText"/>
      </w:pPr>
      <w:r>
        <w:rPr>
          <w:rStyle w:val="FootnoteReference"/>
        </w:rPr>
        <w:footnoteRef/>
      </w:r>
      <w:r>
        <w:t xml:space="preserve"> </w:t>
      </w:r>
      <w:r>
        <w:t xml:space="preserve">Productivity Commission Australia,</w:t>
      </w:r>
      <w:r>
        <w:t xml:space="preserve"> </w:t>
      </w:r>
      <w:r>
        <w:rPr>
          <w:i/>
          <w:iCs/>
        </w:rPr>
        <w:t xml:space="preserve">Superannuation : Assessing Efficiency and Competitiveness</w:t>
      </w:r>
      <w:r>
        <w:t xml:space="preserve">, Melbourne, 2018 ; CPB Netherlands Bureau for Economic Policy Analysis,</w:t>
      </w:r>
      <w:r>
        <w:t xml:space="preserve"> </w:t>
      </w:r>
      <w:r>
        <w:rPr>
          <w:i/>
          <w:iCs/>
        </w:rPr>
        <w:t xml:space="preserve">The Dutch Pension System : An Overview</w:t>
      </w:r>
      <w:r>
        <w:t xml:space="preserve">, La Haye, 2023. Les évaluations australiennes et néerlandaises après vingt ans de déploiement estiment l’effet emploi à quelques centaines de milliers d’unités supplémentaires sur la décennie, via le surcroît d’investissement productif financé par les fonds.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2026-05-24T18:40:13Z</dcterms:created>
  <dcterms:modified xsi:type="dcterms:W3CDTF">2026-05-24T18:40:13Z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