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Capitalisons</w:t>
      </w:r>
    </w:p>
    <w:p>
      <w:pPr>
        <w:pStyle w:val="Subtitle"/>
      </w:pPr>
      <w:r>
        <w:t xml:space="preserve">La France et son capital absent</w:t>
      </w:r>
    </w:p>
    <w:p>
      <w:pPr>
        <w:pStyle w:val="Author"/>
      </w:pPr>
      <w:r>
        <w:t xml:space="preserve">Où Va l’Argent</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capitalisons"/>
    <w:p>
      <w:pPr>
        <w:pStyle w:val="Heading1"/>
      </w:pPr>
      <w:r>
        <w:t xml:space="preserve">Capitalisons</w:t>
      </w:r>
    </w:p>
    <w:bookmarkStart w:id="9" w:name="la-france-et-son-capital-absent"/>
    <w:p>
      <w:pPr>
        <w:pStyle w:val="Heading2"/>
      </w:pPr>
      <w:r>
        <w:t xml:space="preserve">La France et son capital absent</w:t>
      </w:r>
    </w:p>
    <w:p>
      <w:r>
        <w:pict>
          <v:rect style="width:0;height:1.5pt" o:hralign="center" o:hrstd="t" o:hr="t"/>
        </w:pict>
      </w:r>
    </w:p>
    <w:p>
      <w:pPr>
        <w:pStyle w:val="FirstParagraph"/>
      </w:pPr>
      <w:r>
        <w:t xml:space="preserve">Plaidoyer documenté pour l’instauration d’un pilier capitalisé dans le système français de retraite. Argument central : la France n’a pas un problème de retraites, elle a un problème de</w:t>
      </w:r>
      <w:r>
        <w:t xml:space="preserve"> </w:t>
      </w:r>
      <w:r>
        <w:rPr>
          <w:b/>
          <w:bCs/>
        </w:rPr>
        <w:t xml:space="preserve">capital absent</w:t>
      </w:r>
      <w:r>
        <w:t xml:space="preserve"> </w:t>
      </w:r>
      <w:r>
        <w:t xml:space="preserve">— absent de ses pensions, absent de ses entreprises. Ces deux faces sont indissociables. La capitalisation des retraites n’est pas qu’un sujet de pension : c’est un sujet de souveraineté économique.</w:t>
      </w:r>
    </w:p>
    <w:p>
      <w:pPr>
        <w:pStyle w:val="BodyText"/>
      </w:pPr>
      <w:r>
        <w:rPr>
          <w:b/>
          <w:bCs/>
        </w:rPr>
        <w:t xml:space="preserve">Fil rouge</w:t>
      </w:r>
      <w:r>
        <w:t xml:space="preserve"> </w:t>
      </w:r>
      <w:r>
        <w:t xml:space="preserve">: la culture de l’investissement, en France, ne s’est jamais construite — par choix politique, pas par fatalité.</w:t>
      </w:r>
    </w:p>
    <w:p>
      <w:pPr>
        <w:pStyle w:val="BodyText"/>
      </w:pPr>
      <w:r>
        <w:rPr>
          <w:b/>
          <w:bCs/>
        </w:rPr>
        <w:t xml:space="preserve">Fil transversal</w:t>
      </w:r>
      <w:r>
        <w:t xml:space="preserve"> </w:t>
      </w:r>
      <w:r>
        <w:t xml:space="preserve">: l’inégalité intergénérationnelle. Les jeunes cotisent plus, toucheront moins, héritent de la dette et regardent leurs entreprises partir aux fonds étrangers — qui, eux, ont une culture de l’investissement.</w:t>
      </w:r>
    </w:p>
    <w:p>
      <w:pPr>
        <w:pStyle w:val="BodyText"/>
      </w:pPr>
      <w:r>
        <w:rPr>
          <w:b/>
          <w:bCs/>
        </w:rPr>
        <w:t xml:space="preserve">Format</w:t>
      </w:r>
      <w:r>
        <w:t xml:space="preserve"> </w:t>
      </w:r>
      <w:r>
        <w:t xml:space="preserve">: essai économique grand public — 120 pages, sourçage absolu (chaque chiffre vérifié dans sa source primaire), incarnation par cas réels et personnages composites.</w:t>
      </w:r>
    </w:p>
    <w:p>
      <w:r>
        <w:pict>
          <v:rect style="width:0;height:1.5pt" o:hralign="center" o:hrstd="t" o:hr="t"/>
        </w:pict>
      </w:r>
    </w:p>
    <w:bookmarkEnd w:id="9"/>
    <w:bookmarkStart w:id="18" w:name="sommaire"/>
    <w:p>
      <w:pPr>
        <w:pStyle w:val="Heading2"/>
      </w:pPr>
      <w:r>
        <w:t xml:space="preserve">Sommaire</w:t>
      </w:r>
    </w:p>
    <w:bookmarkStart w:id="10" w:name="avant-propos-le-paradoxe-doliprane-10-p."/>
    <w:p>
      <w:pPr>
        <w:pStyle w:val="Heading3"/>
      </w:pPr>
      <w:r>
        <w:t xml:space="preserve">Avant-propos — Le paradoxe Doliprane</w:t>
      </w:r>
      <w:r>
        <w:t xml:space="preserve"> </w:t>
      </w:r>
      <w:r>
        <w:rPr>
          <w:i/>
          <w:iCs/>
        </w:rPr>
        <w:t xml:space="preserve">(10 p.)</w:t>
      </w:r>
    </w:p>
    <w:p>
      <w:pPr>
        <w:pStyle w:val="FirstParagraph"/>
      </w:pPr>
      <w:r>
        <w:t xml:space="preserve">Octobre 2024 : Sanofi cède Opella, propriétaire du Doliprane, au fonds américain CD&amp;R pour ≈ 16 milliards d’euros. La pétition contre la vente recueille 178 000 signatures, le Premier ministre Michel Barnier promet des garanties. Mais derrière la polémique, un paradoxe :</w:t>
      </w:r>
      <w:r>
        <w:t xml:space="preserve"> </w:t>
      </w:r>
      <w:r>
        <w:rPr>
          <w:b/>
          <w:bCs/>
        </w:rPr>
        <w:t xml:space="preserve">nous voulons que nos entreprises restent françaises, et nous refusons l’outil qui les retiendrait — un pilier capitalisé qui ferait des Français les actionnaires de leurs propres champions</w:t>
      </w:r>
      <w:r>
        <w:t xml:space="preserve">.</w:t>
      </w:r>
    </w:p>
    <w:bookmarkEnd w:id="10"/>
    <w:bookmarkStart w:id="11" w:name="introduction-langle-mort-10-p."/>
    <w:p>
      <w:pPr>
        <w:pStyle w:val="Heading3"/>
      </w:pPr>
      <w:r>
        <w:t xml:space="preserve">Introduction — L’angle mort</w:t>
      </w:r>
      <w:r>
        <w:t xml:space="preserve"> </w:t>
      </w:r>
      <w:r>
        <w:rPr>
          <w:i/>
          <w:iCs/>
        </w:rPr>
        <w:t xml:space="preserve">(10 p.)</w:t>
      </w:r>
    </w:p>
    <w:p>
      <w:pPr>
        <w:pStyle w:val="FirstParagraph"/>
      </w:pPr>
      <w:r>
        <w:t xml:space="preserve">Trois chiffres qui ouvrent le livre :</w:t>
      </w:r>
      <w:r>
        <w:t xml:space="preserve"> </w:t>
      </w:r>
      <w:r>
        <w:rPr>
          <w:b/>
          <w:bCs/>
        </w:rPr>
        <w:t xml:space="preserve">50 %</w:t>
      </w:r>
      <w:r>
        <w:t xml:space="preserve"> </w:t>
      </w:r>
      <w:r>
        <w:t xml:space="preserve">du capital du CAC 40 détenu par les non-résidents, soit</w:t>
      </w:r>
      <w:r>
        <w:t xml:space="preserve"> </w:t>
      </w:r>
      <w:r>
        <w:rPr>
          <w:b/>
          <w:bCs/>
        </w:rPr>
        <w:t xml:space="preserve">36,5 Md€ de dividendes</w:t>
      </w:r>
      <w:r>
        <w:t xml:space="preserve"> </w:t>
      </w:r>
      <w:r>
        <w:t xml:space="preserve">qui partent à l’étranger chaque année ;</w:t>
      </w:r>
      <w:r>
        <w:t xml:space="preserve"> </w:t>
      </w:r>
      <w:r>
        <w:rPr>
          <w:b/>
          <w:bCs/>
        </w:rPr>
        <w:t xml:space="preserve">240 000 PME</w:t>
      </w:r>
      <w:r>
        <w:t xml:space="preserve"> </w:t>
      </w:r>
      <w:r>
        <w:t xml:space="preserve">sans repreneur d’ici 2030 ;</w:t>
      </w:r>
      <w:r>
        <w:t xml:space="preserve"> </w:t>
      </w:r>
      <w:r>
        <w:rPr>
          <w:b/>
          <w:bCs/>
        </w:rPr>
        <w:t xml:space="preserve">70 % vs 96 %</w:t>
      </w:r>
      <w:r>
        <w:t xml:space="preserve"> </w:t>
      </w:r>
      <w:r>
        <w:t xml:space="preserve">— l’écart de taux de remplacement net entre la France et les Pays-Bas. La France a fait, en 1945, un choix architectural : un seul pilier, la répartition. Quatre-vingts ans plus tard, ce choix devient un angle mort budgétaire, démographique et stratégique.</w:t>
      </w:r>
    </w:p>
    <w:p>
      <w:r>
        <w:pict>
          <v:rect style="width:0;height:1.5pt" o:hralign="center" o:hrstd="t" o:hr="t"/>
        </w:pict>
      </w:r>
    </w:p>
    <w:bookmarkEnd w:id="11"/>
    <w:bookmarkStart w:id="12" w:name="Xff4c8fe1e70ea9a8e382049af1226f611cc3171"/>
    <w:p>
      <w:pPr>
        <w:pStyle w:val="Heading3"/>
      </w:pPr>
      <w:r>
        <w:t xml:space="preserve">Chapitre 1 — Anatomie d’un système à bout de souffle</w:t>
      </w:r>
      <w:r>
        <w:t xml:space="preserve"> </w:t>
      </w:r>
      <w:r>
        <w:rPr>
          <w:i/>
          <w:iCs/>
        </w:rPr>
        <w:t xml:space="preserve">(15 p.)</w:t>
      </w:r>
    </w:p>
    <w:p>
      <w:pPr>
        <w:pStyle w:val="FirstParagraph"/>
      </w:pPr>
      <w:r>
        <w:t xml:space="preserve">Le diagnostic. La pyramide démographique qui s’inverse, le déficit qu’on n’a pas le droit de dire, l’histoire d’un système né en 1945 pour quinze ans d’espérance de vie après 65 ans, qui doit aujourd’hui en couvrir vingt-quatre. Six réformes paramétriques en trente ans, toujours sur les mêmes trois leviers — âge, cotisations, pensions. Et un taux de rendement interne qui s’effondre : 5,8 % par an pour la génération née en 1950, 0,8 % pour celle née en 2000.</w:t>
      </w:r>
    </w:p>
    <w:bookmarkEnd w:id="12"/>
    <w:bookmarkStart w:id="13" w:name="X12e51ba51a7df5022fd827c2cf0f1b6ac430241"/>
    <w:p>
      <w:pPr>
        <w:pStyle w:val="Heading3"/>
      </w:pPr>
      <w:r>
        <w:t xml:space="preserve">Chapitre 2 — Comprendre la capitalisation</w:t>
      </w:r>
      <w:r>
        <w:t xml:space="preserve"> </w:t>
      </w:r>
      <w:r>
        <w:rPr>
          <w:i/>
          <w:iCs/>
        </w:rPr>
        <w:t xml:space="preserve">(10 p.)</w:t>
      </w:r>
    </w:p>
    <w:p>
      <w:pPr>
        <w:pStyle w:val="FirstParagraph"/>
      </w:pPr>
      <w:r>
        <w:t xml:space="preserve">La pédagogie. Avant de défendre la capitalisation, il faut désamorcer le mot — devenu, en France, un repoussoir. Que devient un euro cotisé en répartition (immédiatement reversé) ; en capitalisation (investi pendant quarante ans). Le rendement composé, démystifié. Les trois familles mondiales de fonds : publics, sectoriels paritaires, auto-enrolment. Puis le cœur du chapitre : la modélisation chiffrée pour un actif français de 30 ans en 2026, salaire 35 000 €, carrière 43 ans. Gain à la retraite selon scénario :</w:t>
      </w:r>
      <w:r>
        <w:t xml:space="preserve"> </w:t>
      </w:r>
      <w:r>
        <w:rPr>
          <w:b/>
          <w:bCs/>
        </w:rPr>
        <w:t xml:space="preserve">+228 000 €</w:t>
      </w:r>
      <w:r>
        <w:t xml:space="preserve"> </w:t>
      </w:r>
      <w:r>
        <w:t xml:space="preserve">(modèle suédois 80/20) ou</w:t>
      </w:r>
      <w:r>
        <w:t xml:space="preserve"> </w:t>
      </w:r>
      <w:r>
        <w:rPr>
          <w:b/>
          <w:bCs/>
        </w:rPr>
        <w:t xml:space="preserve">+457 000 €</w:t>
      </w:r>
      <w:r>
        <w:t xml:space="preserve"> </w:t>
      </w:r>
      <w:r>
        <w:t xml:space="preserve">(modèle néerlandais 60/40).</w:t>
      </w:r>
    </w:p>
    <w:bookmarkEnd w:id="13"/>
    <w:bookmarkStart w:id="14" w:name="X621f937eec4060abc1fa5429d28a3a4e76da023"/>
    <w:p>
      <w:pPr>
        <w:pStyle w:val="Heading3"/>
      </w:pPr>
      <w:r>
        <w:t xml:space="preserve">Chapitre 3 — De la nécessité de fonds de pension français</w:t>
      </w:r>
      <w:r>
        <w:t xml:space="preserve"> </w:t>
      </w:r>
      <w:r>
        <w:rPr>
          <w:i/>
          <w:iCs/>
        </w:rPr>
        <w:t xml:space="preserve">(20 p.)</w:t>
      </w:r>
    </w:p>
    <w:p>
      <w:pPr>
        <w:pStyle w:val="FirstParagraph"/>
      </w:pPr>
      <w:r>
        <w:t xml:space="preserve">Le chapitre pivot. La capitalisation ne sert pas qu’à payer des retraites plus élevées ; elle sert aussi à</w:t>
      </w:r>
      <w:r>
        <w:t xml:space="preserve"> </w:t>
      </w:r>
      <w:r>
        <w:rPr>
          <w:b/>
          <w:bCs/>
        </w:rPr>
        <w:t xml:space="preserve">financer ses propres entreprises</w:t>
      </w:r>
      <w:r>
        <w:t xml:space="preserve">. La France a</w:t>
      </w:r>
      <w:r>
        <w:t xml:space="preserve"> </w:t>
      </w:r>
      <w:r>
        <w:rPr>
          <w:b/>
          <w:bCs/>
        </w:rPr>
        <w:t xml:space="preserve">6 000 milliards d’euros</w:t>
      </w:r>
      <w:r>
        <w:t xml:space="preserve"> </w:t>
      </w:r>
      <w:r>
        <w:t xml:space="preserve">d’épargne financière — qui dorment sur des Livret A et des fonds euros, ne produisent presque rien, et ne financent pas le tissu productif. Pendant ce temps,</w:t>
      </w:r>
      <w:r>
        <w:t xml:space="preserve"> </w:t>
      </w:r>
      <w:r>
        <w:rPr>
          <w:b/>
          <w:bCs/>
        </w:rPr>
        <w:t xml:space="preserve">240 000 PME</w:t>
      </w:r>
      <w:r>
        <w:t xml:space="preserve"> </w:t>
      </w:r>
      <w:r>
        <w:t xml:space="preserve">cherchent un repreneur, et les fonds étrangers les rachètent : Doliprane, Lafarge, Alstom, Technip, Latécoère, Photonis, Exxelia, Ingenico… Dix cas emblématiques, ≈ 90 milliards d’euros transférés vers des acquéreurs étrangers en dix ans. Le contrefactuel : si la France disposait de 1 500 Md€ de fonds de pension, elle reprendrait ses entreprises elle-même — comme la CDPQ a sauvé Bombardier, comme l’ABP investit aux Pays-Bas, comme l’USS finance Heathrow.</w:t>
      </w:r>
    </w:p>
    <w:bookmarkEnd w:id="14"/>
    <w:bookmarkStart w:id="15" w:name="X13c72f47d2a3b723e6df97ca66c63db1d40b866"/>
    <w:p>
      <w:pPr>
        <w:pStyle w:val="Heading3"/>
      </w:pPr>
      <w:r>
        <w:t xml:space="preserve">Chapitre 4 — Quatre modèles, une boussole</w:t>
      </w:r>
      <w:r>
        <w:t xml:space="preserve"> </w:t>
      </w:r>
      <w:r>
        <w:rPr>
          <w:i/>
          <w:iCs/>
        </w:rPr>
        <w:t xml:space="preserve">(18 p.)</w:t>
      </w:r>
    </w:p>
    <w:p>
      <w:pPr>
        <w:pStyle w:val="FirstParagraph"/>
      </w:pPr>
      <w:r>
        <w:t xml:space="preserve">Le combat culturel. Le discours français présente la capitalisation comme une bizarrerie anglo-saxonne. C’est faux. Quatre études de cas approfondies, chacune avec son contexte historico-politique :</w:t>
      </w:r>
    </w:p>
    <w:p>
      <w:pPr>
        <w:pStyle w:val="Compact"/>
        <w:numPr>
          <w:ilvl w:val="0"/>
          <w:numId w:val="1001"/>
        </w:numPr>
      </w:pPr>
      <w:r>
        <w:rPr>
          <w:b/>
          <w:bCs/>
        </w:rPr>
        <w:t xml:space="preserve">Suède</w:t>
      </w:r>
      <w:r>
        <w:t xml:space="preserve"> </w:t>
      </w:r>
      <w:r>
        <w:t xml:space="preserve">— la preuve par neuf (transition NDC + PPM 1994-1998, AP7, Spotify/Klarna/Northvolt)</w:t>
      </w:r>
    </w:p>
    <w:p>
      <w:pPr>
        <w:pStyle w:val="Compact"/>
        <w:numPr>
          <w:ilvl w:val="0"/>
          <w:numId w:val="1001"/>
        </w:numPr>
      </w:pPr>
      <w:r>
        <w:rPr>
          <w:b/>
          <w:bCs/>
        </w:rPr>
        <w:t xml:space="preserve">Australie</w:t>
      </w:r>
      <w:r>
        <w:t xml:space="preserve"> </w:t>
      </w:r>
      <w:r>
        <w:t xml:space="preserve">— l’auto-enrolment patronal (pacte Hawke-Keating-ACTU 1985,</w:t>
      </w:r>
      <w:r>
        <w:t xml:space="preserve"> </w:t>
      </w:r>
      <w:r>
        <w:rPr>
          <w:i/>
          <w:iCs/>
        </w:rPr>
        <w:t xml:space="preserve">Superannuation Guarantee</w:t>
      </w:r>
      <w:r>
        <w:t xml:space="preserve"> </w:t>
      </w:r>
      <w:r>
        <w:t xml:space="preserve">1992 → 12 % en 2025)</w:t>
      </w:r>
    </w:p>
    <w:p>
      <w:pPr>
        <w:pStyle w:val="Compact"/>
        <w:numPr>
          <w:ilvl w:val="0"/>
          <w:numId w:val="1001"/>
        </w:numPr>
      </w:pPr>
      <w:r>
        <w:rPr>
          <w:b/>
          <w:bCs/>
        </w:rPr>
        <w:t xml:space="preserve">Singapour</w:t>
      </w:r>
      <w:r>
        <w:t xml:space="preserve"> </w:t>
      </w:r>
      <w:r>
        <w:t xml:space="preserve">— le modèle asiatique mature (Lee Kuan Yew, CPF depuis 1955, 609 Md SGD = 94 % du PIB, Mercer Grade A 5e mondial)</w:t>
      </w:r>
    </w:p>
    <w:p>
      <w:pPr>
        <w:pStyle w:val="Compact"/>
        <w:numPr>
          <w:ilvl w:val="0"/>
          <w:numId w:val="1001"/>
        </w:numPr>
      </w:pPr>
      <w:r>
        <w:rPr>
          <w:b/>
          <w:bCs/>
        </w:rPr>
        <w:t xml:space="preserve">Chili</w:t>
      </w:r>
      <w:r>
        <w:t xml:space="preserve"> </w:t>
      </w:r>
      <w:r>
        <w:t xml:space="preserve">— le contre-exemple (Pinochet 1981, capitalisation pure unique au monde, 78,27 % du peuple en révolte 2020, réforme Boric 2025 = retour partiel à la répartition)</w:t>
      </w:r>
    </w:p>
    <w:p>
      <w:pPr>
        <w:pStyle w:val="FirstParagraph"/>
      </w:pPr>
      <w:r>
        <w:t xml:space="preserve">Quatre leçons pour la France : paritarisme (cotisation patronale obligatoire), plancher universel, fonds par défaut bien conçu, consensus transpartisan préalable.</w:t>
      </w:r>
    </w:p>
    <w:bookmarkEnd w:id="15"/>
    <w:bookmarkStart w:id="16" w:name="X85951052d885706046450336c94e1c67c1b2489"/>
    <w:p>
      <w:pPr>
        <w:pStyle w:val="Heading3"/>
      </w:pPr>
      <w:r>
        <w:t xml:space="preserve">Chapitre 5 — Vingt-cinq ans pour basculer</w:t>
      </w:r>
      <w:r>
        <w:t xml:space="preserve"> </w:t>
      </w:r>
      <w:r>
        <w:rPr>
          <w:i/>
          <w:iCs/>
        </w:rPr>
        <w:t xml:space="preserve">(~17 p.)</w:t>
      </w:r>
    </w:p>
    <w:p>
      <w:pPr>
        <w:pStyle w:val="FirstParagraph"/>
      </w:pPr>
      <w:r>
        <w:t xml:space="preserve">Le chapitre opérationnel. Trois sections.</w:t>
      </w:r>
      <w:r>
        <w:t xml:space="preserve"> </w:t>
      </w:r>
      <w:r>
        <w:rPr>
          <w:b/>
          <w:bCs/>
        </w:rPr>
        <w:t xml:space="preserve">Les grands enjeux structurels</w:t>
      </w:r>
      <w:r>
        <w:t xml:space="preserve"> </w:t>
      </w:r>
      <w:r>
        <w:t xml:space="preserve">: double paiement, segmentation des cohortes, acceptabilité sociale, cadre constitutionnel, temporalité.</w:t>
      </w:r>
      <w:r>
        <w:t xml:space="preserve"> </w:t>
      </w:r>
      <w:r>
        <w:rPr>
          <w:b/>
          <w:bCs/>
        </w:rPr>
        <w:t xml:space="preserve">La méthode politique</w:t>
      </w:r>
      <w:r>
        <w:t xml:space="preserve"> </w:t>
      </w:r>
      <w:r>
        <w:t xml:space="preserve">: deux voies viables — la concertation longue (inspiration Suède 1994, UK Pensions Commission 2002-2008, Pays-Bas 2019-2023) et la rapidité négociée (inspiration Australie 1985-1992, Canada 1997-1999) ; une voie à éviter — le décret-loi chilien de 1981.</w:t>
      </w:r>
      <w:r>
        <w:t xml:space="preserve"> </w:t>
      </w:r>
      <w:r>
        <w:rPr>
          <w:b/>
          <w:bCs/>
        </w:rPr>
        <w:t xml:space="preserve">L’agenda 2027-2052 en quatre phases</w:t>
      </w:r>
      <w:r>
        <w:t xml:space="preserve"> </w:t>
      </w:r>
      <w:r>
        <w:t xml:space="preserve">: préparation, lancement, déploiement, maturation — avec douze propositions ordonnées par moment de mise en œuvre, chacune positionnée comme socle commun ou modulée selon la voie choisie. Le chapitre intègre l’ancien manifeste : pas de catalogue isolé, mais un agenda politique cohérent.</w:t>
      </w:r>
    </w:p>
    <w:bookmarkEnd w:id="16"/>
    <w:bookmarkStart w:id="17" w:name="X1c7c127dd27393077d6426af0c8e4cf4d9027ba"/>
    <w:p>
      <w:pPr>
        <w:pStyle w:val="Heading3"/>
      </w:pPr>
      <w:r>
        <w:t xml:space="preserve">Chapitre 6 — Cinq mensonges qui ont coûté trente ans</w:t>
      </w:r>
      <w:r>
        <w:t xml:space="preserve"> </w:t>
      </w:r>
      <w:r>
        <w:rPr>
          <w:i/>
          <w:iCs/>
        </w:rPr>
        <w:t xml:space="preserve">(~13 p., format Q/R, en clôture)</w:t>
      </w:r>
    </w:p>
    <w:p>
      <w:pPr>
        <w:pStyle w:val="FirstParagraph"/>
      </w:pPr>
      <w:r>
        <w:t xml:space="preserve">Désamorçage frontal des objections. Format question-réponse explicite. Six objections, démontées une par une — celles qu’on entend dans tous les dîners français dès qu’on prononce le mot.</w:t>
      </w:r>
    </w:p>
    <w:p>
      <w:pPr>
        <w:pStyle w:val="Compact"/>
        <w:numPr>
          <w:ilvl w:val="0"/>
          <w:numId w:val="1002"/>
        </w:numPr>
      </w:pPr>
      <w:r>
        <w:rPr>
          <w:i/>
          <w:iCs/>
        </w:rPr>
        <w:t xml:space="preserve">La bourse, c’est le casino : et si tout s’effondre ?</w:t>
      </w:r>
    </w:p>
    <w:p>
      <w:pPr>
        <w:pStyle w:val="Compact"/>
        <w:numPr>
          <w:ilvl w:val="0"/>
          <w:numId w:val="1002"/>
        </w:numPr>
      </w:pPr>
      <w:r>
        <w:rPr>
          <w:i/>
          <w:iCs/>
        </w:rPr>
        <w:t xml:space="preserve">Et Enron, Madoff, Detroit ?</w:t>
      </w:r>
    </w:p>
    <w:p>
      <w:pPr>
        <w:pStyle w:val="Compact"/>
        <w:numPr>
          <w:ilvl w:val="0"/>
          <w:numId w:val="1002"/>
        </w:numPr>
      </w:pPr>
      <w:r>
        <w:rPr>
          <w:i/>
          <w:iCs/>
        </w:rPr>
        <w:t xml:space="preserve">C’est anti-social : ça profite aux riches</w:t>
      </w:r>
    </w:p>
    <w:p>
      <w:pPr>
        <w:pStyle w:val="Compact"/>
        <w:numPr>
          <w:ilvl w:val="0"/>
          <w:numId w:val="1002"/>
        </w:numPr>
      </w:pPr>
      <w:r>
        <w:rPr>
          <w:i/>
          <w:iCs/>
        </w:rPr>
        <w:t xml:space="preserve">Le double paiement est insurmontable</w:t>
      </w:r>
      <w:r>
        <w:t xml:space="preserve"> </w:t>
      </w:r>
      <w:r>
        <w:t xml:space="preserve">(l’objection pivot)</w:t>
      </w:r>
    </w:p>
    <w:p>
      <w:pPr>
        <w:pStyle w:val="Compact"/>
        <w:numPr>
          <w:ilvl w:val="0"/>
          <w:numId w:val="1002"/>
        </w:numPr>
      </w:pPr>
      <w:r>
        <w:rPr>
          <w:i/>
          <w:iCs/>
        </w:rPr>
        <w:t xml:space="preserve">On a déjà essayé : le PER, ça ne marche pas</w:t>
      </w:r>
    </w:p>
    <w:p>
      <w:pPr>
        <w:pStyle w:val="Compact"/>
        <w:numPr>
          <w:ilvl w:val="0"/>
          <w:numId w:val="1002"/>
        </w:numPr>
      </w:pPr>
      <w:r>
        <w:rPr>
          <w:i/>
          <w:iCs/>
        </w:rPr>
        <w:t xml:space="preserve">La France n’a pas la culture financière</w:t>
      </w:r>
    </w:p>
    <w:p>
      <w:r>
        <w:pict>
          <v:rect style="width:0;height:1.5pt" o:hralign="center" o:hrstd="t" o:hr="t"/>
        </w:pict>
      </w:r>
    </w:p>
    <w:p>
      <w:pPr>
        <w:pStyle w:val="FirstParagraph"/>
      </w:pPr>
      <w:r>
        <w:rPr>
          <w:b/>
          <w:bCs/>
        </w:rPr>
        <w:t xml:space="preserve">Total</w:t>
      </w:r>
      <w:r>
        <w:t xml:space="preserve"> </w:t>
      </w:r>
      <w:r>
        <w:t xml:space="preserve">: ~113 pages.</w:t>
      </w:r>
    </w:p>
    <w:p>
      <w:pPr>
        <w:pStyle w:val="BodyText"/>
      </w:pPr>
      <w:r>
        <w:rPr>
          <w:b/>
          <w:bCs/>
        </w:rPr>
        <w:t xml:space="preserve">Méthode</w:t>
      </w:r>
      <w:r>
        <w:t xml:space="preserve"> </w:t>
      </w:r>
      <w:r>
        <w:t xml:space="preserve">: essai engagé, fondé sur 30+ sources institutionnelles primaires (OCDE</w:t>
      </w:r>
      <w:r>
        <w:t xml:space="preserve"> </w:t>
      </w:r>
      <w:r>
        <w:rPr>
          <w:i/>
          <w:iCs/>
        </w:rPr>
        <w:t xml:space="preserve">Pensions at a Glance 2025</w:t>
      </w:r>
      <w:r>
        <w:t xml:space="preserve">, Mercer CFA</w:t>
      </w:r>
      <w:r>
        <w:t xml:space="preserve"> </w:t>
      </w:r>
      <w:r>
        <w:rPr>
          <w:i/>
          <w:iCs/>
        </w:rPr>
        <w:t xml:space="preserve">Global Pension Index 2025</w:t>
      </w:r>
      <w:r>
        <w:t xml:space="preserve">, COR Rapport annuel 2025, INSEE</w:t>
      </w:r>
      <w:r>
        <w:t xml:space="preserve"> </w:t>
      </w:r>
      <w:r>
        <w:rPr>
          <w:i/>
          <w:iCs/>
        </w:rPr>
        <w:t xml:space="preserve">Bilan démographique 2025</w:t>
      </w:r>
      <w:r>
        <w:t xml:space="preserve">, ACPR, AFG, Banque de France, BPI France Le Lab, France Invest, NBIM, ABP, PFZW, CPPIB, CDPQ, NEST, AustralianSuper, AP7, CPF Board Singapour, Superintendencia de Pensiones Chili, Vernimmen, Janus Henderson, UBS</w:t>
      </w:r>
      <w:r>
        <w:t xml:space="preserve"> </w:t>
      </w:r>
      <w:r>
        <w:rPr>
          <w:i/>
          <w:iCs/>
        </w:rPr>
        <w:t xml:space="preserve">Global Investment Returns Yearbook 2025</w:t>
      </w:r>
      <w:r>
        <w:t xml:space="preserve">, Pierucci</w:t>
      </w:r>
      <w:r>
        <w:t xml:space="preserve"> </w:t>
      </w:r>
      <w:r>
        <w:rPr>
          <w:i/>
          <w:iCs/>
        </w:rPr>
        <w:t xml:space="preserve">Le piège américain</w:t>
      </w:r>
      <w:r>
        <w:t xml:space="preserve"> </w:t>
      </w:r>
      <w:r>
        <w:t xml:space="preserve">JC Lattès 2019, Tirole</w:t>
      </w:r>
      <w:r>
        <w:t xml:space="preserve"> </w:t>
      </w:r>
      <w:r>
        <w:rPr>
          <w:i/>
          <w:iCs/>
        </w:rPr>
        <w:t xml:space="preserve">Économie du bien commun</w:t>
      </w:r>
      <w:r>
        <w:t xml:space="preserve"> </w:t>
      </w:r>
      <w:r>
        <w:t xml:space="preserve">PUF 2016, Palier</w:t>
      </w:r>
      <w:r>
        <w:t xml:space="preserve"> </w:t>
      </w:r>
      <w:r>
        <w:rPr>
          <w:i/>
          <w:iCs/>
        </w:rPr>
        <w:t xml:space="preserve">Réformer les retraites</w:t>
      </w:r>
      <w:r>
        <w:t xml:space="preserve"> </w:t>
      </w:r>
      <w:r>
        <w:t xml:space="preserve">Sciences Po 2021, Cahuc-Zylberberg</w:t>
      </w:r>
      <w:r>
        <w:t xml:space="preserve"> </w:t>
      </w:r>
      <w:r>
        <w:rPr>
          <w:i/>
          <w:iCs/>
        </w:rPr>
        <w:t xml:space="preserve">Le négationnisme économique</w:t>
      </w:r>
      <w:r>
        <w:t xml:space="preserve"> </w:t>
      </w:r>
      <w:r>
        <w:t xml:space="preserve">Flammarion 2016, Edwards</w:t>
      </w:r>
      <w:r>
        <w:t xml:space="preserve"> </w:t>
      </w:r>
      <w:r>
        <w:rPr>
          <w:i/>
          <w:iCs/>
        </w:rPr>
        <w:t xml:space="preserve">The Chile Project</w:t>
      </w:r>
      <w:r>
        <w:t xml:space="preserve"> </w:t>
      </w:r>
      <w:r>
        <w:t xml:space="preserve">Princeton 2023), modélisation Python actuarielle validée à 0,0000 % d’écart contre formule alternative, et incarnation par quatre personnages composites construits à partir d’entretiens conduits dans le cadre du panel constitué pour ce livre — Sylvie, Alex, Margaux, Bernard.</w:t>
      </w:r>
    </w:p>
    <w:p>
      <w:r>
        <w:pict>
          <v:rect style="width:0;height:1.5pt" o:hralign="center" o:hrstd="t" o:hr="t"/>
        </w:pict>
      </w:r>
    </w:p>
    <w:p>
      <w:pPr>
        <w:pStyle w:val="FirstParagraph"/>
      </w:pPr>
      <w:r>
        <w:rPr>
          <w:i/>
          <w:iCs/>
        </w:rPr>
        <w:t xml:space="preserve">Capitalisons. La France et son capital absent.</w:t>
      </w:r>
      <w:r>
        <w:br/>
      </w:r>
      <w:r>
        <w:t xml:space="preserve">Emmanuel Blezes, 2026.</w:t>
      </w:r>
    </w:p>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Capitalisons</dc:title>
  <dc:creator>Où Va l’Argent</dc:creator>
  <dc:language>fr-FR</dc:language>
  <cp:keywords/>
  <dcterms:created xsi:type="dcterms:W3CDTF">2026-05-17T12:01:22Z</dcterms:created>
  <dcterms:modified xsi:type="dcterms:W3CDTF">2026-05-17T12:01:22Z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1.4</vt:lpwstr>
  </property>
  <property fmtid="{D5CDD505-2E9C-101B-9397-08002B2CF9AE}" pid="7" name="links-as-notes">
    <vt:lpwstr>True</vt:lpwstr>
  </property>
  <property fmtid="{D5CDD505-2E9C-101B-9397-08002B2CF9AE}" pid="8" name="mainfont">
    <vt:lpwstr>Cambria</vt:lpwstr>
  </property>
  <property fmtid="{D5CDD505-2E9C-101B-9397-08002B2CF9AE}" pid="9" name="notes-after-punctuation">
    <vt:lpwstr>True</vt:lpwstr>
  </property>
  <property fmtid="{D5CDD505-2E9C-101B-9397-08002B2CF9AE}" pid="10" name="numbersections">
    <vt:lpwstr>False</vt:lpwstr>
  </property>
  <property fmtid="{D5CDD505-2E9C-101B-9397-08002B2CF9AE}" pid="11" name="reference-section-title">
    <vt:lpwstr>Notes</vt:lpwstr>
  </property>
  <property fmtid="{D5CDD505-2E9C-101B-9397-08002B2CF9AE}" pid="12" name="secnumdepth">
    <vt:lpwstr>0</vt:lpwstr>
  </property>
  <property fmtid="{D5CDD505-2E9C-101B-9397-08002B2CF9AE}" pid="13" name="subtitle">
    <vt:lpwstr>La France et son capital absent</vt:lpwstr>
  </property>
  <property fmtid="{D5CDD505-2E9C-101B-9397-08002B2CF9AE}" pid="14" name="toc">
    <vt:lpwstr>True</vt:lpwstr>
  </property>
  <property fmtid="{D5CDD505-2E9C-101B-9397-08002B2CF9AE}" pid="15" name="toc-depth">
    <vt:lpwstr>2</vt:lpwstr>
  </property>
</Properties>
</file>