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Capitalisons</w:t>
      </w:r>
    </w:p>
    <w:p>
      <w:pPr>
        <w:pStyle w:val="Subtitle"/>
      </w:pPr>
      <w:r>
        <w:t xml:space="preserve">La France et son capital absent</w:t>
      </w:r>
    </w:p>
    <w:p>
      <w:pPr>
        <w:pStyle w:val="Author"/>
      </w:pPr>
      <w:r>
        <w:t xml:space="preserve">Où Va l’Argent</w:t>
      </w:r>
    </w:p>
    <w:p>
      <w:pPr>
        <w:pStyle w:val="Date"/>
      </w:pP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9" w:name="avant-propos"/>
    <w:p>
      <w:pPr>
        <w:pStyle w:val="Heading1"/>
      </w:pPr>
      <w:r>
        <w:t xml:space="preserve">Avant-propos</w:t>
      </w:r>
    </w:p>
    <w:bookmarkStart w:id="18" w:name="le-paradoxe-doliprane"/>
    <w:p>
      <w:pPr>
        <w:pStyle w:val="Heading2"/>
      </w:pPr>
      <w:r>
        <w:t xml:space="preserve">Le paradoxe Doliprane</w:t>
      </w:r>
    </w:p>
    <w:p>
      <w:pPr>
        <w:pStyle w:val="FirstParagraph"/>
      </w:pPr>
      <w:r>
        <w:t xml:space="preserve">Octobre 2024. Sanofi annonce la cession d’Opella, sa filiale grand public — celle qui fabrique le Doliprane. Le repreneur s’appelle Clayton, Dubilier &amp; Rice. C’est un fonds d’investissement américain, basé à New York. L’opération se monte à seize milliards d’euros</w:t>
      </w:r>
      <w:r>
        <w:rPr>
          <w:rStyle w:val="FootnoteReference"/>
        </w:rPr>
        <w:footnoteReference w:id="9"/>
      </w:r>
      <w:r>
        <w:t xml:space="preserve">. La France apprend, en lisant</w:t>
      </w:r>
      <w:r>
        <w:t xml:space="preserve"> </w:t>
      </w:r>
      <w:r>
        <w:rPr>
          <w:i/>
          <w:iCs/>
        </w:rPr>
        <w:t xml:space="preserve">Les Échos</w:t>
      </w:r>
      <w:r>
        <w:t xml:space="preserve">, que le médicament le plus vendu de son histoire vient de changer de mains.</w:t>
      </w:r>
    </w:p>
    <w:p>
      <w:pPr>
        <w:pStyle w:val="BodyText"/>
      </w:pPr>
      <w:r>
        <w:t xml:space="preserve">L’émotion est immédiate. Une pétition circule. Des députés montent au créneau, à gauche comme au Rassemblement national. Le ministre de l’Économie convoque la direction de Sanofi. La presse parle de symbole, de bradage industriel, d’« actif stratégique ». Pendant quelques semaines, le Doliprane devient l’affaire publique numéro un — avant que la rentrée politique ne reprenne, et que tout le monde passe à autre chose.</w:t>
      </w:r>
    </w:p>
    <w:p>
      <w:pPr>
        <w:pStyle w:val="BodyText"/>
      </w:pPr>
      <w:r>
        <w:t xml:space="preserve">L’épisode est emblématique pour deux raisons. La première : on est en train de regarder, en direct, un actif industriel français passer sous pavillon étranger. Pas un actif anonyme — un produit que tout le monde connaît, un nom de marque devenu nom commun, fabriqué à Lisieux et à Compiègne. Et la deuxième : pendant que la France s’indigne, personne ne pose la question pourtant la plus simple. Qui aurait pu acheter à la place ? Quel acteur français disposait, en octobre 2024, des seize milliards d’euros nécessaires pour reprendre Opella ?</w:t>
      </w:r>
    </w:p>
    <w:p>
      <w:pPr>
        <w:pStyle w:val="BodyText"/>
      </w:pPr>
      <w:r>
        <w:t xml:space="preserve">La réponse est embarrassante. Personne. Aucun investisseur français n’avait à cette date la capacité de mettre seize milliards d’euros sur la table pour un actif de cette taille. Le plus gros gestionnaire français de capital-investissement, Ardian, gérait alors environ cent cinquante milliards de dollars au total — avec des centaines d’entreprises en portefeuille, sur lesquelles il ne pouvait concentrer qu’une fraction</w:t>
      </w:r>
      <w:r>
        <w:rPr>
          <w:rStyle w:val="FootnoteReference"/>
        </w:rPr>
        <w:footnoteReference w:id="10"/>
      </w:r>
      <w:r>
        <w:t xml:space="preserve">. Clayton, Dubilier &amp; Rice, lui, s’appuie sur une mécanique différente : derrière le fonds, il y a, en lointaine ligne d’arrière, des fonds de pension américains, britanniques, canadiens, qui placent là une partie de l’épargne retraite de leurs cotisants. Ce sont eux qui,</w:t>
      </w:r>
      <w:r>
        <w:t xml:space="preserve"> </w:t>
      </w:r>
      <w:r>
        <w:rPr>
          <w:i/>
          <w:iCs/>
        </w:rPr>
        <w:t xml:space="preserve">in fine</w:t>
      </w:r>
      <w:r>
        <w:t xml:space="preserve">, paient le Doliprane.</w:t>
      </w:r>
    </w:p>
    <w:p>
      <w:r>
        <w:pict>
          <v:rect style="width:0;height:1.5pt" o:hralign="center" o:hrstd="t" o:hr="t"/>
        </w:pict>
      </w:r>
    </w:p>
    <w:p>
      <w:pPr>
        <w:pStyle w:val="FirstParagraph"/>
      </w:pPr>
      <w:r>
        <w:t xml:space="preserve">C’est ici que se joue le paradoxe français. Un paradoxe étrange, presque schizophrénique, dont nous ne sortons jamais.</w:t>
      </w:r>
    </w:p>
    <w:p>
      <w:pPr>
        <w:pStyle w:val="BodyText"/>
      </w:pPr>
      <w:r>
        <w:t xml:space="preserve">D’un côté, nous détestons les fonds de pension. Le mot lui-même fait peur. Il sent l’anglo-saxon, le libéralisme dur, le capitalisme financier déshumanisé. Quand un homme politique français évoque la capitalisation, même prudemment, il déclenche une levée de boucliers immédiate. Les syndicats parlent de marchandisation, les économistes orthodoxes rappellent les épisodes Enron et Madoff, la gauche dénonce une privatisation rampante de la Sécurité sociale</w:t>
      </w:r>
      <w:r>
        <w:rPr>
          <w:rStyle w:val="FootnoteReference"/>
        </w:rPr>
        <w:footnoteReference w:id="11"/>
      </w:r>
      <w:r>
        <w:t xml:space="preserve">. Depuis trente ans, le sujet est verrouillé. La loi Thomas, votée en mars 1997, a été enterrée par le gouvernement Jospin avant d’être abrogée en 2002</w:t>
      </w:r>
      <w:r>
        <w:rPr>
          <w:rStyle w:val="FootnoteReference"/>
        </w:rPr>
        <w:footnoteReference w:id="12"/>
      </w:r>
      <w:r>
        <w:t xml:space="preserve">. Aucun gouvernement, depuis, n’y est revenu sérieusement.</w:t>
      </w:r>
    </w:p>
    <w:p>
      <w:pPr>
        <w:pStyle w:val="BodyText"/>
      </w:pPr>
      <w:r>
        <w:t xml:space="preserve">De l’autre côté, nous détestons que des fonds de pension étrangers rachètent nos entreprises. Quand Heico, l’américain, s’empare d’Exxelia pour quatre cent cinquante-trois millions d’euros, nous nous indignons</w:t>
      </w:r>
      <w:r>
        <w:rPr>
          <w:rStyle w:val="FootnoteReference"/>
        </w:rPr>
        <w:footnoteReference w:id="13"/>
      </w:r>
      <w:r>
        <w:t xml:space="preserve">. Quand Photonis — la pépite française des systèmes de vision nocturne pour les forces spéciales — manque d’être vendu à l’américain Teledyne, Bercy intervient en catastrophe pour orchestrer un rachat patrimonial</w:t>
      </w:r>
      <w:r>
        <w:rPr>
          <w:rStyle w:val="FootnoteReference"/>
        </w:rPr>
        <w:footnoteReference w:id="14"/>
      </w:r>
      <w:r>
        <w:t xml:space="preserve">. Quand le moteur d’Ariane 6 quitte Vernon pour Lampoldshausen, nous parlons de trahison industrielle</w:t>
      </w:r>
      <w:r>
        <w:rPr>
          <w:rStyle w:val="FootnoteReference"/>
        </w:rPr>
        <w:footnoteReference w:id="15"/>
      </w:r>
      <w:r>
        <w:t xml:space="preserve">. Quand Lafarge passe à Holcim, Alstom Énergie à General Electric, Technip à FMC, Doliprane à Clayton, Dubilier &amp; Rice, nous écrivons des éditoriaux furieux et des rapports parlementaires alarmés.</w:t>
      </w:r>
    </w:p>
    <w:p>
      <w:pPr>
        <w:pStyle w:val="BodyText"/>
      </w:pPr>
      <w:r>
        <w:t xml:space="preserve">Nous voulons donc deux choses incompatibles. Nous voulons que nos entreprises restent françaises — leurs sièges, leurs brevets, leurs centres de décision. Et nous voulons interdire qu’existe en France l’instrument qui, partout ailleurs, permet précisément de garder le capital national sous contrôle national. Nous voulons le résultat sans accepter l’outil. Nous reprochons aux fonds étrangers de faire ce que nous nous interdisons de faire.</w:t>
      </w:r>
    </w:p>
    <w:p>
      <w:pPr>
        <w:pStyle w:val="BodyText"/>
      </w:pPr>
      <w:r>
        <w:t xml:space="preserve">Ce paradoxe est le point de départ de ce livre.</w:t>
      </w:r>
    </w:p>
    <w:p>
      <w:r>
        <w:pict>
          <v:rect style="width:0;height:1.5pt" o:hralign="center" o:hrstd="t" o:hr="t"/>
        </w:pict>
      </w:r>
    </w:p>
    <w:p>
      <w:pPr>
        <w:pStyle w:val="FirstParagraph"/>
      </w:pPr>
      <w:r>
        <w:t xml:space="preserve">Il existe, dans le monde occidental, deux grandes familles de pays. Ceux qui ont des fonds de pension, et ceux qui n’en ont pas. La France est, presque seule parmi les pays comparables, dans la deuxième catégorie. Les Néerlandais ont accumulé un capital équivalent à 225 % de leur produit intérieur brut. Les Norvégiens dépassent 280 %. Les Suisses, les Australiens, les Britanniques, les Canadiens, les Suédois, les Américains naviguent tous entre 120 % et 180 %. La France plafonne à 2,5 %</w:t>
      </w:r>
      <w:r>
        <w:rPr>
          <w:rStyle w:val="FootnoteReference"/>
        </w:rPr>
        <w:footnoteReference w:id="16"/>
      </w:r>
      <w:r>
        <w:t xml:space="preserve">. C’est un écart d’échelle qui ne se mesure plus en pourcentages, mais en ordres de grandeur.</w:t>
      </w:r>
    </w:p>
    <w:p>
      <w:pPr>
        <w:pStyle w:val="BodyText"/>
      </w:pPr>
      <w:r>
        <w:t xml:space="preserve">Cette différence n’est pas anecdotique. Elle structure une économie entière. Elle détermine qui détient les entreprises cotées, qui finance les startups, qui rachète les ETI familiales lorsque leur fondateur part à la retraite, quel niveau de pension touchent les retraités, à quelle profondeur de marché s’échangent les actions, et — au bout du compte — où s’accumule le capital long terme qui permet aux pays de tenir dans la durée.</w:t>
      </w:r>
    </w:p>
    <w:p>
      <w:pPr>
        <w:pStyle w:val="BodyText"/>
      </w:pPr>
      <w:r>
        <w:t xml:space="preserve">Pendant trente ans, la France s’est protégée derrière un récit : la capitalisation serait inégalitaire, risquée, étrangère à notre culture de la solidarité, contraire aux principes de 1945. Ce récit a tenu jusqu’aujourd’hui. Il est en train de se fissurer, parce que les conséquences concrètes du choix français deviennent, année après année, trop coûteuses pour être ignorées. Pas dans cinquante ans : maintenant. Pendant que nous lisons ces lignes.</w:t>
      </w:r>
    </w:p>
    <w:p>
      <w:r>
        <w:pict>
          <v:rect style="width:0;height:1.5pt" o:hralign="center" o:hrstd="t" o:hr="t"/>
        </w:pict>
      </w:r>
    </w:p>
    <w:p>
      <w:pPr>
        <w:pStyle w:val="FirstParagraph"/>
      </w:pPr>
      <w:r>
        <w:t xml:space="preserve">Ce livre n’est pas un manuel d’épargne personnelle. Il n’est pas un guide pour optimiser son Plan d’épargne retraite. Il n’est pas non plus un pamphlet libéral réclamant le démantèlement de la Sécurité sociale. La capitalisation, dans tous les pays qui l’ont adoptée, vient en complément de la répartition — pas à sa place. Le débat français, lui, oppose à tort deux modèles présentés comme antagonistes. Ce sont en réalité deux piliers d’un même édifice.</w:t>
      </w:r>
    </w:p>
    <w:p>
      <w:pPr>
        <w:pStyle w:val="BodyText"/>
      </w:pPr>
      <w:r>
        <w:t xml:space="preserve">Ce qui suit est un plaidoyer documenté. Il fait trois choses, et trois seulement.</w:t>
      </w:r>
    </w:p>
    <w:p>
      <w:pPr>
        <w:pStyle w:val="BodyText"/>
      </w:pPr>
      <w:r>
        <w:t xml:space="preserve">Il décrit. Il pose les chiffres, les compare, les date, les source. Il montre où en est la France, où en sont les autres, et pourquoi l’écart s’est creusé. Banque de France, INSEE, Conseil d’orientation des retraites, Cour des comptes, OCDE, Drees, France Stratégie ; rapports annuels des fonds étrangers eux-mêmes ; études des principaux</w:t>
      </w:r>
      <w:r>
        <w:t xml:space="preserve"> </w:t>
      </w:r>
      <w:r>
        <w:rPr>
          <w:i/>
          <w:iCs/>
        </w:rPr>
        <w:t xml:space="preserve">think tanks</w:t>
      </w:r>
      <w:r>
        <w:t xml:space="preserve"> </w:t>
      </w:r>
      <w:r>
        <w:t xml:space="preserve">français. Toutes les sources sont indiquées en note de bas de page, toutes les affirmations sont vérifiables.</w:t>
      </w:r>
    </w:p>
    <w:p>
      <w:pPr>
        <w:pStyle w:val="BodyText"/>
      </w:pPr>
      <w:r>
        <w:t xml:space="preserve">Il démontre. Il établit le lien entre l’absence de fonds de pension et un certain nombre de pathologies françaises devenues familières : la fuite des dividendes, l’atrophie d’Euronext Paris, l’expatriation des startups, l’étranglement des PME, l’écart de pension avec nos voisins, la fragilité mathématique du système par répartition, l’inégalité grandissante entre générations. Et surtout — c’est le cœur du livre — la perte de souveraineté économique sur nos propres entreprises, dans une fenêtre de transmissions massives qui se referme dans les dix prochaines années.</w:t>
      </w:r>
    </w:p>
    <w:p>
      <w:pPr>
        <w:pStyle w:val="BodyText"/>
      </w:pPr>
      <w:r>
        <w:t xml:space="preserve">Il propose. Il décrit, en s’inspirant de ce que d’autres pays ont déjà fait, une feuille de route concrète, chiffrée, étalée sur trente ans. Pas un rêve idéologique : un plan opérationnel, avec ses phases, ses options juridiques, ses arbitrages financiers, ses verrous politiques. Inspiré directement de l’expérience australienne (1992-2025), suédoise (1998-2014) et britannique (2012-2024), et adapté aux particularités françaises</w:t>
      </w:r>
      <w:r>
        <w:rPr>
          <w:rStyle w:val="FootnoteReference"/>
        </w:rPr>
        <w:footnoteReference w:id="17"/>
      </w:r>
      <w:r>
        <w:t xml:space="preserve">.</w:t>
      </w:r>
    </w:p>
    <w:p>
      <w:r>
        <w:pict>
          <v:rect style="width:0;height:1.5pt" o:hralign="center" o:hrstd="t" o:hr="t"/>
        </w:pict>
      </w:r>
    </w:p>
    <w:p>
      <w:pPr>
        <w:pStyle w:val="FirstParagraph"/>
      </w:pPr>
      <w:r>
        <w:t xml:space="preserve">Une dernière chose. Ce livre est écrit dans une période — celle qui précède l’élection présidentielle de 2027 — où le sujet des retraites et du financement de l’économie française va revenir au centre du débat. Il est conçu pour servir d’outil aux journalistes, aux décideurs, aux militants associatifs, aux chefs d’entreprise, aux syndicalistes, aux parlementaires qui voudront, à un moment, sortir des incantations idéologiques pour regarder les chiffres.</w:t>
      </w:r>
    </w:p>
    <w:p>
      <w:pPr>
        <w:pStyle w:val="BodyText"/>
      </w:pPr>
      <w:r>
        <w:t xml:space="preserve">Que la France se dote, ou non, de fonds de pension ne dépend ni d’une fatalité économique ni d’une logique de marché. C’est un choix politique. Et comme tout choix politique, il commence par un débat — qui suppose, d’abord, un diagnostic partagé.</w:t>
      </w:r>
    </w:p>
    <w:p>
      <w:pPr>
        <w:pStyle w:val="BodyText"/>
      </w:pPr>
      <w:r>
        <w:t xml:space="preserve">C’est ce diagnostic que nous voulons établir. Et la première étape, c’est de sortir du paradoxe. De cesser de vouloir simultanément interdire les fonds de pension et conserver les entreprises qu’ils sont, partout ailleurs, les seuls à savoir vraiment financer dans la durée.</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Léa Drumond, « Sanofi vend Doliprane à un fonds américain : 16 milliards d’euros »,</w:t>
      </w:r>
      <w:r>
        <w:t xml:space="preserve"> </w:t>
      </w:r>
      <w:r>
        <w:rPr>
          <w:i/>
          <w:iCs/>
        </w:rPr>
        <w:t xml:space="preserve">Les Échos</w:t>
      </w:r>
      <w:r>
        <w:t xml:space="preserve">, 21 octobre 2024 ; voir également</w:t>
      </w:r>
      <w:r>
        <w:t xml:space="preserve"> </w:t>
      </w:r>
      <w:r>
        <w:rPr>
          <w:i/>
          <w:iCs/>
        </w:rPr>
        <w:t xml:space="preserve">VivaMagazine</w:t>
      </w:r>
      <w:r>
        <w:t xml:space="preserve">,</w:t>
      </w:r>
      <w:r>
        <w:t xml:space="preserve"> </w:t>
      </w:r>
      <w:r>
        <w:rPr>
          <w:i/>
          <w:iCs/>
        </w:rPr>
        <w:t xml:space="preserve">Le Doliprane finalement racheté par le fonds américain CDR</w:t>
      </w:r>
      <w:r>
        <w:t xml:space="preserve">, 2024 (https://www.vivamagazine.fr/le-doliprane-finalement-rachete-par-le-fonds-americain-cdr/). L’opération porte sur Opella, filiale santé grand public de Sanofi qui exploite notamment les marques Doliprane, Dulcolax, Allegra et Imodium.</w:t>
      </w:r>
    </w:p>
  </w:footnote>
  <w:footnote w:id="10">
    <w:p>
      <w:pPr>
        <w:pStyle w:val="FootnoteText"/>
      </w:pPr>
      <w:r>
        <w:rPr>
          <w:rStyle w:val="FootnoteReference"/>
        </w:rPr>
        <w:footnoteRef/>
      </w:r>
      <w:r>
        <w:t xml:space="preserve"> </w:t>
      </w:r>
      <w:r>
        <w:t xml:space="preserve">Ardian,</w:t>
      </w:r>
      <w:r>
        <w:t xml:space="preserve"> </w:t>
      </w:r>
      <w:r>
        <w:rPr>
          <w:i/>
          <w:iCs/>
        </w:rPr>
        <w:t xml:space="preserve">Annual Report 2024</w:t>
      </w:r>
      <w:r>
        <w:t xml:space="preserve">, 2025. À fin 2024, Ardian gérait 169 milliards de dollars d’actifs. À titre de comparaison, le seul fonds de pension Government Pension Fund Global (Norvège) gérait 1 950 milliards de dollars à la même date. Voir Norges Bank Investment Management,</w:t>
      </w:r>
      <w:r>
        <w:t xml:space="preserve"> </w:t>
      </w:r>
      <w:r>
        <w:rPr>
          <w:i/>
          <w:iCs/>
        </w:rPr>
        <w:t xml:space="preserve">Government Pension Fund Global — Annual Report 2024</w:t>
      </w:r>
      <w:r>
        <w:t xml:space="preserve">, 2025 (https://www.nbim.no).</w:t>
      </w:r>
    </w:p>
  </w:footnote>
  <w:footnote w:id="11">
    <w:p>
      <w:pPr>
        <w:pStyle w:val="FootnoteText"/>
      </w:pPr>
      <w:r>
        <w:rPr>
          <w:rStyle w:val="FootnoteReference"/>
        </w:rPr>
        <w:footnoteRef/>
      </w:r>
      <w:r>
        <w:t xml:space="preserve"> </w:t>
      </w:r>
      <w:r>
        <w:t xml:space="preserve">Position publique de la Confédération Générale du Travail,</w:t>
      </w:r>
      <w:r>
        <w:t xml:space="preserve"> </w:t>
      </w:r>
      <w:r>
        <w:rPr>
          <w:i/>
          <w:iCs/>
        </w:rPr>
        <w:t xml:space="preserve">La capitalisation : le rêve de la finance</w:t>
      </w:r>
      <w:r>
        <w:t xml:space="preserve">, position constante depuis les années 1990 (https://www.cgt.fr/actualites/france/retraites/la-capitalisation-le-reve-de-la-finance). Pour une analyse de la position des partis et syndicats français face à la capitalisation : Bertrand Martinot,</w:t>
      </w:r>
      <w:r>
        <w:t xml:space="preserve"> </w:t>
      </w:r>
      <w:r>
        <w:rPr>
          <w:i/>
          <w:iCs/>
        </w:rPr>
        <w:t xml:space="preserve">La capitalisation, un moyen de sortir par le haut de la crise des retraites ?</w:t>
      </w:r>
      <w:r>
        <w:t xml:space="preserve">, Fondation pour l’innovation politique, octobre 2024 (https://www.fondapol.org/etude/la-capitalisation-un-moyen-de-sortir-par-le-haut-de-la-crise-des-retraites/).</w:t>
      </w:r>
    </w:p>
  </w:footnote>
  <w:footnote w:id="12">
    <w:p>
      <w:pPr>
        <w:pStyle w:val="FootnoteText"/>
      </w:pPr>
      <w:r>
        <w:rPr>
          <w:rStyle w:val="FootnoteReference"/>
        </w:rPr>
        <w:footnoteRef/>
      </w:r>
      <w:r>
        <w:t xml:space="preserve"> </w:t>
      </w:r>
      <w:r>
        <w:t xml:space="preserve">Loi n° 97-277 du 25 mars 1997, dite « loi Thomas », créant les plans d’épargne retraite (https://www.legifrance.gouv.fr/jorf/id/JORFTEXT000000198906). La loi a été votée sous le gouvernement Juppé et promulguée. Le gouvernement Jospin, après les législatives de juin 1997, a refusé de publier les décrets d’application, rendant la loi inapplicable. Elle a été formellement abrogée en 2002. Pour un historique détaillé : Sénat,</w:t>
      </w:r>
      <w:r>
        <w:t xml:space="preserve"> </w:t>
      </w:r>
      <w:r>
        <w:rPr>
          <w:i/>
          <w:iCs/>
        </w:rPr>
        <w:t xml:space="preserve">Rapport sur la proposition de loi sur les fonds de pension</w:t>
      </w:r>
      <w:r>
        <w:t xml:space="preserve">, 1999 (https://www.senat.fr/rap/l99-008/l99-0085.html).</w:t>
      </w:r>
    </w:p>
  </w:footnote>
  <w:footnote w:id="13">
    <w:p>
      <w:pPr>
        <w:pStyle w:val="FootnoteText"/>
      </w:pPr>
      <w:r>
        <w:rPr>
          <w:rStyle w:val="FootnoteReference"/>
        </w:rPr>
        <w:footnoteRef/>
      </w:r>
      <w:r>
        <w:t xml:space="preserve"> </w:t>
      </w:r>
      <w:r>
        <w:rPr>
          <w:i/>
          <w:iCs/>
        </w:rPr>
        <w:t xml:space="preserve">24matins</w:t>
      </w:r>
      <w:r>
        <w:t xml:space="preserve">,</w:t>
      </w:r>
      <w:r>
        <w:t xml:space="preserve"> </w:t>
      </w:r>
      <w:r>
        <w:rPr>
          <w:i/>
          <w:iCs/>
        </w:rPr>
        <w:t xml:space="preserve">Rachat d’Exxelia par l’américain Heico : la souveraineté française en cause</w:t>
      </w:r>
      <w:r>
        <w:t xml:space="preserve">, 2022 ; voir également</w:t>
      </w:r>
      <w:r>
        <w:t xml:space="preserve"> </w:t>
      </w:r>
      <w:r>
        <w:rPr>
          <w:i/>
          <w:iCs/>
        </w:rPr>
        <w:t xml:space="preserve">Zone Bourse</w:t>
      </w:r>
      <w:r>
        <w:t xml:space="preserve">,</w:t>
      </w:r>
      <w:r>
        <w:t xml:space="preserve"> </w:t>
      </w:r>
      <w:r>
        <w:rPr>
          <w:i/>
          <w:iCs/>
        </w:rPr>
        <w:t xml:space="preserve">L’américain Heico a finalisé le rachat du français Exxelia</w:t>
      </w:r>
      <w:r>
        <w:t xml:space="preserve">, 2022 (https://www.zonebourse.com/cours/action/HEICO-CORPORATION-12898/). Exxelia est un fabricant français de composants électroniques spécialisés (condensateurs, relais militaires) intervenant pour la défense.</w:t>
      </w:r>
    </w:p>
  </w:footnote>
  <w:footnote w:id="14">
    <w:p>
      <w:pPr>
        <w:pStyle w:val="FootnoteText"/>
      </w:pPr>
      <w:r>
        <w:rPr>
          <w:rStyle w:val="FootnoteReference"/>
        </w:rPr>
        <w:footnoteRef/>
      </w:r>
      <w:r>
        <w:t xml:space="preserve"> </w:t>
      </w:r>
      <w:r>
        <w:rPr>
          <w:i/>
          <w:iCs/>
        </w:rPr>
        <w:t xml:space="preserve">Le Populaire du Centre</w:t>
      </w:r>
      <w:r>
        <w:t xml:space="preserve">,</w:t>
      </w:r>
      <w:r>
        <w:t xml:space="preserve"> </w:t>
      </w:r>
      <w:r>
        <w:rPr>
          <w:i/>
          <w:iCs/>
        </w:rPr>
        <w:t xml:space="preserve">Brive : Photonis est finalement racheté par un fonds d’investissement français</w:t>
      </w:r>
      <w:r>
        <w:t xml:space="preserve">, février 2021 (https://www.ici.fr/infos/economie-social/brive-photonis-est-finalement-rachete-par-un-fonds-d-investissement-francais-1613472045). Photonis est le fabricant français des systèmes de vision nocturne pour les forces spéciales. Le rachat patrimonial par le fonds français HLD a été orchestré par Bercy après le veto opposé à la cession à l’américain Teledyne.</w:t>
      </w:r>
    </w:p>
  </w:footnote>
  <w:footnote w:id="15">
    <w:p>
      <w:pPr>
        <w:pStyle w:val="FootnoteText"/>
      </w:pPr>
      <w:r>
        <w:rPr>
          <w:rStyle w:val="FootnoteReference"/>
        </w:rPr>
        <w:footnoteRef/>
      </w:r>
      <w:r>
        <w:t xml:space="preserve"> </w:t>
      </w:r>
      <w:r>
        <w:rPr>
          <w:i/>
          <w:iCs/>
        </w:rPr>
        <w:t xml:space="preserve">Usine Nouvelle</w:t>
      </w:r>
      <w:r>
        <w:t xml:space="preserve">,</w:t>
      </w:r>
      <w:r>
        <w:t xml:space="preserve"> </w:t>
      </w:r>
      <w:r>
        <w:rPr>
          <w:i/>
          <w:iCs/>
        </w:rPr>
        <w:t xml:space="preserve">La production du moteur d’Ariane 6 transférée de la France à l’Allemagne</w:t>
      </w:r>
      <w:r>
        <w:t xml:space="preserve">, 2021 (https://www.usinenouvelle.com/article/la-production-du-moteur-d-ariane-6-transferee-de-la-france-a-l-allemagne.N1143627). Le transfert de Vernon à Lampoldshausen a entraîné la suppression de six cents postes en France et le transfert d’un savoir-faire en propulsion liquide construit sur quarante ans.</w:t>
      </w:r>
    </w:p>
  </w:footnote>
  <w:footnote w:id="16">
    <w:p>
      <w:pPr>
        <w:pStyle w:val="FootnoteText"/>
      </w:pPr>
      <w:r>
        <w:rPr>
          <w:rStyle w:val="FootnoteReference"/>
        </w:rPr>
        <w:footnoteRef/>
      </w:r>
      <w:r>
        <w:t xml:space="preserve"> </w:t>
      </w:r>
      <w:r>
        <w:t xml:space="preserve">Données comparatives Thinking Ahead Institute,</w:t>
      </w:r>
      <w:r>
        <w:t xml:space="preserve"> </w:t>
      </w:r>
      <w:r>
        <w:rPr>
          <w:i/>
          <w:iCs/>
        </w:rPr>
        <w:t xml:space="preserve">Global Pension Assets Study 2025</w:t>
      </w:r>
      <w:r>
        <w:t xml:space="preserve">, 2025 (https://www.thinkingaheadinstitute.org/research-papers/global-pension-assets-study-2025/) ; OCDE,</w:t>
      </w:r>
      <w:r>
        <w:t xml:space="preserve"> </w:t>
      </w:r>
      <w:r>
        <w:rPr>
          <w:i/>
          <w:iCs/>
        </w:rPr>
        <w:t xml:space="preserve">Pensions at a Glance 2025</w:t>
      </w:r>
      <w:r>
        <w:t xml:space="preserve">, novembre 2025 (https://www.oecd.org/en/publications/2025/11/pensions-at-a-glance-2025_76510fe4/). Précisions par pays (encours en % du PIB, données 2024) : Norvège 280 %, Pays-Bas 225 %, Suisse 170 %, Australie 148 %, États-Unis 130 %, Royaume-Uni 120 %, Canada 40 %, Allemagne 7 %, France 2,5 %.</w:t>
      </w:r>
    </w:p>
  </w:footnote>
  <w:footnote w:id="17">
    <w:p>
      <w:pPr>
        <w:pStyle w:val="FootnoteText"/>
      </w:pPr>
      <w:r>
        <w:rPr>
          <w:rStyle w:val="FootnoteReference"/>
        </w:rPr>
        <w:footnoteRef/>
      </w:r>
      <w:r>
        <w:t xml:space="preserve"> </w:t>
      </w:r>
      <w:r>
        <w:t xml:space="preserve">Pour la transition australienne (</w:t>
      </w:r>
      <w:r>
        <w:rPr>
          <w:i/>
          <w:iCs/>
        </w:rPr>
        <w:t xml:space="preserve">Superannuation Guarantee</w:t>
      </w:r>
      <w:r>
        <w:t xml:space="preserve"> </w:t>
      </w:r>
      <w:r>
        <w:t xml:space="preserve">de 3 % en 1992 à 12 % en 2025, encours passé de 25 milliards à 4 300 milliards de dollars australiens) : Australian Government,</w:t>
      </w:r>
      <w:r>
        <w:t xml:space="preserve"> </w:t>
      </w:r>
      <w:r>
        <w:rPr>
          <w:i/>
          <w:iCs/>
        </w:rPr>
        <w:t xml:space="preserve">Superannuation Guarantee</w:t>
      </w:r>
      <w:r>
        <w:t xml:space="preserve">, données historiques 2024-2025. Pour la transition suédoise (réforme NDC + PPM de 1998) : Conseil d’orientation des retraites,</w:t>
      </w:r>
      <w:r>
        <w:t xml:space="preserve"> </w:t>
      </w:r>
      <w:r>
        <w:rPr>
          <w:i/>
          <w:iCs/>
        </w:rPr>
        <w:t xml:space="preserve">Le système de retraite en Suède</w:t>
      </w:r>
      <w:r>
        <w:t xml:space="preserve">, 2019 (https://www.cor-retraites.fr/sites/default/files/2019-06/doc-1037.pdf). Pour la transition britannique (</w:t>
      </w:r>
      <w:r>
        <w:rPr>
          <w:i/>
          <w:iCs/>
        </w:rPr>
        <w:t xml:space="preserve">auto-enrolment</w:t>
      </w:r>
      <w:r>
        <w:t xml:space="preserve"> </w:t>
      </w:r>
      <w:r>
        <w:t xml:space="preserve">depuis 2012) : Department for Work and Pensions,</w:t>
      </w:r>
      <w:r>
        <w:t xml:space="preserve"> </w:t>
      </w:r>
      <w:r>
        <w:rPr>
          <w:i/>
          <w:iCs/>
        </w:rPr>
        <w:t xml:space="preserve">Ten years of automatic enrolment in workplace pensions</w:t>
      </w:r>
      <w:r>
        <w:t xml:space="preserve">, 2022 (https://www.gov.uk/government/statistics/ten-years-of-automatic-enrolment-in-workplace-pensions).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fr-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Capitalisons</dc:title>
  <dc:creator>Où Va l’Argent</dc:creator>
  <dc:language>fr-FR</dc:language>
  <cp:keywords/>
  <dcterms:created xsi:type="dcterms:W3CDTF">2026-05-07T21:59:31Z</dcterms:created>
  <dcterms:modified xsi:type="dcterms:W3CDTF">2026-05-07T21:59:31Z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documentclass">
    <vt:lpwstr>book</vt:lpwstr>
  </property>
  <property fmtid="{D5CDD505-2E9C-101B-9397-08002B2CF9AE}" pid="4" name="fontsize">
    <vt:lpwstr>11pt</vt:lpwstr>
  </property>
  <property fmtid="{D5CDD505-2E9C-101B-9397-08002B2CF9AE}" pid="5" name="geometry">
    <vt:lpwstr/>
  </property>
  <property fmtid="{D5CDD505-2E9C-101B-9397-08002B2CF9AE}" pid="6" name="linestretch">
    <vt:lpwstr>1.4</vt:lpwstr>
  </property>
  <property fmtid="{D5CDD505-2E9C-101B-9397-08002B2CF9AE}" pid="7" name="links-as-notes">
    <vt:lpwstr>True</vt:lpwstr>
  </property>
  <property fmtid="{D5CDD505-2E9C-101B-9397-08002B2CF9AE}" pid="8" name="mainfont">
    <vt:lpwstr>Cambria</vt:lpwstr>
  </property>
  <property fmtid="{D5CDD505-2E9C-101B-9397-08002B2CF9AE}" pid="9" name="notes-after-punctuation">
    <vt:lpwstr>True</vt:lpwstr>
  </property>
  <property fmtid="{D5CDD505-2E9C-101B-9397-08002B2CF9AE}" pid="10" name="numbersections">
    <vt:lpwstr>False</vt:lpwstr>
  </property>
  <property fmtid="{D5CDD505-2E9C-101B-9397-08002B2CF9AE}" pid="11" name="reference-section-title">
    <vt:lpwstr>Notes</vt:lpwstr>
  </property>
  <property fmtid="{D5CDD505-2E9C-101B-9397-08002B2CF9AE}" pid="12" name="secnumdepth">
    <vt:lpwstr>0</vt:lpwstr>
  </property>
  <property fmtid="{D5CDD505-2E9C-101B-9397-08002B2CF9AE}" pid="13" name="subtitle">
    <vt:lpwstr>La France et son capital absent</vt:lpwstr>
  </property>
  <property fmtid="{D5CDD505-2E9C-101B-9397-08002B2CF9AE}" pid="14" name="toc">
    <vt:lpwstr>True</vt:lpwstr>
  </property>
  <property fmtid="{D5CDD505-2E9C-101B-9397-08002B2CF9AE}" pid="15" name="toc-depth">
    <vt:lpwstr>2</vt:lpwstr>
  </property>
</Properties>
</file>