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Capitalisons</w:t>
      </w:r>
    </w:p>
    <w:p>
      <w:pPr>
        <w:pStyle w:val="Subtitle"/>
      </w:pPr>
      <w:r>
        <w:t xml:space="preserve">La France et son capital absent</w:t>
      </w:r>
    </w:p>
    <w:p>
      <w:pPr>
        <w:pStyle w:val="Author"/>
      </w:pPr>
      <w:r>
        <w:t xml:space="preserve">Où Va l’Argent</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5" w:name="quatre-modèles-une-boussole"/>
    <w:p>
      <w:pPr>
        <w:pStyle w:val="Heading1"/>
      </w:pPr>
      <w:r>
        <w:t xml:space="preserve">4. Quatre modèles, une boussole</w:t>
      </w:r>
    </w:p>
    <w:p>
      <w:pPr>
        <w:pStyle w:val="FirstParagraph"/>
      </w:pPr>
      <w:r>
        <w:t xml:space="preserve">Comment évacuer un débat sans même l’avoir commencé ? La France en a le secret. « </w:t>
      </w:r>
      <w:r>
        <w:rPr>
          <w:i/>
          <w:iCs/>
        </w:rPr>
        <w:t xml:space="preserve">Mais nous, on ne peut pas. Pas en France. Pas avec notre culture, pas avec nos syndicats. On ne peut pas réformer le pays. »</w:t>
      </w:r>
      <w:r>
        <w:t xml:space="preserve"> </w:t>
      </w:r>
      <w:r>
        <w:t xml:space="preserve">C’est l’argument culturel, et il est imparable car il fumeux.</w:t>
      </w:r>
    </w:p>
    <w:p>
      <w:pPr>
        <w:pStyle w:val="BodyText"/>
      </w:pPr>
      <w:r>
        <w:t xml:space="preserve">Pourtant, la France n’est pas une île. D’autres pays, confrontés aux mêmes défis, ont réussi. Et l’exception culturelle française ne peut pas servir de paravent à la lâcheté politique et à la paresse intellectuelle.</w:t>
      </w:r>
    </w:p>
    <w:p>
      <w:pPr>
        <w:pStyle w:val="BodyText"/>
      </w:pPr>
      <w:r>
        <w:t xml:space="preserve">Allons voir comment les autres pays ont fait : les hommes, les contextes, les crises, les oppositions. Une réforme de retraite, est toujours le fruit d’une négociation politique, elle n’est jamais simple, ni en France, ni ailleurs.</w:t>
      </w:r>
    </w:p>
    <w:p>
      <w:pPr>
        <w:pStyle w:val="BodyText"/>
      </w:pPr>
      <w:r>
        <w:t xml:space="preserve">Ce chapitre raconte quatre histoires. La Suède d’Ingvar Carlsson et de Carl Bildt, sortie d’une crise budgétaire qui a failli emporter le modèle nordique. L’Australie de Bob Hawke et Paul Keating, où la cotisation pension est née d’un compromis salaires-pouvoir d’achat négocié avec les syndicats. Singapour de Lee Kuan Yew, où la retraite a été pensée dès l’indépendance comme un capital de propriétaires plutôt que comme une promesse d’État. Et le Chili de Pinochet et des Chicago Boys, contre-exemple violent qui a fini par s’effondrer et qui nous enseigne de précieux écueils.</w:t>
      </w:r>
    </w:p>
    <w:p>
      <w:pPr>
        <w:pStyle w:val="BodyText"/>
      </w:pPr>
      <w:r>
        <w:t xml:space="preserve">Trois pays sociaux-démocrates, libéraux ou autoritaires ; et un pays passé par la dictature militaire et le laboratoire néolibéral. Cette diversité de pays a été choisie à dessein : si l’argument culturel était fondé, ces quatre pays n’auraient pas pu adopter le même outil. On aurait pu ajouter à la Nouvelle-Zélande, la Suisse, les Pays-Bas, et bien d’autres encore.</w:t>
      </w:r>
    </w:p>
    <w:p>
      <w:pPr>
        <w:pStyle w:val="BodyText"/>
      </w:pPr>
      <w:r>
        <w:t xml:space="preserve">De ces approches différentes nous dessinerons aussi des invariants, et une boussole pour la France, qui fera l’objet du dernier chapitre. Et une question : qui chez nous portera l’équivalent de l’accord pluripartite de 1994 à Stockholm, du</w:t>
      </w:r>
      <w:r>
        <w:t xml:space="preserve"> </w:t>
      </w:r>
      <w:r>
        <w:rPr>
          <w:i/>
          <w:iCs/>
        </w:rPr>
        <w:t xml:space="preserve">Prices and Incomes Accord</w:t>
      </w:r>
      <w:r>
        <w:t xml:space="preserve"> </w:t>
      </w:r>
      <w:r>
        <w:t xml:space="preserve">de 1985 à Canberra, du volontarisme singapourien ?</w:t>
      </w:r>
    </w:p>
    <w:bookmarkStart w:id="28" w:name="suède-la-preuve-par-neuf"/>
    <w:p>
      <w:pPr>
        <w:pStyle w:val="Heading2"/>
      </w:pPr>
      <w:r>
        <w:t xml:space="preserve">4.1 Suède : la preuve par neuf</w:t>
      </w:r>
    </w:p>
    <w:p>
      <w:pPr>
        <w:pStyle w:val="FirstParagraph"/>
      </w:pPr>
      <w:r>
        <w:t xml:space="preserve">En 1991, la Suède est au bord de la faillite. La couronne a été dévaluée trois fois en dix-huit mois. Le déficit public dépasse 12 % du PIB, la dette s’approche des 80 %. Pour défendre la monnaie en novembre 1992, la Banque centrale porte son taux directeur à 500 % pendant quelques jours</w:t>
      </w:r>
      <w:r>
        <w:rPr>
          <w:rStyle w:val="FootnoteReference"/>
        </w:rPr>
        <w:footnoteReference w:id="9"/>
      </w:r>
      <w:r>
        <w:t xml:space="preserve">. Ingvar Carlsson, social-démocrate, vient de perdre les élections de septembre 1991 face à Carl Bildt, le conservateur. Le modèle nordique, que toute l’Europe admirait depuis trente ans, est fragilisé. Et le système de retraite par répartition issu de 1960, qui promettait à chaque Suédois deux tiers de son salaire jusqu’à la mort, ne tient plus la route démographique.</w:t>
      </w:r>
    </w:p>
    <w:p>
      <w:pPr>
        <w:pStyle w:val="BodyText"/>
      </w:pPr>
      <w:r>
        <w:t xml:space="preserve">La Suède fait alors un pacte avec elle-même. Carl Bildt et Ingvar Carlsson, frères ennemis politiques, conviennent qu’aucun des deux blocs ne réformera seul. Ils nomment un groupe de travail interpartis — la</w:t>
      </w:r>
      <w:r>
        <w:t xml:space="preserve"> </w:t>
      </w:r>
      <w:r>
        <w:rPr>
          <w:i/>
          <w:iCs/>
        </w:rPr>
        <w:t xml:space="preserve">Pensionsarbetsgruppen</w:t>
      </w:r>
      <w:r>
        <w:t xml:space="preserve"> </w:t>
      </w:r>
      <w:r>
        <w:t xml:space="preserve">— qui réunit cinq des sept partis du Riksdag</w:t>
      </w:r>
      <w:r>
        <w:rPr>
          <w:rStyle w:val="FootnoteReference"/>
        </w:rPr>
        <w:footnoteReference w:id="10"/>
      </w:r>
      <w:r>
        <w:t xml:space="preserve">. À sa tête,</w:t>
      </w:r>
      <w:r>
        <w:t xml:space="preserve"> </w:t>
      </w:r>
      <w:r>
        <w:rPr>
          <w:b/>
          <w:bCs/>
        </w:rPr>
        <w:t xml:space="preserve">Bo Könberg</w:t>
      </w:r>
      <w:r>
        <w:t xml:space="preserve">, ministre libéral de la Santé et de l’Assurance sociale, et</w:t>
      </w:r>
      <w:r>
        <w:t xml:space="preserve"> </w:t>
      </w:r>
      <w:r>
        <w:rPr>
          <w:b/>
          <w:bCs/>
        </w:rPr>
        <w:t xml:space="preserve">Anna Hedborg</w:t>
      </w:r>
      <w:r>
        <w:t xml:space="preserve">, sociale-démocrate, futur ministre dans le gouvernement Carlsson revenu au pouvoir en 1994. Trois ans de négociations, des centaines de réunions techniques, un travail de fond piloté par un économiste de la caisse d’assurance sociale, Ole Settergren, et par le théoricien suédois du compte notionnel, Edward Palmer</w:t>
      </w:r>
      <w:r>
        <w:rPr>
          <w:rStyle w:val="FootnoteReference"/>
        </w:rPr>
        <w:footnoteReference w:id="11"/>
      </w:r>
      <w:r>
        <w:t xml:space="preserve">. En 1994, le Parlement vote les grands principes à plus de 85 % des suffrages. La loi définitive arrive en 1998, sous Göran Persson. Le système entre en vigueur le 1ᵉʳ janvier 1999, par cohortes</w:t>
      </w:r>
      <w:r>
        <w:rPr>
          <w:rStyle w:val="FootnoteReference"/>
        </w:rPr>
        <w:footnoteReference w:id="12"/>
      </w:r>
      <w:r>
        <w:t xml:space="preserve">.</w:t>
      </w:r>
    </w:p>
    <w:p>
      <w:pPr>
        <w:pStyle w:val="BodyText"/>
      </w:pPr>
      <w:r>
        <w:t xml:space="preserve">Trois ans de négociations, dans un pays sorti d’une crise bancaire qui a englouti 4 % de son PIB, sous deux gouvernements successifs de couleurs opposées, avec un compromis final voté à 85% au Parlement. Voilà le premier enseignement suédois :</w:t>
      </w:r>
      <w:r>
        <w:t xml:space="preserve"> </w:t>
      </w:r>
      <w:r>
        <w:rPr>
          <w:i/>
          <w:iCs/>
        </w:rPr>
        <w:t xml:space="preserve">un pays qui</w:t>
      </w:r>
      <w:r>
        <w:t xml:space="preserve"> </w:t>
      </w:r>
      <w:r>
        <w:rPr>
          <w:i/>
          <w:iCs/>
        </w:rPr>
        <w:t xml:space="preserve">pour</w:t>
      </w:r>
      <w:r>
        <w:t xml:space="preserve"> </w:t>
      </w:r>
      <w:r>
        <w:rPr>
          <w:i/>
          <w:iCs/>
        </w:rPr>
        <w:t xml:space="preserve">réformer</w:t>
      </w:r>
      <w:r>
        <w:t xml:space="preserve"> </w:t>
      </w:r>
      <w:r>
        <w:rPr>
          <w:i/>
          <w:iCs/>
        </w:rPr>
        <w:t xml:space="preserve">pour trente ans a</w:t>
      </w:r>
      <w:r>
        <w:t xml:space="preserve"> </w:t>
      </w:r>
      <w:r>
        <w:rPr>
          <w:i/>
          <w:iCs/>
        </w:rPr>
        <w:t xml:space="preserve">commencé</w:t>
      </w:r>
      <w:r>
        <w:t xml:space="preserve"> </w:t>
      </w:r>
      <w:r>
        <w:rPr>
          <w:i/>
          <w:iCs/>
        </w:rPr>
        <w:t xml:space="preserve">par négocier pendant cinq</w:t>
      </w:r>
      <w:r>
        <w:t xml:space="preserve">.</w:t>
      </w:r>
    </w:p>
    <w:p>
      <w:pPr>
        <w:pStyle w:val="BodyText"/>
      </w:pPr>
      <w:r>
        <w:t xml:space="preserve">L’architecture issue de 1998 tient sur trois étages. Le premier, l’</w:t>
      </w:r>
      <w:r>
        <w:rPr>
          <w:b/>
          <w:bCs/>
        </w:rPr>
        <w:t xml:space="preserve">inkomstpension</w:t>
      </w:r>
      <w:r>
        <w:t xml:space="preserve">, est un régime public en répartition, mais à</w:t>
      </w:r>
      <w:r>
        <w:t xml:space="preserve"> </w:t>
      </w:r>
      <w:r>
        <w:rPr>
          <w:i/>
          <w:iCs/>
        </w:rPr>
        <w:t xml:space="preserve">comptes notionnels</w:t>
      </w:r>
      <w:r>
        <w:t xml:space="preserve">. Chaque cotisant accumule sur un compte virtuel ses 16 % de cotisations annuelles, revalorisés au taux de croissance des salaires. Au moment du départ, ces droits sont convertis en rente par un coefficient qui dépend de l’espérance de vie de sa génération</w:t>
      </w:r>
      <w:r>
        <w:rPr>
          <w:rStyle w:val="FootnoteReference"/>
        </w:rPr>
        <w:footnoteReference w:id="13"/>
      </w:r>
      <w:r>
        <w:t xml:space="preserve">. C’est une répartition qui s’auto-équilibre.</w:t>
      </w:r>
    </w:p>
    <w:p>
      <w:pPr>
        <w:pStyle w:val="BodyText"/>
      </w:pPr>
      <w:r>
        <w:t xml:space="preserve">Le deuxième étage, la</w:t>
      </w:r>
      <w:r>
        <w:t xml:space="preserve"> </w:t>
      </w:r>
      <w:r>
        <w:rPr>
          <w:b/>
          <w:bCs/>
        </w:rPr>
        <w:t xml:space="preserve">premiepension</w:t>
      </w:r>
      <w:r>
        <w:t xml:space="preserve"> </w:t>
      </w:r>
      <w:r>
        <w:t xml:space="preserve">ou PPM, est pleinement capitalisé : 2,5 % du salaire de chaque actif versés sur un compte individuel placé en bourse.</w:t>
      </w:r>
    </w:p>
    <w:p>
      <w:pPr>
        <w:pStyle w:val="BodyText"/>
      </w:pPr>
      <w:r>
        <w:t xml:space="preserve">Le troisième, les régimes professionnels obligatoires de fait — ITP pour les cadres, SAF-LO pour les ouvriers — apportent 4 à 5 points supplémentaires, négociés par convention collective</w:t>
      </w:r>
      <w:r>
        <w:rPr>
          <w:rStyle w:val="FootnoteReference"/>
        </w:rPr>
        <w:footnoteReference w:id="14"/>
      </w:r>
      <w:r>
        <w:t xml:space="preserve">. Total cotisations retraite : 22,5 à 23,5 % du salaire, contre 27,8 % en France</w:t>
      </w:r>
      <w:r>
        <w:rPr>
          <w:rStyle w:val="FootnoteReference"/>
        </w:rPr>
        <w:footnoteReference w:id="15"/>
      </w:r>
      <w:r>
        <w:t xml:space="preserve">. Cinq points de moins, pour à peu près le même taux de remplacement net.</w:t>
      </w:r>
    </w:p>
    <w:p>
      <w:pPr>
        <w:pStyle w:val="BodyText"/>
      </w:pPr>
      <w:r>
        <w:t xml:space="preserve">Le quatrième pilier, à part, joue le rôle du filet. C’est la</w:t>
      </w:r>
      <w:r>
        <w:t xml:space="preserve"> </w:t>
      </w:r>
      <w:r>
        <w:rPr>
          <w:b/>
          <w:bCs/>
        </w:rPr>
        <w:t xml:space="preserve">garantipension</w:t>
      </w:r>
      <w:r>
        <w:t xml:space="preserve">, prestation d’État ciblée sur les retraités à carrière trop courte pour avoir cumulé assez de droits, environ 1,2 million de personnes en 2024</w:t>
      </w:r>
      <w:r>
        <w:rPr>
          <w:rStyle w:val="FootnoteReference"/>
        </w:rPr>
        <w:footnoteReference w:id="16"/>
      </w:r>
      <w:r>
        <w:t xml:space="preserve">. Personne, en Suède, ne meurt sous le seuil de pauvreté à cause d’une carrière interrompue. C’est la condition politique sans laquelle le pacte de 1994 n’aurait pas tenu.</w:t>
      </w:r>
    </w:p>
    <w:p>
      <w:pPr>
        <w:pStyle w:val="BodyText"/>
      </w:pPr>
      <w:r>
        <w:t xml:space="preserve">Et derrière l’inkomstpension, il y a les</w:t>
      </w:r>
      <w:r>
        <w:t xml:space="preserve"> </w:t>
      </w:r>
      <w:r>
        <w:rPr>
          <w:b/>
          <w:bCs/>
        </w:rPr>
        <w:t xml:space="preserve">AP-fonds</w:t>
      </w:r>
      <w:r>
        <w:t xml:space="preserve"> </w:t>
      </w:r>
      <w:r>
        <w:t xml:space="preserve">— six fonds publics de réserve qui amortissent les cycles démographiques du régime notionnel. AP1, AP2, AP3, AP4 gèrent chacun autour de 500 milliards de couronnes en portefeuilles multi-actifs ; AP6 est spécialisé en capital-investissement ; AP7 est le fonds par défaut de la PPM</w:t>
      </w:r>
      <w:r>
        <w:rPr>
          <w:rStyle w:val="FootnoteReference"/>
        </w:rPr>
        <w:footnoteReference w:id="17"/>
      </w:r>
      <w:r>
        <w:t xml:space="preserve">.</w:t>
      </w:r>
    </w:p>
    <w:p>
      <w:pPr>
        <w:pStyle w:val="BodyText"/>
      </w:pPr>
      <w:r>
        <w:t xml:space="preserve">À fin 2024, le total dépasse 2 000 milliards de couronnes, soit environ 185 milliards d’euros. Rendement moyen des AP1 à AP4 en 2024 :</w:t>
      </w:r>
      <w:r>
        <w:t xml:space="preserve"> </w:t>
      </w:r>
      <w:r>
        <w:rPr>
          <w:b/>
          <w:bCs/>
        </w:rPr>
        <w:t xml:space="preserve">9,6 %</w:t>
      </w:r>
      <w:r>
        <w:t xml:space="preserve">, contribution au système : 182 milliards de couronnes sur l’année</w:t>
      </w:r>
      <w:r>
        <w:rPr>
          <w:rStyle w:val="FootnoteReference"/>
        </w:rPr>
        <w:footnoteReference w:id="18"/>
      </w:r>
      <w:r>
        <w:t xml:space="preserve">. Sur vingt ans, les AP-fonds ont délivré entre 5,3 et 7,2 % de rendement réel net selon les périodes. Et cet argent travaille, en bonne partie, dans des entreprises suédoises : ABB, Volvo, Ericsson, Atlas Copco, et plus récemment dans la galaxie technologique de Stockholm.</w:t>
      </w:r>
    </w:p>
    <w:p>
      <w:pPr>
        <w:pStyle w:val="BodyText"/>
      </w:pPr>
      <w:r>
        <w:t xml:space="preserve">Le fonds par défaut,</w:t>
      </w:r>
      <w:r>
        <w:t xml:space="preserve"> </w:t>
      </w:r>
      <w:r>
        <w:rPr>
          <w:b/>
          <w:bCs/>
        </w:rPr>
        <w:t xml:space="preserve">AP7 Såfa</w:t>
      </w:r>
      <w:r>
        <w:t xml:space="preserve">, mérite qu’on s’y arrête. C’est l’option qui s’applique automatiquement aux cotisants de la PPM qui n’ont pas choisi de portefeuille particulier — environ 40 % des actifs suédois aujourd’hui.</w:t>
      </w:r>
    </w:p>
    <w:p>
      <w:pPr>
        <w:pStyle w:val="BodyText"/>
      </w:pPr>
      <w:r>
        <w:t xml:space="preserve">Frais annuels : 0,05 %, soit cinq euros par tranche de 10 000 €. Allocation par défaut : 100 % actions avant 55 ans, glissement progressif vers les obligations ensuite. Rendement annualisé de la poche actions depuis 2010 : autour de 14 % nominal,</w:t>
      </w:r>
      <w:r>
        <w:t xml:space="preserve"> </w:t>
      </w:r>
      <w:r>
        <w:rPr>
          <w:b/>
          <w:bCs/>
        </w:rPr>
        <w:t xml:space="preserve">27,3 % en 2024</w:t>
      </w:r>
      <w:r>
        <w:t xml:space="preserve"> </w:t>
      </w:r>
      <w:r>
        <w:t xml:space="preserve">seul</w:t>
      </w:r>
      <w:r>
        <w:rPr>
          <w:rStyle w:val="FootnoteReference"/>
        </w:rPr>
        <w:footnoteReference w:id="19"/>
      </w:r>
      <w:r>
        <w:t xml:space="preserve">. Le Suédois moyen qui n’a jamais ouvert une enveloppe bancaire est aujourd’hui propriétaire indirect de Microsoft, Apple, ASML, LVMH et Nestlé, à un coût de gestion dix fois inférieur à celui d’une assurance-vie française. Personne, en Suède, n’a besoin de savoir investir. Le système investit pour eux.</w:t>
      </w:r>
    </w:p>
    <w:p>
      <w:pPr>
        <w:pStyle w:val="BodyText"/>
      </w:pPr>
      <w:r>
        <w:t xml:space="preserve">Vingt-six ans après 1999, où en est le pays ? La dépense publique de retraite suédoise tourne autour de 7,2 % du PIB, contre 13,9 % en France</w:t>
      </w:r>
      <w:r>
        <w:rPr>
          <w:rStyle w:val="FootnoteReference"/>
        </w:rPr>
        <w:footnoteReference w:id="20"/>
      </w:r>
      <w:r>
        <w:t xml:space="preserve">. La moitié, à peu près. Le taux de remplacement net pour une cohorte née en 2002, carrière complète, ressort à 65,3 % selon l’OCDE, contre 73,9 % en France</w:t>
      </w:r>
      <w:r>
        <w:rPr>
          <w:rStyle w:val="FootnoteReference"/>
        </w:rPr>
        <w:footnoteReference w:id="21"/>
      </w:r>
      <w:r>
        <w:t xml:space="preserve">. Une dizaine de points en dessous, mais avec quinze points de cotisations en moins et un âge effectif de départ plus élevé. Les fonds de pension suédois représentent autour de 110 % du PIB en 2024, contre 7 % en France</w:t>
      </w:r>
      <w:r>
        <w:rPr>
          <w:rStyle w:val="FootnoteReference"/>
        </w:rPr>
        <w:footnoteReference w:id="22"/>
      </w:r>
      <w:r>
        <w:t xml:space="preserve">. Et la place financière de Stockholm est devenue, par habitant, la deuxième économie de licornes au monde après la Silicon Valley :</w:t>
      </w:r>
      <w:r>
        <w:t xml:space="preserve"> </w:t>
      </w:r>
      <w:r>
        <w:rPr>
          <w:b/>
          <w:bCs/>
        </w:rPr>
        <w:t xml:space="preserve">41 entreprises</w:t>
      </w:r>
      <w:r>
        <w:t xml:space="preserve"> </w:t>
      </w:r>
      <w:r>
        <w:t xml:space="preserve">valorisées à plus d’un milliard de dollars, dont Spotify, Klarna, Mojang, King, iZettle, Tink, et la défunte Northvolt</w:t>
      </w:r>
      <w:r>
        <w:rPr>
          <w:rStyle w:val="FootnoteReference"/>
        </w:rPr>
        <w:footnoteReference w:id="23"/>
      </w:r>
      <w:r>
        <w:t xml:space="preserve">. C’est ce que produit du capital national patient quand on le laisse irriguer ses propres champions.</w:t>
      </w:r>
    </w:p>
    <w:p>
      <w:pPr>
        <w:pStyle w:val="BodyText"/>
      </w:pPr>
      <w:r>
        <w:t xml:space="preserve">Tout n’est pas idyllique. Le système suédois a ses limites, et ses architectes les reconnaissent. La PPM a perdu près de 40 % de sa valeur en 2008-2009, brutalement, sans coussin amortisseur : les cotisants alors proches de la retraite ont vu leur capital fondre, et il a fallu attendre 2010-2012 pour le récupérer. La leçon a été tirée — le glide path d’AP7 (le passage du 100% actions à un portefeuille diversifié) a été corrigé en 2015, en lissant la transition vers les obligations</w:t>
      </w:r>
      <w:r>
        <w:rPr>
          <w:rStyle w:val="FootnoteReference"/>
        </w:rPr>
        <w:footnoteReference w:id="24"/>
      </w:r>
      <w:r>
        <w:t xml:space="preserve">.</w:t>
      </w:r>
    </w:p>
    <w:p>
      <w:pPr>
        <w:pStyle w:val="BodyText"/>
      </w:pPr>
      <w:r>
        <w:t xml:space="preserve">Le mécanisme d’équilibrage automatique de l’inkomstpension — la</w:t>
      </w:r>
      <w:r>
        <w:t xml:space="preserve"> </w:t>
      </w:r>
      <w:r>
        <w:rPr>
          <w:i/>
          <w:iCs/>
        </w:rPr>
        <w:t xml:space="preserve">bromsen</w:t>
      </w:r>
      <w:r>
        <w:t xml:space="preserve">, le « frein » — s’est déclenché à trois reprises depuis 2010, réduisant ponctuellement les pensions versées de 1 à 3 %</w:t>
      </w:r>
      <w:r>
        <w:rPr>
          <w:rStyle w:val="FootnoteReference"/>
        </w:rPr>
        <w:footnoteReference w:id="25"/>
      </w:r>
      <w:r>
        <w:t xml:space="preserve">. C’est impopulaire ; c’est aussi le prix de la soutenabilité du système.</w:t>
      </w:r>
    </w:p>
    <w:p>
      <w:pPr>
        <w:pStyle w:val="BodyText"/>
      </w:pPr>
      <w:r>
        <w:t xml:space="preserve">Northvolt, parti à l’assaut du marché des batteries en 2016 avec un capital où l’on retrouvait Daniel Ek, fondateur de Spotify, mais aussi le fonds AP2 à hauteur de 531 millions de dollars, s’est effondré en mars 2025. Le fondateur et CEO,</w:t>
      </w:r>
      <w:r>
        <w:t xml:space="preserve"> </w:t>
      </w:r>
      <w:r>
        <w:rPr>
          <w:b/>
          <w:bCs/>
        </w:rPr>
        <w:t xml:space="preserve">Peter Carlsson</w:t>
      </w:r>
      <w:r>
        <w:t xml:space="preserve">, a vu son entreprise déposer le bilan en novembre 2024 puis être liquidée trois mois plus tard</w:t>
      </w:r>
      <w:r>
        <w:rPr>
          <w:rStyle w:val="FootnoteReference"/>
        </w:rPr>
        <w:footnoteReference w:id="26"/>
      </w:r>
      <w:r>
        <w:t xml:space="preserve">. C’est un rappel utile : le capital patient n’élimine pas le risque industriel. Il l’amortit, il le diversifie, il l’absorbe, il ne le supprime pas.</w:t>
      </w:r>
    </w:p>
    <w:p>
      <w:pPr>
        <w:pStyle w:val="BodyText"/>
      </w:pPr>
      <w:r>
        <w:t xml:space="preserve">Reste l’écart femmes-hommes, qui n’a pas disparu en Suède non plus : les femmes touchent en moyenne 80 % de la pension des hommes, contre 85 % en France</w:t>
      </w:r>
      <w:r>
        <w:rPr>
          <w:rStyle w:val="FootnoteReference"/>
        </w:rPr>
        <w:footnoteReference w:id="27"/>
      </w:r>
      <w:r>
        <w:t xml:space="preserve">. La capitalisation, ici, hérite des inégalités de carrière ; elle ne les crée pas mais elle ne les soigne pas. Pour les corriger, il faut des dispositifs collatéraux — bonifications parentales, points famille, plancher universel — exactement comme dans la répartition.</w:t>
      </w:r>
    </w:p>
    <w:p>
      <w:pPr>
        <w:pStyle w:val="BodyText"/>
      </w:pPr>
      <w:r>
        <w:t xml:space="preserve">Ce que le cas suédois prouve, en définitive, n’est pas que la capitalisation résout tout. C’est qu’elle est compatible avec un État-providence dense, des syndicats puissants, une fiscalité élevée, une culture de l’égalité — bref, avec tout ce que la gauche française revendique.</w:t>
      </w:r>
    </w:p>
    <w:p>
      <w:pPr>
        <w:pStyle w:val="BodyText"/>
      </w:pPr>
      <w:r>
        <w:t xml:space="preserve">Le Suédois moyen continue de payer 32 % d’impôt sur le revenu et de bénéficier d’un service public de premier rang. Et il dispose en plus, à 65 ans, d’un capital de retraite quatre à cinq fois supérieur à celui du Français moyen. La Suède n’a pas démantelé sa social-démocratie pour adopter la capitalisation. Elle l’a réinventée</w:t>
      </w:r>
      <w:r>
        <w:t xml:space="preserve"> </w:t>
      </w:r>
      <w:r>
        <w:rPr>
          <w:i/>
          <w:iCs/>
        </w:rPr>
        <w:t xml:space="preserve">avec</w:t>
      </w:r>
      <w:r>
        <w:t xml:space="preserve"> </w:t>
      </w:r>
      <w:r>
        <w:t xml:space="preserve">la capitalisation. Autre leçon pour la France :</w:t>
      </w:r>
      <w:r>
        <w:t xml:space="preserve"> </w:t>
      </w:r>
      <w:r>
        <w:rPr>
          <w:i/>
          <w:iCs/>
        </w:rPr>
        <w:t xml:space="preserve">pour que la réforme perdure elle doit</w:t>
      </w:r>
      <w:r>
        <w:t xml:space="preserve"> </w:t>
      </w:r>
      <w:r>
        <w:rPr>
          <w:i/>
          <w:iCs/>
        </w:rPr>
        <w:t xml:space="preserve">une assise politique large.</w:t>
      </w:r>
    </w:p>
    <w:bookmarkEnd w:id="28"/>
    <w:bookmarkStart w:id="40" w:name="australie-lauto-enrolment-patronal"/>
    <w:p>
      <w:pPr>
        <w:pStyle w:val="Heading2"/>
      </w:pPr>
      <w:r>
        <w:t xml:space="preserve">4.2 Australie : l’auto-enrolment patronal</w:t>
      </w:r>
    </w:p>
    <w:p>
      <w:pPr>
        <w:pStyle w:val="FirstParagraph"/>
      </w:pPr>
      <w:r>
        <w:t xml:space="preserve">Sydney, octobre 1985. Dans une salle de la</w:t>
      </w:r>
      <w:r>
        <w:t xml:space="preserve"> </w:t>
      </w:r>
      <w:r>
        <w:rPr>
          <w:i/>
          <w:iCs/>
        </w:rPr>
        <w:t xml:space="preserve">Australian Council of Trade Unions</w:t>
      </w:r>
      <w:r>
        <w:t xml:space="preserve"> </w:t>
      </w:r>
      <w:r>
        <w:t xml:space="preserve">— l’équivalent de la CFDT, en mille fois plus puissant —,</w:t>
      </w:r>
      <w:r>
        <w:t xml:space="preserve"> </w:t>
      </w:r>
      <w:r>
        <w:rPr>
          <w:b/>
          <w:bCs/>
        </w:rPr>
        <w:t xml:space="preserve">Bill Kelty</w:t>
      </w:r>
      <w:r>
        <w:t xml:space="preserve">, secrétaire général depuis 1983, négocie depuis des mois. Face à lui,</w:t>
      </w:r>
      <w:r>
        <w:t xml:space="preserve"> </w:t>
      </w:r>
      <w:r>
        <w:rPr>
          <w:b/>
          <w:bCs/>
        </w:rPr>
        <w:t xml:space="preserve">Paul Keating</w:t>
      </w:r>
      <w:r>
        <w:t xml:space="preserve">, trésorier du gouvernement travailliste de</w:t>
      </w:r>
      <w:r>
        <w:t xml:space="preserve"> </w:t>
      </w:r>
      <w:r>
        <w:rPr>
          <w:b/>
          <w:bCs/>
        </w:rPr>
        <w:t xml:space="preserve">Bob Hawke</w:t>
      </w:r>
      <w:r>
        <w:rPr>
          <w:rStyle w:val="FootnoteReference"/>
        </w:rPr>
        <w:footnoteReference w:id="29"/>
      </w:r>
      <w:r>
        <w:t xml:space="preserve">. L’Australie est en crise. Inflation à deux chiffres, salaires indexés depuis vingt ans, productivité en panne, monnaie qui s’effondre. Hawke, ancien président de l’ACTU lui-même devenu Premier ministre en 1983, a engagé avec les syndicats un</w:t>
      </w:r>
      <w:r>
        <w:t xml:space="preserve"> </w:t>
      </w:r>
      <w:r>
        <w:rPr>
          <w:i/>
          <w:iCs/>
        </w:rPr>
        <w:t xml:space="preserve">Prices and Incomes Accord</w:t>
      </w:r>
      <w:r>
        <w:t xml:space="preserve"> </w:t>
      </w:r>
      <w:r>
        <w:t xml:space="preserve">— un accord salaires-prix — pour casser l’inflation. Premier accord en 1983 ; second en 1985.</w:t>
      </w:r>
    </w:p>
    <w:p>
      <w:pPr>
        <w:pStyle w:val="BodyText"/>
      </w:pPr>
      <w:r>
        <w:t xml:space="preserve">L’accord de 1985, dit</w:t>
      </w:r>
      <w:r>
        <w:t xml:space="preserve"> </w:t>
      </w:r>
      <w:r>
        <w:rPr>
          <w:i/>
          <w:iCs/>
        </w:rPr>
        <w:t xml:space="preserve">Mark II</w:t>
      </w:r>
      <w:r>
        <w:t xml:space="preserve">, contient une idée que personne, alors, ne mesure complètement. L’ACTU accepte que les salaires soient indexés à un taux inférieur de</w:t>
      </w:r>
      <w:r>
        <w:t xml:space="preserve"> </w:t>
      </w:r>
      <w:r>
        <w:rPr>
          <w:b/>
          <w:bCs/>
        </w:rPr>
        <w:t xml:space="preserve">2 points à l’inflation</w:t>
      </w:r>
      <w:r>
        <w:t xml:space="preserve"> </w:t>
      </w:r>
      <w:r>
        <w:t xml:space="preserve">— un sacrifice considérable pour les ouvriers australiens. En contrepartie, les employeurs s’engagent à verser</w:t>
      </w:r>
      <w:r>
        <w:t xml:space="preserve"> </w:t>
      </w:r>
      <w:r>
        <w:rPr>
          <w:b/>
          <w:bCs/>
        </w:rPr>
        <w:t xml:space="preserve">3 % de cotisation supplémentaire</w:t>
      </w:r>
      <w:r>
        <w:t xml:space="preserve"> </w:t>
      </w:r>
      <w:r>
        <w:t xml:space="preserve">sur un compte épargne retraite obligatoire pour chaque salarié. Kelty et Keating signent. Hawke ratifie. Personne, à ce moment-là, ne sait que cette cotisation va devenir la</w:t>
      </w:r>
      <w:r>
        <w:t xml:space="preserve"> </w:t>
      </w:r>
      <w:r>
        <w:rPr>
          <w:i/>
          <w:iCs/>
        </w:rPr>
        <w:t xml:space="preserve">Superannuation Guarantee</w:t>
      </w:r>
      <w:r>
        <w:t xml:space="preserve"> </w:t>
      </w:r>
      <w:r>
        <w:t xml:space="preserve">et que, quarante ans plus tard, elle représentera l’une des plus grands sources de capital long du monde</w:t>
      </w:r>
      <w:r>
        <w:rPr>
          <w:rStyle w:val="FootnoteReference"/>
        </w:rPr>
        <w:footnoteReference w:id="30"/>
      </w:r>
      <w:r>
        <w:t xml:space="preserve">.</w:t>
      </w:r>
    </w:p>
    <w:p>
      <w:pPr>
        <w:pStyle w:val="BodyText"/>
      </w:pPr>
      <w:r>
        <w:t xml:space="preserve">L’idée derrière l’accord est d’un raffinement économique rare : la modération salariale,</w:t>
      </w:r>
      <w:r>
        <w:t xml:space="preserve"> </w:t>
      </w:r>
      <w:r>
        <w:rPr>
          <w:i/>
          <w:iCs/>
        </w:rPr>
        <w:t xml:space="preserve">plutôt que de financer du pouvoir d’achat immédiat, finance du capital différé pour la retraite des mêmes ouvriers</w:t>
      </w:r>
      <w:r>
        <w:t xml:space="preserve">. Les syndicats acceptent parce que ce n’est pas un cadeau aux patrons : c’est un cadeau aux salariés sous forme de capital. Les patrons acceptent parce qu’au lieu de payer des salaires nominaux indexés, ils payent une cotisation prévisible, modeste au départ, qui s’inscrit dans le coût du travail. Et le gouvernement gagne sur les deux tableaux : l’inflation cède, et un pool d’épargne nationale est créé. C’est gagnant pour les trois. Et c’est pour cela que ça tient.</w:t>
      </w:r>
    </w:p>
    <w:p>
      <w:pPr>
        <w:pStyle w:val="BodyText"/>
      </w:pPr>
      <w:r>
        <w:t xml:space="preserve">La phase suivante est plus technique. De 1987 à 1991, la cotisation à 3 % est étendue secteur par secteur via les</w:t>
      </w:r>
      <w:r>
        <w:t xml:space="preserve"> </w:t>
      </w:r>
      <w:r>
        <w:rPr>
          <w:i/>
          <w:iCs/>
        </w:rPr>
        <w:t xml:space="preserve">awards</w:t>
      </w:r>
      <w:r>
        <w:t xml:space="preserve"> </w:t>
      </w:r>
      <w:r>
        <w:t xml:space="preserve">— les conventions collectives sectorielles australiennes. Mais l’extension reste partielle, certains secteurs restent à l’écart, et le mécanisme dépend de chaque renégociation. Le 21 décembre 1991, Keating remplace Hawke comme Premier ministre, après une querelle interne au parti travailliste. Quatre mois plus tard, le 2 avril 1992, son nouveau trésorier John Dawkins présente devant la Chambre des représentants le</w:t>
      </w:r>
      <w:r>
        <w:t xml:space="preserve"> </w:t>
      </w:r>
      <w:r>
        <w:rPr>
          <w:i/>
          <w:iCs/>
        </w:rPr>
        <w:t xml:space="preserve">Superannuation Guarantee (Administration) Bill</w:t>
      </w:r>
      <w:r>
        <w:t xml:space="preserve">. La loi entre en vigueur le</w:t>
      </w:r>
      <w:r>
        <w:t xml:space="preserve"> </w:t>
      </w:r>
      <w:r>
        <w:rPr>
          <w:b/>
          <w:bCs/>
        </w:rPr>
        <w:t xml:space="preserve">1ᵉʳ juillet 1992</w:t>
      </w:r>
      <w:r>
        <w:t xml:space="preserve">, taux initial 3 % de la rémunération brute</w:t>
      </w:r>
      <w:r>
        <w:rPr>
          <w:rStyle w:val="FootnoteReference"/>
        </w:rPr>
        <w:footnoteReference w:id="31"/>
      </w:r>
      <w:r>
        <w:t xml:space="preserve">. La cotisation n’est plus négociée : elle est légale, et elle s’applique à tous les employeurs du pays.</w:t>
      </w:r>
    </w:p>
    <w:p>
      <w:pPr>
        <w:pStyle w:val="BodyText"/>
      </w:pPr>
      <w:r>
        <w:t xml:space="preserve">À partir de là, c’est une mécanique. Le taux monte par paliers programmés : 3 % en 1992, 6 % en 1996, 9 % en 2002. Stabilisation jusqu’en 2013. Le gouvernement conservateur de</w:t>
      </w:r>
      <w:r>
        <w:t xml:space="preserve"> </w:t>
      </w:r>
      <w:r>
        <w:rPr>
          <w:b/>
          <w:bCs/>
        </w:rPr>
        <w:t xml:space="preserve">Tony Abbott</w:t>
      </w:r>
      <w:r>
        <w:t xml:space="preserve">, élu en 2013, gèle le taux à 9,5 % pendant sept ans — une pause significative, mais pas une remise en cause</w:t>
      </w:r>
      <w:r>
        <w:rPr>
          <w:rStyle w:val="FootnoteReference"/>
        </w:rPr>
        <w:footnoteReference w:id="32"/>
      </w:r>
      <w:r>
        <w:t xml:space="preserve">. La reprise commence en 2021 : 10 %, puis 10,5 %, 11 %, 11,5 %, et finalement</w:t>
      </w:r>
      <w:r>
        <w:t xml:space="preserve"> </w:t>
      </w:r>
      <w:r>
        <w:rPr>
          <w:b/>
          <w:bCs/>
        </w:rPr>
        <w:t xml:space="preserve">12 % au 1ᵉʳ juillet 2025</w:t>
      </w:r>
      <w:r>
        <w:t xml:space="preserve">, taux désormais stabilisé</w:t>
      </w:r>
      <w:r>
        <w:rPr>
          <w:rStyle w:val="FootnoteReference"/>
        </w:rPr>
        <w:footnoteReference w:id="33"/>
      </w:r>
      <w:r>
        <w:t xml:space="preserve">. Trente-trois ans pour passer de 3 % à 12 %. Une génération entière.</w:t>
      </w:r>
    </w:p>
    <w:p>
      <w:pPr>
        <w:pStyle w:val="BodyText"/>
      </w:pPr>
      <w:r>
        <w:t xml:space="preserve">L’objet politique central, ici, c’est que</w:t>
      </w:r>
      <w:r>
        <w:t xml:space="preserve"> </w:t>
      </w:r>
      <w:r>
        <w:rPr>
          <w:b/>
          <w:bCs/>
        </w:rPr>
        <w:t xml:space="preserve">la cotisation est patronale</w:t>
      </w:r>
      <w:r>
        <w:t xml:space="preserve">. Du début à la fin. L’employé australien ne voit pas son salaire net diminuer : c’est le coût du travail qui augmente, et c’est l’employeur qui verse. Aucun débat sur le « pouvoir d’achat », aucune protestation sur les fiches de paie, aucune levée syndicale. La cotisation, dans le récit politique australien, n’est pas une charge supplémentaire pesant sur les salariés. Elle est un</w:t>
      </w:r>
      <w:r>
        <w:t xml:space="preserve"> </w:t>
      </w:r>
      <w:r>
        <w:rPr>
          <w:i/>
          <w:iCs/>
        </w:rPr>
        <w:t xml:space="preserve">salaire différé</w:t>
      </w:r>
      <w:r>
        <w:t xml:space="preserve">, dont le patron est le canal et dont le travailleur est le bénéficiaire. C’est par cette astuce que l’Australie a fait passer 12 points de cotisation supplémentaires sans crise politique majeure.</w:t>
      </w:r>
    </w:p>
    <w:p>
      <w:pPr>
        <w:pStyle w:val="BodyText"/>
      </w:pPr>
      <w:r>
        <w:t xml:space="preserve">À fin 2024, l’encours total de la</w:t>
      </w:r>
      <w:r>
        <w:t xml:space="preserve"> </w:t>
      </w:r>
      <w:r>
        <w:rPr>
          <w:i/>
          <w:iCs/>
        </w:rPr>
        <w:t xml:space="preserve">superannuation</w:t>
      </w:r>
      <w:r>
        <w:t xml:space="preserve"> </w:t>
      </w:r>
      <w:r>
        <w:t xml:space="preserve">australienne dépasse</w:t>
      </w:r>
      <w:r>
        <w:t xml:space="preserve"> </w:t>
      </w:r>
      <w:r>
        <w:rPr>
          <w:b/>
          <w:bCs/>
        </w:rPr>
        <w:t xml:space="preserve">4,3 trillions de dollars australiens</w:t>
      </w:r>
      <w:r>
        <w:t xml:space="preserve"> </w:t>
      </w:r>
      <w:r>
        <w:t xml:space="preserve">— autour de 2 600 milliards d’euros, soit environ 160 % du PIB</w:t>
      </w:r>
      <w:r>
        <w:rPr>
          <w:rStyle w:val="FootnoteReference"/>
        </w:rPr>
        <w:footnoteReference w:id="34"/>
      </w:r>
      <w:r>
        <w:t xml:space="preserve">. Quatrième stock d’actifs de retraite au monde, après les États-Unis, le Japon, les Pays-Bas. Le secteur compte une centaine de fonds régulés par l’APRA, l’autorité prudentielle, avec une concentration croissante autour des plus gros :</w:t>
      </w:r>
      <w:r>
        <w:t xml:space="preserve"> </w:t>
      </w:r>
      <w:r>
        <w:rPr>
          <w:b/>
          <w:bCs/>
        </w:rPr>
        <w:t xml:space="preserve">AustralianSuper</w:t>
      </w:r>
      <w:r>
        <w:t xml:space="preserve"> </w:t>
      </w:r>
      <w:r>
        <w:t xml:space="preserve">(385 milliards AUD, 3,67 millions de membres), Australian Retirement Trust (334 milliards), Aware Super (180 milliards), UniSuper, Hostplus, et quelques autres</w:t>
      </w:r>
      <w:r>
        <w:rPr>
          <w:rStyle w:val="FootnoteReference"/>
        </w:rPr>
        <w:footnoteReference w:id="35"/>
      </w:r>
      <w:r>
        <w:t xml:space="preserve">. À eux dix, ils gèrent 64 % de tous les actifs</w:t>
      </w:r>
      <w:r>
        <w:t xml:space="preserve"> </w:t>
      </w:r>
      <w:r>
        <w:rPr>
          <w:i/>
          <w:iCs/>
        </w:rPr>
        <w:t xml:space="preserve">super</w:t>
      </w:r>
      <w:r>
        <w:t xml:space="preserve"> </w:t>
      </w:r>
      <w:r>
        <w:t xml:space="preserve">du pays. Performance d’AustralianSuper sur dix ans glissants, fonds</w:t>
      </w:r>
      <w:r>
        <w:t xml:space="preserve"> </w:t>
      </w:r>
      <w:r>
        <w:rPr>
          <w:i/>
          <w:iCs/>
        </w:rPr>
        <w:t xml:space="preserve">Balanced</w:t>
      </w:r>
      <w:r>
        <w:t xml:space="preserve"> </w:t>
      </w:r>
      <w:r>
        <w:t xml:space="preserve">:</w:t>
      </w:r>
      <w:r>
        <w:t xml:space="preserve"> </w:t>
      </w:r>
      <w:r>
        <w:rPr>
          <w:b/>
          <w:bCs/>
        </w:rPr>
        <w:t xml:space="preserve">7,94 % par an net de frais</w:t>
      </w:r>
      <w:r>
        <w:rPr>
          <w:rStyle w:val="FootnoteReference"/>
        </w:rPr>
        <w:footnoteReference w:id="36"/>
      </w:r>
      <w:r>
        <w:t xml:space="preserve">. Sur le segment</w:t>
      </w:r>
      <w:r>
        <w:t xml:space="preserve"> </w:t>
      </w:r>
      <w:r>
        <w:rPr>
          <w:i/>
          <w:iCs/>
        </w:rPr>
        <w:t xml:space="preserve">MySuper</w:t>
      </w:r>
      <w:r>
        <w:t xml:space="preserve">, qui est l’option par défaut destinée aux salariés qui n’ont pas choisi leur fonds, les frais médians s’établissent à 0,27 % par an — six à huit fois moins qu’une assurance-vie française en unités de compte.</w:t>
      </w:r>
    </w:p>
    <w:p>
      <w:pPr>
        <w:pStyle w:val="BodyText"/>
      </w:pPr>
      <w:r>
        <w:t xml:space="preserve">Le dispositif</w:t>
      </w:r>
      <w:r>
        <w:t xml:space="preserve"> </w:t>
      </w:r>
      <w:r>
        <w:rPr>
          <w:b/>
          <w:bCs/>
        </w:rPr>
        <w:t xml:space="preserve">MySuper</w:t>
      </w:r>
      <w:r>
        <w:t xml:space="preserve"> </w:t>
      </w:r>
      <w:r>
        <w:t xml:space="preserve">mérite, lui aussi, qu’on s’y arrête. Créé en 2014, c’est l’équivalent fonctionnel du fonds par défaut suédois AP7. Tout salarié qui ne choisit pas un fonds particulier est automatiquement inscrit dans le MySuper de son employeur — un produit équilibré, encadré par l’APRA, soumis à un</w:t>
      </w:r>
      <w:r>
        <w:t xml:space="preserve"> </w:t>
      </w:r>
      <w:r>
        <w:rPr>
          <w:i/>
          <w:iCs/>
        </w:rPr>
        <w:t xml:space="preserve">Performance Test</w:t>
      </w:r>
      <w:r>
        <w:t xml:space="preserve"> </w:t>
      </w:r>
      <w:r>
        <w:t xml:space="preserve">annuel. En 2021, à la première édition de ce test,</w:t>
      </w:r>
      <w:r>
        <w:t xml:space="preserve"> </w:t>
      </w:r>
      <w:r>
        <w:rPr>
          <w:b/>
          <w:bCs/>
        </w:rPr>
        <w:t xml:space="preserve">52 produits MySuper ont échoué</w:t>
      </w:r>
      <w:r>
        <w:t xml:space="preserve"> </w:t>
      </w:r>
      <w:r>
        <w:t xml:space="preserve">— beaucoup trop pour passer inaperçu. Le gouvernement Albanese, élu en 2022, a serré la vis. En 2025, les 52 produits encore en activité</w:t>
      </w:r>
      <w:r>
        <w:t xml:space="preserve"> </w:t>
      </w:r>
      <w:r>
        <w:rPr>
          <w:b/>
          <w:bCs/>
        </w:rPr>
        <w:t xml:space="preserve">ont tous passé le test</w:t>
      </w:r>
      <w:r>
        <w:rPr>
          <w:rStyle w:val="FootnoteReference"/>
        </w:rPr>
        <w:footnoteReference w:id="37"/>
      </w:r>
      <w:r>
        <w:t xml:space="preserve">. Le marché s’est nettoyé en quatre ans, par la grâce d’un benchmark public, transparent, opposable.</w:t>
      </w:r>
    </w:p>
    <w:p>
      <w:pPr>
        <w:pStyle w:val="BodyText"/>
      </w:pPr>
      <w:r>
        <w:t xml:space="preserve">Et l’argent ainsi accumulé travaille pour le pays. En 2022, un consortium piloté par IFM Investors et regroupant</w:t>
      </w:r>
      <w:r>
        <w:t xml:space="preserve"> </w:t>
      </w:r>
      <w:r>
        <w:rPr>
          <w:b/>
          <w:bCs/>
        </w:rPr>
        <w:t xml:space="preserve">AustralianSuper, Australian Retirement Trust, Aware Super et UniSuper</w:t>
      </w:r>
      <w:r>
        <w:t xml:space="preserve"> </w:t>
      </w:r>
      <w:r>
        <w:t xml:space="preserve">rachète</w:t>
      </w:r>
      <w:r>
        <w:t xml:space="preserve"> </w:t>
      </w:r>
      <w:r>
        <w:rPr>
          <w:b/>
          <w:bCs/>
        </w:rPr>
        <w:t xml:space="preserve">Sydney Airport</w:t>
      </w:r>
      <w:r>
        <w:t xml:space="preserve"> </w:t>
      </w:r>
      <w:r>
        <w:t xml:space="preserve">pour plus de 20 milliards de dollars australiens, le retire de la cote et le ramène sous contrôle domestique</w:t>
      </w:r>
      <w:r>
        <w:rPr>
          <w:rStyle w:val="FootnoteReference"/>
        </w:rPr>
        <w:footnoteReference w:id="38"/>
      </w:r>
      <w:r>
        <w:t xml:space="preserve">. Les autoroutes M7 et Westconnex à Sydney, les aéroports de Melbourne et Perth, des champs photovoltaïques, des forêts plantées : la superannuation australienne est devenue l’investisseur de référence sur les infrastructures du pays. À l’échelle de la Bourse, les fonds</w:t>
      </w:r>
      <w:r>
        <w:t xml:space="preserve"> </w:t>
      </w:r>
      <w:r>
        <w:rPr>
          <w:i/>
          <w:iCs/>
        </w:rPr>
        <w:t xml:space="preserve">super</w:t>
      </w:r>
      <w:r>
        <w:t xml:space="preserve"> </w:t>
      </w:r>
      <w:r>
        <w:t xml:space="preserve">détiennent désormais autour de 35 % de la capitalisation de l’ASX, et la projection de Deloitte porte ce chiffre à 60 % d’ici 2038</w:t>
      </w:r>
      <w:r>
        <w:rPr>
          <w:rStyle w:val="FootnoteReference"/>
        </w:rPr>
        <w:footnoteReference w:id="39"/>
      </w:r>
      <w:r>
        <w:t xml:space="preserve">.</w:t>
      </w:r>
    </w:p>
    <w:p>
      <w:pPr>
        <w:pStyle w:val="BodyText"/>
      </w:pPr>
      <w:r>
        <w:t xml:space="preserve">Du point de vue français, la leçon australienne est claire. Elle se résume en quelques mots :</w:t>
      </w:r>
      <w:r>
        <w:t xml:space="preserve"> </w:t>
      </w:r>
      <w:r>
        <w:rPr>
          <w:i/>
          <w:iCs/>
        </w:rPr>
        <w:t xml:space="preserve">cotisation patronale, montée graduelle, consensus transpartisan</w:t>
      </w:r>
      <w:r>
        <w:t xml:space="preserve">. La cotisation patronale fait sauter le verrou symbolique du « double paiement » — l’objection française par excellence, à laquelle nous reviendrons au chapitre 5.</w:t>
      </w:r>
    </w:p>
    <w:p>
      <w:pPr>
        <w:pStyle w:val="BodyText"/>
      </w:pPr>
      <w:r>
        <w:t xml:space="preserve">La montée graduelle, sur vingt-cinq ans, désamorce le choc économique. Et le consensus transpartisan tient le système debout dans la durée : aucun gouvernement australien, depuis 1992, qu’il soit travailliste ou de la Coalition libérale-nationale, n’a sérieusement tenté d’abolir la</w:t>
      </w:r>
      <w:r>
        <w:t xml:space="preserve"> </w:t>
      </w:r>
      <w:r>
        <w:rPr>
          <w:i/>
          <w:iCs/>
        </w:rPr>
        <w:t xml:space="preserve">Superannuation Guarantee</w:t>
      </w:r>
      <w:r>
        <w:t xml:space="preserve">. Le gel d’Abbott a duré sept ans, c’est tout. Trente-trois ans de stabilité institutionnelle, dans un pays politiquement aussi clivé que la France, parce qu’à un moment, en 1985, un Premier ministre travailliste, un trésorier social-démocrate et un syndicaliste combattif ont décidé qu’il y avait là un bien commun à protéger.</w:t>
      </w:r>
    </w:p>
    <w:p>
      <w:pPr>
        <w:pStyle w:val="BodyText"/>
      </w:pPr>
      <w:r>
        <w:t xml:space="preserve">Qui, en France, signerait l’équivalent ? Quel ministre des Finances, quel secrétaire de la CFDT, quel président d’organisation patronale auraient à la fois la force, la légitimité et la patience de tenir un accord pluripartite sur trente ans ?</w:t>
      </w:r>
    </w:p>
    <w:bookmarkEnd w:id="40"/>
    <w:bookmarkStart w:id="55" w:name="singapour-le-modèle-asiatique-mature"/>
    <w:p>
      <w:pPr>
        <w:pStyle w:val="Heading2"/>
      </w:pPr>
      <w:r>
        <w:t xml:space="preserve">4.3 Singapour : le modèle asiatique mature</w:t>
      </w:r>
    </w:p>
    <w:p>
      <w:pPr>
        <w:pStyle w:val="FirstParagraph"/>
      </w:pPr>
      <w:r>
        <w:t xml:space="preserve">Singapour, 1959.</w:t>
      </w:r>
      <w:r>
        <w:t xml:space="preserve"> </w:t>
      </w:r>
      <w:r>
        <w:rPr>
          <w:b/>
          <w:bCs/>
        </w:rPr>
        <w:t xml:space="preserve">Lee Kuan Yew</w:t>
      </w:r>
      <w:r>
        <w:t xml:space="preserve">, trente-six ans, vient d’être élu Premier ministre. L’île est une colonie britannique exiguë et dépourvue de matières premières, peuplée de trois millions d’habitants mal logés, et coincée entre une Malaisie qui ne veut pas d’elle et une Indonésie qui la toise. En 1965, l’éviction de la Fédération malaisienne fait de Singapour un État indépendant à son corps défendant. Lee, qui pleure publiquement à la télévision le jour de la séparation, doit alors construire une nation à partir de rien. Il a deux atouts : une population disciplinée, et un système d’épargne hérité de l’administration coloniale qu’il va transformer en pivot de son projet politique</w:t>
      </w:r>
      <w:r>
        <w:rPr>
          <w:rStyle w:val="FootnoteReference"/>
        </w:rPr>
        <w:footnoteReference w:id="41"/>
      </w:r>
      <w:r>
        <w:t xml:space="preserve">.</w:t>
      </w:r>
    </w:p>
    <w:p>
      <w:pPr>
        <w:pStyle w:val="BodyText"/>
      </w:pPr>
      <w:r>
        <w:t xml:space="preserve">Le</w:t>
      </w:r>
      <w:r>
        <w:t xml:space="preserve"> </w:t>
      </w:r>
      <w:r>
        <w:rPr>
          <w:b/>
          <w:bCs/>
        </w:rPr>
        <w:t xml:space="preserve">Central Provident Fund</w:t>
      </w:r>
      <w:r>
        <w:t xml:space="preserve"> </w:t>
      </w:r>
      <w:r>
        <w:t xml:space="preserve">est créé en 1955 par l’administration coloniale, sous l’impulsion conjointe du gouverneur britannique et de l’avocat David Marshall, alors Chief Minister. C’est, à l’origine, un dispositif modeste : 5 % du salaire versé par l’employeur, 5 % par le salarié, sur un compte épargne individuel destiné à payer une pension à 55 ans. Lee Kuan Yew en hérite. Et il en fait tout autre chose. Avec son ministre des Finances</w:t>
      </w:r>
      <w:r>
        <w:t xml:space="preserve"> </w:t>
      </w:r>
      <w:r>
        <w:rPr>
          <w:b/>
          <w:bCs/>
        </w:rPr>
        <w:t xml:space="preserve">Goh Keng Swee</w:t>
      </w:r>
      <w:r>
        <w:t xml:space="preserve">, économiste formé à la London School of Economics et architecte du miracle économique singapourien, il transforme progressivement le CPF en outil de politique sociale</w:t>
      </w:r>
      <w:r>
        <w:rPr>
          <w:rStyle w:val="FootnoteReference"/>
        </w:rPr>
        <w:footnoteReference w:id="42"/>
      </w:r>
      <w:r>
        <w:t xml:space="preserve">.</w:t>
      </w:r>
    </w:p>
    <w:p>
      <w:pPr>
        <w:pStyle w:val="BodyText"/>
      </w:pPr>
      <w:r>
        <w:rPr>
          <w:b/>
          <w:bCs/>
        </w:rPr>
        <w:t xml:space="preserve">1968</w:t>
      </w:r>
      <w:r>
        <w:t xml:space="preserve">, première grande mutation : Lee Kuan Yew autorise l’usage du CPF pour acheter un logement public — un appartement HDB,</w:t>
      </w:r>
      <w:r>
        <w:t xml:space="preserve"> </w:t>
      </w:r>
      <w:r>
        <w:rPr>
          <w:i/>
          <w:iCs/>
        </w:rPr>
        <w:t xml:space="preserve">Housing and Development Board</w:t>
      </w:r>
      <w:r>
        <w:t xml:space="preserve">. C’est l’inflexion fondatrice. À partir de ce moment-là, l’épargne forcée cesse d’être un produit de retraite pour devenir un instrument d’accession à la propriété. Lee, dans ses mémoires, explique le calcul politique :</w:t>
      </w:r>
      <w:r>
        <w:t xml:space="preserve"> </w:t>
      </w:r>
      <w:r>
        <w:rPr>
          <w:i/>
          <w:iCs/>
        </w:rPr>
        <w:t xml:space="preserve">un Singapourien propriétaire est un Singapourien attaché au pays</w:t>
      </w:r>
      <w:r>
        <w:rPr>
          <w:rStyle w:val="FootnoteReference"/>
        </w:rPr>
        <w:footnoteReference w:id="43"/>
      </w:r>
      <w:r>
        <w:t xml:space="preserve">. La logique fonctionne. En 2024,</w:t>
      </w:r>
      <w:r>
        <w:t xml:space="preserve"> </w:t>
      </w:r>
      <w:r>
        <w:rPr>
          <w:b/>
          <w:bCs/>
        </w:rPr>
        <w:t xml:space="preserve">90 % des résidents singapouriens sont propriétaires de leur logement</w:t>
      </w:r>
      <w:r>
        <w:t xml:space="preserve">, et 80 % vivent en HDB construits par l’État</w:t>
      </w:r>
      <w:r>
        <w:rPr>
          <w:rStyle w:val="FootnoteReference"/>
        </w:rPr>
        <w:footnoteReference w:id="44"/>
      </w:r>
      <w:r>
        <w:t xml:space="preserve">. C’est probablement le taux d’accession à la propriété le plus élevé du monde développé. Comparaison : 66 % en France, 51 % en Allemagne.</w:t>
      </w:r>
    </w:p>
    <w:p>
      <w:pPr>
        <w:pStyle w:val="BodyText"/>
      </w:pPr>
      <w:r>
        <w:t xml:space="preserve">L’architecture s’enrichit progressivement.</w:t>
      </w:r>
      <w:r>
        <w:t xml:space="preserve"> </w:t>
      </w:r>
      <w:r>
        <w:rPr>
          <w:b/>
          <w:bCs/>
        </w:rPr>
        <w:t xml:space="preserve">1974</w:t>
      </w:r>
      <w:r>
        <w:t xml:space="preserve"> </w:t>
      </w:r>
      <w:r>
        <w:t xml:space="preserve">: création du</w:t>
      </w:r>
      <w:r>
        <w:t xml:space="preserve"> </w:t>
      </w:r>
      <w:r>
        <w:rPr>
          <w:i/>
          <w:iCs/>
        </w:rPr>
        <w:t xml:space="preserve">Special Account</w:t>
      </w:r>
      <w:r>
        <w:t xml:space="preserve"> </w:t>
      </w:r>
      <w:r>
        <w:t xml:space="preserve">(SA), réservé strictement à la retraite, mieux rémunéré.</w:t>
      </w:r>
      <w:r>
        <w:t xml:space="preserve"> </w:t>
      </w:r>
      <w:r>
        <w:rPr>
          <w:b/>
          <w:bCs/>
        </w:rPr>
        <w:t xml:space="preserve">1984</w:t>
      </w:r>
      <w:r>
        <w:t xml:space="preserve"> </w:t>
      </w:r>
      <w:r>
        <w:t xml:space="preserve">: création du</w:t>
      </w:r>
      <w:r>
        <w:t xml:space="preserve"> </w:t>
      </w:r>
      <w:r>
        <w:rPr>
          <w:i/>
          <w:iCs/>
        </w:rPr>
        <w:t xml:space="preserve">MediSave Account</w:t>
      </w:r>
      <w:r>
        <w:t xml:space="preserve"> </w:t>
      </w:r>
      <w:r>
        <w:t xml:space="preserve">(MA), qui finance la santé.</w:t>
      </w:r>
      <w:r>
        <w:t xml:space="preserve"> </w:t>
      </w:r>
      <w:r>
        <w:rPr>
          <w:b/>
          <w:bCs/>
        </w:rPr>
        <w:t xml:space="preserve">2008</w:t>
      </w:r>
      <w:r>
        <w:t xml:space="preserve"> </w:t>
      </w:r>
      <w:r>
        <w:t xml:space="preserve">: création du</w:t>
      </w:r>
      <w:r>
        <w:t xml:space="preserve"> </w:t>
      </w:r>
      <w:r>
        <w:rPr>
          <w:i/>
          <w:iCs/>
        </w:rPr>
        <w:t xml:space="preserve">Retirement Account</w:t>
      </w:r>
      <w:r>
        <w:t xml:space="preserve"> </w:t>
      </w:r>
      <w:r>
        <w:t xml:space="preserve">(RA), qui à 55 ans bascule une partie des fonds vers une rente viagère.</w:t>
      </w:r>
      <w:r>
        <w:t xml:space="preserve"> </w:t>
      </w:r>
      <w:r>
        <w:rPr>
          <w:b/>
          <w:bCs/>
        </w:rPr>
        <w:t xml:space="preserve">2009</w:t>
      </w:r>
      <w:r>
        <w:t xml:space="preserve"> </w:t>
      </w:r>
      <w:r>
        <w:t xml:space="preserve">: lancement de</w:t>
      </w:r>
      <w:r>
        <w:t xml:space="preserve"> </w:t>
      </w:r>
      <w:r>
        <w:rPr>
          <w:b/>
          <w:bCs/>
        </w:rPr>
        <w:t xml:space="preserve">CPF LIFE</w:t>
      </w:r>
      <w:r>
        <w:t xml:space="preserve">, rente viagère obligatoire pour les Singapouriens nés en 1958 ou après, garantissant un revenu mensuel à vie au-delà de 65 ans. Quatre comptes, quatre usages, un seul fonds — la retraite, le logement, la santé et la rente sont financés par le même véhicule</w:t>
      </w:r>
      <w:r>
        <w:rPr>
          <w:rStyle w:val="FootnoteReference"/>
        </w:rPr>
        <w:footnoteReference w:id="45"/>
      </w:r>
      <w:r>
        <w:t xml:space="preserve">.</w:t>
      </w:r>
    </w:p>
    <w:p>
      <w:pPr>
        <w:pStyle w:val="BodyText"/>
      </w:pPr>
      <w:r>
        <w:t xml:space="preserve">Côté cotisations, le taux total dépasse aujourd’hui</w:t>
      </w:r>
      <w:r>
        <w:t xml:space="preserve"> </w:t>
      </w:r>
      <w:r>
        <w:rPr>
          <w:b/>
          <w:bCs/>
        </w:rPr>
        <w:t xml:space="preserve">37 % du salaire brut</w:t>
      </w:r>
      <w:r>
        <w:t xml:space="preserve"> </w:t>
      </w:r>
      <w:r>
        <w:t xml:space="preserve">pour les moins de 55 ans : 17 % patronal, 20 % salarié</w:t>
      </w:r>
      <w:r>
        <w:rPr>
          <w:rStyle w:val="FootnoteReference"/>
        </w:rPr>
        <w:footnoteReference w:id="46"/>
      </w:r>
      <w:r>
        <w:t xml:space="preserve">. À première lecture, c’est énorme. Mais Singapour n’a pas de TVA significative, pas d’impôt sur le revenu progressif au-delà de 22 %, pas de cotisation sociale séparée. Le CPF</w:t>
      </w:r>
      <w:r>
        <w:t xml:space="preserve"> </w:t>
      </w:r>
      <w:r>
        <w:rPr>
          <w:i/>
          <w:iCs/>
        </w:rPr>
        <w:t xml:space="preserve">est</w:t>
      </w:r>
      <w:r>
        <w:t xml:space="preserve"> </w:t>
      </w:r>
      <w:r>
        <w:t xml:space="preserve">la fiscalité sociale du pays. Le taux de 37 % ne s’ajoute pas à un système, il en remplace plusieurs. Au-dessus de 55 ans, les taux diminuent par paliers, jusqu’à 12,5 % au-delà de 70 ans, pour ne pas peser sur l’emploi des seniors. Le plafond contributif est fixé à 8 000 dollars singapouriens par mois — environ 5 500 euros — pour ne pas faire de l’épargne forcée un piège pour les hauts revenus.</w:t>
      </w:r>
    </w:p>
    <w:p>
      <w:pPr>
        <w:pStyle w:val="BodyText"/>
      </w:pPr>
      <w:r>
        <w:t xml:space="preserve">La grande spécificité de Singapour, par rapport à la Suède ou l’Australie, est que</w:t>
      </w:r>
      <w:r>
        <w:t xml:space="preserve"> </w:t>
      </w:r>
      <w:r>
        <w:rPr>
          <w:b/>
          <w:bCs/>
        </w:rPr>
        <w:t xml:space="preserve">les rendements sont garantis par l’État</w:t>
      </w:r>
      <w:r>
        <w:t xml:space="preserve">. L’OA paye 2,5 % par an minimum, les autres comptes 4 %, avec un bonus de 1 à 2 points pour les bas soldes et les seniors. C’est l’État qui prend le risque d’investissement, à travers son agence souveraine</w:t>
      </w:r>
      <w:r>
        <w:t xml:space="preserve"> </w:t>
      </w:r>
      <w:r>
        <w:rPr>
          <w:b/>
          <w:bCs/>
        </w:rPr>
        <w:t xml:space="preserve">GIC</w:t>
      </w:r>
      <w:r>
        <w:t xml:space="preserve"> </w:t>
      </w:r>
      <w:r>
        <w:t xml:space="preserve">(</w:t>
      </w:r>
      <w:r>
        <w:rPr>
          <w:i/>
          <w:iCs/>
        </w:rPr>
        <w:t xml:space="preserve">Government of Singapore Investment Corporation</w:t>
      </w:r>
      <w:r>
        <w:t xml:space="preserve">), dont les actifs estimés dépassent 800 milliards de dollars à mi-2025</w:t>
      </w:r>
      <w:r>
        <w:rPr>
          <w:rStyle w:val="FootnoteReference"/>
        </w:rPr>
        <w:footnoteReference w:id="47"/>
      </w:r>
      <w:r>
        <w:t xml:space="preserve">. GIC place pour le compte de l’État, livre une performance moyenne réelle de l’ordre de 4 à 5 % sur trente ans, et la différence entre cette performance et les taux garantis aux Singapouriens alimente les réserves nationales. Critique récurrente du</w:t>
      </w:r>
      <w:r>
        <w:t xml:space="preserve"> </w:t>
      </w:r>
      <w:r>
        <w:rPr>
          <w:b/>
          <w:bCs/>
        </w:rPr>
        <w:t xml:space="preserve">Workers’ Party</w:t>
      </w:r>
      <w:r>
        <w:t xml:space="preserve">, principale formation d’opposition : l’État pourrait verser davantage aux cotisants</w:t>
      </w:r>
      <w:r>
        <w:rPr>
          <w:rStyle w:val="FootnoteReference"/>
        </w:rPr>
        <w:footnoteReference w:id="48"/>
      </w:r>
      <w:r>
        <w:t xml:space="preserve">. Réponse constante du gouvernement</w:t>
      </w:r>
      <w:r>
        <w:t xml:space="preserve"> </w:t>
      </w:r>
      <w:r>
        <w:rPr>
          <w:i/>
          <w:iCs/>
        </w:rPr>
        <w:t xml:space="preserve">People’s Action Party</w:t>
      </w:r>
      <w:r>
        <w:t xml:space="preserve"> </w:t>
      </w:r>
      <w:r>
        <w:t xml:space="preserve">(PAP) : la garantie a une valeur, et cette valeur explique en partie l’écart.</w:t>
      </w:r>
    </w:p>
    <w:p>
      <w:pPr>
        <w:pStyle w:val="BodyText"/>
      </w:pPr>
      <w:r>
        <w:t xml:space="preserve">Encours total du CPF fin 2024 :</w:t>
      </w:r>
      <w:r>
        <w:t xml:space="preserve"> </w:t>
      </w:r>
      <w:r>
        <w:rPr>
          <w:b/>
          <w:bCs/>
        </w:rPr>
        <w:t xml:space="preserve">609,5 milliards de dollars singapouriens</w:t>
      </w:r>
      <w:r>
        <w:t xml:space="preserve">, environ 420 milliards d’euros, soit 94 % du PIB</w:t>
      </w:r>
      <w:r>
        <w:rPr>
          <w:rStyle w:val="FootnoteReference"/>
        </w:rPr>
        <w:footnoteReference w:id="49"/>
      </w:r>
      <w:r>
        <w:t xml:space="preserve">.</w:t>
      </w:r>
      <w:r>
        <w:t xml:space="preserve"> </w:t>
      </w:r>
      <w:r>
        <w:rPr>
          <w:b/>
          <w:bCs/>
        </w:rPr>
        <w:t xml:space="preserve">4,2 millions de membres</w:t>
      </w:r>
      <w:r>
        <w:t xml:space="preserve">, dans un pays de 5,7 millions d’habitants. Le système est arrivé à maturité, et il est désormais inclus dans la mécanique fine de la politique sociale.</w:t>
      </w:r>
      <w:r>
        <w:t xml:space="preserve"> </w:t>
      </w:r>
      <w:r>
        <w:rPr>
          <w:b/>
          <w:bCs/>
        </w:rPr>
        <w:t xml:space="preserve">Janvier 2025</w:t>
      </w:r>
      <w:r>
        <w:t xml:space="preserve"> </w:t>
      </w:r>
      <w:r>
        <w:t xml:space="preserve">: le gouvernement a fermé le</w:t>
      </w:r>
      <w:r>
        <w:t xml:space="preserve"> </w:t>
      </w:r>
      <w:r>
        <w:rPr>
          <w:i/>
          <w:iCs/>
        </w:rPr>
        <w:t xml:space="preserve">Special Account</w:t>
      </w:r>
      <w:r>
        <w:t xml:space="preserve"> </w:t>
      </w:r>
      <w:r>
        <w:t xml:space="preserve">aux 55 ans et plus, redirigeant les fonds vers le</w:t>
      </w:r>
      <w:r>
        <w:t xml:space="preserve"> </w:t>
      </w:r>
      <w:r>
        <w:rPr>
          <w:i/>
          <w:iCs/>
        </w:rPr>
        <w:t xml:space="preserve">Retirement Account</w:t>
      </w:r>
      <w:r>
        <w:t xml:space="preserve">, pour mieux structurer la phase de décaissement</w:t>
      </w:r>
      <w:r>
        <w:rPr>
          <w:rStyle w:val="FootnoteReference"/>
        </w:rPr>
        <w:footnoteReference w:id="50"/>
      </w:r>
      <w:r>
        <w:t xml:space="preserve">.</w:t>
      </w:r>
      <w:r>
        <w:t xml:space="preserve"> </w:t>
      </w:r>
      <w:r>
        <w:rPr>
          <w:b/>
          <w:bCs/>
        </w:rPr>
        <w:t xml:space="preserve">Août 2023</w:t>
      </w:r>
      <w:r>
        <w:t xml:space="preserve"> </w:t>
      </w:r>
      <w:r>
        <w:t xml:space="preserve">: annonce du</w:t>
      </w:r>
      <w:r>
        <w:t xml:space="preserve"> </w:t>
      </w:r>
      <w:r>
        <w:rPr>
          <w:b/>
          <w:bCs/>
        </w:rPr>
        <w:t xml:space="preserve">Majulah Package</w:t>
      </w:r>
      <w:r>
        <w:t xml:space="preserve">, programme de soutien de</w:t>
      </w:r>
      <w:r>
        <w:t xml:space="preserve"> </w:t>
      </w:r>
      <w:r>
        <w:rPr>
          <w:b/>
          <w:bCs/>
        </w:rPr>
        <w:t xml:space="preserve">7 milliards de dollars singapouriens</w:t>
      </w:r>
      <w:r>
        <w:t xml:space="preserve"> </w:t>
      </w:r>
      <w:r>
        <w:t xml:space="preserve">pour la « génération sandwich » née entre 1965 et 1973, qui supporte simultanément la charge de ses parents âgés et de ses enfants</w:t>
      </w:r>
      <w:r>
        <w:rPr>
          <w:rStyle w:val="FootnoteReference"/>
        </w:rPr>
        <w:footnoteReference w:id="51"/>
      </w:r>
      <w:r>
        <w:t xml:space="preserve">.</w:t>
      </w:r>
    </w:p>
    <w:p>
      <w:pPr>
        <w:pStyle w:val="BodyText"/>
      </w:pPr>
      <w:r>
        <w:t xml:space="preserve">À cela s’ajoute le</w:t>
      </w:r>
      <w:r>
        <w:t xml:space="preserve"> </w:t>
      </w:r>
      <w:r>
        <w:rPr>
          <w:b/>
          <w:bCs/>
        </w:rPr>
        <w:t xml:space="preserve">Silver Support Scheme</w:t>
      </w:r>
      <w:r>
        <w:t xml:space="preserve">, filet de pauvreté des seniors créé en 2016 : pour les 20 à 30 % de retraités les plus modestes, l’État verse automatiquement entre 150 et 360 dollars singapouriens par mois, sans demande administrative, sur la base des données fiscales et de logement</w:t>
      </w:r>
      <w:r>
        <w:rPr>
          <w:rStyle w:val="FootnoteReference"/>
        </w:rPr>
        <w:footnoteReference w:id="52"/>
      </w:r>
      <w:r>
        <w:t xml:space="preserve">. C’est la version singapourienne de la garantipension suédoise. Indispensable, parce que même un système d’épargne forcé à 37 % laisse derrière lui des carrières fragmentaires, surtout du côté féminin, où l’écart de soldes CPF se situe autour de 7 à 10 % par rapport aux hommes</w:t>
      </w:r>
      <w:r>
        <w:rPr>
          <w:rStyle w:val="FootnoteReference"/>
        </w:rPr>
        <w:footnoteReference w:id="53"/>
      </w:r>
      <w:r>
        <w:t xml:space="preserve">.</w:t>
      </w:r>
    </w:p>
    <w:p>
      <w:pPr>
        <w:pStyle w:val="BodyText"/>
      </w:pPr>
      <w:r>
        <w:t xml:space="preserve">Le résultat global, en 2025 ? Le</w:t>
      </w:r>
      <w:r>
        <w:t xml:space="preserve"> </w:t>
      </w:r>
      <w:r>
        <w:rPr>
          <w:b/>
          <w:bCs/>
        </w:rPr>
        <w:t xml:space="preserve">Mercer CFA Global Pension Index</w:t>
      </w:r>
      <w:r>
        <w:t xml:space="preserve"> </w:t>
      </w:r>
      <w:r>
        <w:t xml:space="preserve">classe Singapour</w:t>
      </w:r>
      <w:r>
        <w:t xml:space="preserve"> </w:t>
      </w:r>
      <w:r>
        <w:rPr>
          <w:b/>
          <w:bCs/>
        </w:rPr>
        <w:t xml:space="preserve">5ᵉ mondial avec une note A</w:t>
      </w:r>
      <w:r>
        <w:t xml:space="preserve">, première place asiatique, devant le Royaume-Uni, l’Australie, la Finlande</w:t>
      </w:r>
      <w:r>
        <w:rPr>
          <w:rStyle w:val="FootnoteReference"/>
        </w:rPr>
        <w:footnoteReference w:id="54"/>
      </w:r>
      <w:r>
        <w:t xml:space="preserve">. La France, à titre de comparaison, n’est pas dans le top 20. Le pays a réussi quelque chose que peu d’autres ont accompli : faire tenir, sur soixante-dix ans et sous des gouvernements successifs de la même famille politique, un système d’épargne obligatoire à très haut taux sans crise majeure. La continuité aide. La discipline aide. Mais surtout, le pacte initial — épargne forcée</w:t>
      </w:r>
      <w:r>
        <w:t xml:space="preserve"> </w:t>
      </w:r>
      <w:r>
        <w:rPr>
          <w:i/>
          <w:iCs/>
        </w:rPr>
        <w:t xml:space="preserve">contre</w:t>
      </w:r>
      <w:r>
        <w:t xml:space="preserve"> </w:t>
      </w:r>
      <w:r>
        <w:t xml:space="preserve">propriété accessible</w:t>
      </w:r>
      <w:r>
        <w:t xml:space="preserve"> </w:t>
      </w:r>
      <w:r>
        <w:rPr>
          <w:i/>
          <w:iCs/>
        </w:rPr>
        <w:t xml:space="preserve">contre</w:t>
      </w:r>
      <w:r>
        <w:t xml:space="preserve"> </w:t>
      </w:r>
      <w:r>
        <w:t xml:space="preserve">protection sociale intégrée — n’a jamais été rompu. Aucun Premier ministre singapourien n’a jamais tenté d’abolir le CPF. Aucun n’a même tenté de le réduire significativement. C’est tabou, au sens noble du mot : c’est un acquis civilisationnel.</w:t>
      </w:r>
    </w:p>
    <w:p>
      <w:pPr>
        <w:pStyle w:val="BodyText"/>
      </w:pPr>
      <w:r>
        <w:t xml:space="preserve">Que peut-on transposer ? Pas grand-chose, et beaucoup à la fois. Pas grand-chose, parce que le taux de cotisation singapourien est inatteignable dans un pays où la fiscalité directe pèse déjà 45 % du PIB. Le modèle multi-usage logement-retraite-santé suppose une centralisation budgétaire que la France ne pratique pas. Et le pacte de continuité politique de soixante-dix ans suppose un système électoral qui n’est pas le nôtre — le PAP a remporté toutes les élections nationales depuis 1959, fait que peu de démocraties européennes accepteraient.</w:t>
      </w:r>
    </w:p>
    <w:p>
      <w:pPr>
        <w:pStyle w:val="BodyText"/>
      </w:pPr>
      <w:r>
        <w:t xml:space="preserve">Mais beaucoup, malgré tout, est transposable au niveau des principes.</w:t>
      </w:r>
      <w:r>
        <w:t xml:space="preserve"> </w:t>
      </w:r>
      <w:r>
        <w:rPr>
          <w:b/>
          <w:bCs/>
        </w:rPr>
        <w:t xml:space="preserve">Premier principe</w:t>
      </w:r>
      <w:r>
        <w:t xml:space="preserve"> </w:t>
      </w:r>
      <w:r>
        <w:t xml:space="preserve">: un</w:t>
      </w:r>
      <w:r>
        <w:t xml:space="preserve"> </w:t>
      </w:r>
      <w:r>
        <w:rPr>
          <w:i/>
          <w:iCs/>
        </w:rPr>
        <w:t xml:space="preserve">fond par défaut</w:t>
      </w:r>
      <w:r>
        <w:t xml:space="preserve">, un seul, simple, public, à frais bas, qui gère l’épargne de tous ceux qui ne choisissent pas autre chose. Le CPF, dans sa structure, est cela. AP7 Såfa en Suède, MySuper en Australie, en sont l’équivalent. Le PER français, avec ses centaines d’options pour onze millions de souscripteurs, en est l’inverse.</w:t>
      </w:r>
      <w:r>
        <w:t xml:space="preserve"> </w:t>
      </w:r>
      <w:r>
        <w:rPr>
          <w:b/>
          <w:bCs/>
        </w:rPr>
        <w:t xml:space="preserve">Deuxième principe</w:t>
      </w:r>
      <w:r>
        <w:t xml:space="preserve"> </w:t>
      </w:r>
      <w:r>
        <w:t xml:space="preserve">: un plancher universel, ciblé sans demande administrative, qui empêche n’importe quel travailleur à carrière courte de basculer sous le seuil de pauvreté.</w:t>
      </w:r>
      <w:r>
        <w:t xml:space="preserve"> </w:t>
      </w:r>
      <w:r>
        <w:rPr>
          <w:b/>
          <w:bCs/>
        </w:rPr>
        <w:t xml:space="preserve">Troisième principe</w:t>
      </w:r>
      <w:r>
        <w:t xml:space="preserve"> </w:t>
      </w:r>
      <w:r>
        <w:t xml:space="preserve">: un rendement garanti pour la part socle, avec un acteur public — l’État ou un véhicule comme la Caisse des dépôts — qui assume le risque d’investissement. La Suède a son AP7, mais sans garantie ; Singapour ajoute la garantie. Pour un pays comme la France, où la culture de l’épargne</w:t>
      </w:r>
      <w:r>
        <w:t xml:space="preserve"> </w:t>
      </w:r>
      <w:r>
        <w:rPr>
          <w:i/>
          <w:iCs/>
        </w:rPr>
        <w:t xml:space="preserve">liquide et garantie</w:t>
      </w:r>
      <w:r>
        <w:t xml:space="preserve"> </w:t>
      </w:r>
      <w:r>
        <w:t xml:space="preserve">est intacte depuis le Livret A de 1818, ce dernier principe a une portée particulière.</w:t>
      </w:r>
      <w:r>
        <w:t xml:space="preserve"> </w:t>
      </w:r>
      <w:r>
        <w:rPr>
          <w:i/>
          <w:iCs/>
        </w:rPr>
        <w:t xml:space="preserve">On peut très bien capitaliser sans transférer le risque au cotisant individuel</w:t>
      </w:r>
      <w:r>
        <w:t xml:space="preserve">. Le système suédois ne le fait qu’à moitié ; le système singapourien le fait à 100 %.</w:t>
      </w:r>
    </w:p>
    <w:p>
      <w:pPr>
        <w:pStyle w:val="BodyText"/>
      </w:pPr>
      <w:r>
        <w:t xml:space="preserve">C’est la deuxième leçon politique du chapitre, et elle vise particulièrement la gauche française : si la peur c’est le risque de marché, le risque de marché peut être absorbé par l’État. Cela a un coût, qui est l’écart de rendement entre ce que livre le marché et ce que reçoit l’épargnant. À Singapour, cet écart finance les réserves nationales. C’est un</w:t>
      </w:r>
      <w:r>
        <w:t xml:space="preserve"> </w:t>
      </w:r>
      <w:r>
        <w:rPr>
          <w:i/>
          <w:iCs/>
        </w:rPr>
        <w:t xml:space="preserve">deal</w:t>
      </w:r>
      <w:r>
        <w:t xml:space="preserve"> </w:t>
      </w:r>
      <w:r>
        <w:t xml:space="preserve">explicite, négocié, accepté. La gauche française pourrait s’en inspirer.</w:t>
      </w:r>
    </w:p>
    <w:bookmarkEnd w:id="55"/>
    <w:bookmarkStart w:id="83" w:name="X297deed7a2565db2b7f8054dbc85a7c98e81549"/>
    <w:p>
      <w:pPr>
        <w:pStyle w:val="Heading2"/>
      </w:pPr>
      <w:r>
        <w:t xml:space="preserve">4.4 Chili : l’expérience unique du tout-capitalisation</w:t>
      </w:r>
    </w:p>
    <w:p>
      <w:pPr>
        <w:pStyle w:val="FirstParagraph"/>
      </w:pPr>
      <w:r>
        <w:t xml:space="preserve">Le Chili est le seul pays au monde à avoir aboli son système de retraite par répartition pour le remplacer, intégralement et pour tous les nouveaux entrants, par de la capitalisation pure. Aucun autre n’a jamais osé. Ni la Suède, ni les Pays-Bas, ni l’Australie, ni Singapour : tous ont conservé, à côté de leurs piliers capitalisés, un socle public en répartition. Le Chili, lui, a tout basculé d’un seul coup, par décret-loi, sous régime militaire, en 1981. Quarante-cinq ans plus tard, il en revient — c’est l’objet de la loi 21735 de janvier 2025. Cette singularité historique fait du Chili l’expérience scientifique la plus précieuse qui soit pour penser la capitalisation. Pas parce qu’elle réussit. Parce qu’elle échoue de la manière la plus pure, la plus documentée, la plus reproductible. C’est un cas-limite, et les cas-limites enseignent.</w:t>
      </w:r>
    </w:p>
    <w:bookmarkStart w:id="62" w:name="X1bc83c8428821822317d5a628a1c6c33011adf7"/>
    <w:p>
      <w:pPr>
        <w:pStyle w:val="Heading3"/>
      </w:pPr>
      <w:r>
        <w:t xml:space="preserve">Une réforme préméditée, signée à la pointe du fusil</w:t>
      </w:r>
    </w:p>
    <w:p>
      <w:pPr>
        <w:pStyle w:val="FirstParagraph"/>
      </w:pPr>
      <w:r>
        <w:t xml:space="preserve">Avant 1981, le Chili a un système par répartition fragmenté, hérité des années 1920, organisé en</w:t>
      </w:r>
      <w:r>
        <w:t xml:space="preserve"> </w:t>
      </w:r>
      <w:r>
        <w:rPr>
          <w:i/>
          <w:iCs/>
        </w:rPr>
        <w:t xml:space="preserve">Cajas</w:t>
      </w:r>
      <w:r>
        <w:t xml:space="preserve"> </w:t>
      </w:r>
      <w:r>
        <w:t xml:space="preserve">sectorielles. Trente-deux régimes différents, des règles incompréhensibles, des déficits structurels dans les années 1970. Le système est à bout de souffle, comme à peu près tous les systèmes de retraite latino-américains de l’époque. Une réforme s’impose. La forme qu’elle prendra, en revanche, doit beaucoup à la séquence politique.</w:t>
      </w:r>
    </w:p>
    <w:p>
      <w:pPr>
        <w:pStyle w:val="BodyText"/>
      </w:pPr>
      <w:r>
        <w:t xml:space="preserve">Le</w:t>
      </w:r>
      <w:r>
        <w:t xml:space="preserve"> </w:t>
      </w:r>
      <w:r>
        <w:rPr>
          <w:b/>
          <w:bCs/>
        </w:rPr>
        <w:t xml:space="preserve">11 septembre 1973</w:t>
      </w:r>
      <w:r>
        <w:t xml:space="preserve">, le général</w:t>
      </w:r>
      <w:r>
        <w:t xml:space="preserve"> </w:t>
      </w:r>
      <w:r>
        <w:rPr>
          <w:b/>
          <w:bCs/>
        </w:rPr>
        <w:t xml:space="preserve">Augusto Pinochet</w:t>
      </w:r>
      <w:r>
        <w:t xml:space="preserve"> </w:t>
      </w:r>
      <w:r>
        <w:t xml:space="preserve">renverse Salvador Allende. Le Parlement est dissous, les partis interdits, les syndicats désarmés. Le régime militaire durera jusqu’en 1990. Dans ce vide démocratique se déploie une équipe d’économistes connue sous le nom de</w:t>
      </w:r>
      <w:r>
        <w:t xml:space="preserve"> </w:t>
      </w:r>
      <w:r>
        <w:rPr>
          <w:b/>
          <w:bCs/>
        </w:rPr>
        <w:t xml:space="preserve">Chicago Boys</w:t>
      </w:r>
      <w:r>
        <w:t xml:space="preserve"> </w:t>
      </w:r>
      <w:r>
        <w:t xml:space="preserve">— une trentaine de Chiliens formés à l’Université de Chicago dans le cadre du</w:t>
      </w:r>
      <w:r>
        <w:t xml:space="preserve"> </w:t>
      </w:r>
      <w:r>
        <w:rPr>
          <w:i/>
          <w:iCs/>
        </w:rPr>
        <w:t xml:space="preserve">Chile-Chicago Project</w:t>
      </w:r>
      <w:r>
        <w:t xml:space="preserve"> </w:t>
      </w:r>
      <w:r>
        <w:t xml:space="preserve">engagé en 1956 entre l’Universidad Católica de Santiago et le département d’économie de Chicago, sous l’autorité intellectuelle de Milton Friedman et d’Arnold Harberger</w:t>
      </w:r>
      <w:r>
        <w:rPr>
          <w:rStyle w:val="FootnoteReference"/>
        </w:rPr>
        <w:footnoteReference w:id="56"/>
      </w:r>
      <w:r>
        <w:t xml:space="preserve">. Ils ont préparé, avant même le coup d’État, un plan de transformation économique surnommé</w:t>
      </w:r>
      <w:r>
        <w:t xml:space="preserve"> </w:t>
      </w:r>
      <w:r>
        <w:rPr>
          <w:b/>
          <w:bCs/>
          <w:i/>
          <w:iCs/>
        </w:rPr>
        <w:t xml:space="preserve">El Ladrillo</w:t>
      </w:r>
      <w:r>
        <w:t xml:space="preserve"> </w:t>
      </w:r>
      <w:r>
        <w:t xml:space="preserve">—</w:t>
      </w:r>
      <w:r>
        <w:t xml:space="preserve"> </w:t>
      </w:r>
      <w:r>
        <w:rPr>
          <w:i/>
          <w:iCs/>
        </w:rPr>
        <w:t xml:space="preserve">la brique</w:t>
      </w:r>
      <w:r>
        <w:t xml:space="preserve">, en raison de son volume — qui circule sous le manteau dès 1972</w:t>
      </w:r>
      <w:r>
        <w:rPr>
          <w:rStyle w:val="FootnoteReference"/>
        </w:rPr>
        <w:footnoteReference w:id="57"/>
      </w:r>
      <w:r>
        <w:t xml:space="preserve">. La réforme des retraites y figure déjà. Elle n’est pas opportuniste. Elle est préméditée.</w:t>
      </w:r>
    </w:p>
    <w:p>
      <w:pPr>
        <w:pStyle w:val="BodyText"/>
      </w:pPr>
      <w:r>
        <w:t xml:space="preserve">En</w:t>
      </w:r>
      <w:r>
        <w:t xml:space="preserve"> </w:t>
      </w:r>
      <w:r>
        <w:rPr>
          <w:b/>
          <w:bCs/>
        </w:rPr>
        <w:t xml:space="preserve">mars 1975</w:t>
      </w:r>
      <w:r>
        <w:t xml:space="preserve">, Friedman lui-même se rend à Santiago, rencontre Pinochet, et publie au retour une lettre où il qualifie le Chili de</w:t>
      </w:r>
      <w:r>
        <w:t xml:space="preserve"> </w:t>
      </w:r>
      <w:r>
        <w:rPr>
          <w:i/>
          <w:iCs/>
        </w:rPr>
        <w:t xml:space="preserve">Chicago of Latin America</w:t>
      </w:r>
      <w:r>
        <w:t xml:space="preserve">. La caution intellectuelle internationale est posée. Sergio de Castro devient ministre des Finances la même année, puis ministre des Finances en titre de 1976 à 1982. Hernán Büchi prend la suite aux Finances de 1985 à 1989. Et c’est</w:t>
      </w:r>
      <w:r>
        <w:t xml:space="preserve"> </w:t>
      </w:r>
      <w:r>
        <w:rPr>
          <w:b/>
          <w:bCs/>
        </w:rPr>
        <w:t xml:space="preserve">José Piñera</w:t>
      </w:r>
      <w:r>
        <w:t xml:space="preserve">, jeune ministre du Travail et de la Sécurité sociale entre décembre 1978 et décembre 1980 — frère cadet du futur président Sebastián Piñera —, qui hérite du dossier retraites</w:t>
      </w:r>
      <w:r>
        <w:rPr>
          <w:rStyle w:val="FootnoteReference"/>
        </w:rPr>
        <w:footnoteReference w:id="58"/>
      </w:r>
      <w:r>
        <w:t xml:space="preserve">.</w:t>
      </w:r>
    </w:p>
    <w:p>
      <w:pPr>
        <w:pStyle w:val="BodyText"/>
      </w:pPr>
      <w:r>
        <w:t xml:space="preserve">Le</w:t>
      </w:r>
      <w:r>
        <w:t xml:space="preserve"> </w:t>
      </w:r>
      <w:r>
        <w:rPr>
          <w:b/>
          <w:bCs/>
        </w:rPr>
        <w:t xml:space="preserve">décret-loi n° 3500</w:t>
      </w:r>
      <w:r>
        <w:t xml:space="preserve"> </w:t>
      </w:r>
      <w:r>
        <w:t xml:space="preserve">est signé le</w:t>
      </w:r>
      <w:r>
        <w:t xml:space="preserve"> </w:t>
      </w:r>
      <w:r>
        <w:rPr>
          <w:b/>
          <w:bCs/>
        </w:rPr>
        <w:t xml:space="preserve">4 novembre 1980</w:t>
      </w:r>
      <w:r>
        <w:t xml:space="preserve">, publié au</w:t>
      </w:r>
      <w:r>
        <w:t xml:space="preserve"> </w:t>
      </w:r>
      <w:r>
        <w:rPr>
          <w:i/>
          <w:iCs/>
        </w:rPr>
        <w:t xml:space="preserve">Diario Oficial</w:t>
      </w:r>
      <w:r>
        <w:t xml:space="preserve"> </w:t>
      </w:r>
      <w:r>
        <w:t xml:space="preserve">le 13 novembre, et entre en vigueur le</w:t>
      </w:r>
      <w:r>
        <w:t xml:space="preserve"> </w:t>
      </w:r>
      <w:r>
        <w:rPr>
          <w:b/>
          <w:bCs/>
        </w:rPr>
        <w:t xml:space="preserve">1ᵉʳ mai 1981</w:t>
      </w:r>
      <w:r>
        <w:rPr>
          <w:rStyle w:val="FootnoteReference"/>
        </w:rPr>
        <w:footnoteReference w:id="59"/>
      </w:r>
      <w:r>
        <w:t xml:space="preserve">. Aucun débat parlementaire — il n’y a pas de Parlement. Aucune négociation syndicale — les syndicats sont muselés. Aucun référendum — l’opposition ne peut pas s’organiser. L’architecture est livrée clé en main :</w:t>
      </w:r>
      <w:r>
        <w:t xml:space="preserve"> </w:t>
      </w:r>
      <w:r>
        <w:rPr>
          <w:b/>
          <w:bCs/>
        </w:rPr>
        <w:t xml:space="preserve">10 % de cotisation versés par le salarié seul</w:t>
      </w:r>
      <w:r>
        <w:t xml:space="preserve">,</w:t>
      </w:r>
      <w:r>
        <w:t xml:space="preserve"> </w:t>
      </w:r>
      <w:r>
        <w:rPr>
          <w:b/>
          <w:bCs/>
        </w:rPr>
        <w:t xml:space="preserve">zéro cotisation patronale</w:t>
      </w:r>
      <w:r>
        <w:t xml:space="preserve">, gestion confiée à des sociétés privées en concurrence — les</w:t>
      </w:r>
      <w:r>
        <w:t xml:space="preserve"> </w:t>
      </w:r>
      <w:r>
        <w:rPr>
          <w:b/>
          <w:bCs/>
        </w:rPr>
        <w:t xml:space="preserve">AFP</w:t>
      </w:r>
      <w:r>
        <w:t xml:space="preserve">,</w:t>
      </w:r>
      <w:r>
        <w:t xml:space="preserve"> </w:t>
      </w:r>
      <w:r>
        <w:rPr>
          <w:i/>
          <w:iCs/>
        </w:rPr>
        <w:t xml:space="preserve">Administradoras de Fondos de Pensiones</w:t>
      </w:r>
      <w:r>
        <w:t xml:space="preserve"> </w:t>
      </w:r>
      <w:r>
        <w:t xml:space="preserve">—, capital strictement individuel,</w:t>
      </w:r>
      <w:r>
        <w:t xml:space="preserve"> </w:t>
      </w:r>
      <w:r>
        <w:rPr>
          <w:b/>
          <w:bCs/>
        </w:rPr>
        <w:t xml:space="preserve">suppression totale du pilier répartition</w:t>
      </w:r>
      <w:r>
        <w:t xml:space="preserve"> </w:t>
      </w:r>
      <w:r>
        <w:t xml:space="preserve">pour tous les nouveaux entrants à partir du 1ᵉʳ mai 1981. Les actifs déjà sous l’ancien régime peuvent basculer s’ils le veulent ; les nouveaux ne le peuvent pas. Promesses initiales du document Piñera : un taux de remplacement de 70 % du dernier salaire, sur la base d’un rendement réel net supposé entre 5 et 7 % par an pendant trente-cinq à quarante ans</w:t>
      </w:r>
      <w:r>
        <w:rPr>
          <w:rStyle w:val="FootnoteReference"/>
        </w:rPr>
        <w:footnoteReference w:id="60"/>
      </w:r>
      <w:r>
        <w:t xml:space="preserve">.</w:t>
      </w:r>
    </w:p>
    <w:p>
      <w:pPr>
        <w:pStyle w:val="BodyText"/>
      </w:pPr>
      <w:r>
        <w:t xml:space="preserve">Un détail mérite d’être noté, parce qu’il dit l’époque tout entière.</w:t>
      </w:r>
      <w:r>
        <w:t xml:space="preserve"> </w:t>
      </w:r>
      <w:r>
        <w:rPr>
          <w:b/>
          <w:bCs/>
        </w:rPr>
        <w:t xml:space="preserve">Les militaires conservent leur propre régime par répartition</w:t>
      </w:r>
      <w:r>
        <w:t xml:space="preserve">, géré par la CAPREDENA pour les forces armées et la DIPRECA pour les forces de l’ordre, intacts depuis 1915 et 1933 respectivement</w:t>
      </w:r>
      <w:r>
        <w:rPr>
          <w:rStyle w:val="FootnoteReference"/>
        </w:rPr>
        <w:footnoteReference w:id="61"/>
      </w:r>
      <w:r>
        <w:t xml:space="preserve">. Ceux-là mêmes qui imposent la capitalisation pure aux travailleurs civils refusent, pour leur propre corps, ce qu’ils prescrivent aux autres. La doctrine s’arrête à la porte de la caserne. Cela aussi compte. Cela dit qui croit, et qui ne croit pas, à ce qu’on impose.</w:t>
      </w:r>
    </w:p>
    <w:bookmarkEnd w:id="62"/>
    <w:bookmarkStart w:id="65" w:name="une-singularité-mondiale"/>
    <w:p>
      <w:pPr>
        <w:pStyle w:val="Heading3"/>
      </w:pPr>
      <w:r>
        <w:t xml:space="preserve">Une singularité mondiale</w:t>
      </w:r>
    </w:p>
    <w:p>
      <w:pPr>
        <w:pStyle w:val="FirstParagraph"/>
      </w:pPr>
      <w:r>
        <w:t xml:space="preserve">Le DL 3500 a été abondamment imité. Entre 1990 et 2010, vingt-huit pays — dont le Pérou en 1993, la Colombie en 1993, l’Argentine en 1994, le Mexique en 1997, la Bolivie en 1997, le Salvador en 1998, le Costa Rica en 2001 — ont introduit, en tout ou partie, un pilier de comptes individuels gérés en privé inspiré du modèle chilien</w:t>
      </w:r>
      <w:r>
        <w:rPr>
          <w:rStyle w:val="FootnoteReference"/>
        </w:rPr>
        <w:footnoteReference w:id="63"/>
      </w:r>
      <w:r>
        <w:t xml:space="preserve">. La Banque mondiale, dans son rapport</w:t>
      </w:r>
      <w:r>
        <w:t xml:space="preserve"> </w:t>
      </w:r>
      <w:r>
        <w:rPr>
          <w:i/>
          <w:iCs/>
        </w:rPr>
        <w:t xml:space="preserve">Averting the Old Age Crisis</w:t>
      </w:r>
      <w:r>
        <w:t xml:space="preserve"> </w:t>
      </w:r>
      <w:r>
        <w:t xml:space="preserve">de 1994, en avait fait la promotion mondiale. C’était un moment idéologique. Il a duré une quinzaine d’années.</w:t>
      </w:r>
    </w:p>
    <w:p>
      <w:pPr>
        <w:pStyle w:val="BodyText"/>
      </w:pPr>
      <w:r>
        <w:t xml:space="preserve">Puis le mouvement s’inverse. En 2018, l’</w:t>
      </w:r>
      <w:r>
        <w:rPr>
          <w:b/>
          <w:bCs/>
        </w:rPr>
        <w:t xml:space="preserve">OIT</w:t>
      </w:r>
      <w:r>
        <w:t xml:space="preserve"> </w:t>
      </w:r>
      <w:r>
        <w:t xml:space="preserve">publie un rapport au titre programme :</w:t>
      </w:r>
      <w:r>
        <w:t xml:space="preserve"> </w:t>
      </w:r>
      <w:r>
        <w:rPr>
          <w:b/>
          <w:bCs/>
          <w:i/>
          <w:iCs/>
        </w:rPr>
        <w:t xml:space="preserve">Reversing Pension Privatizations</w:t>
      </w:r>
      <w:r>
        <w:rPr>
          <w:rStyle w:val="FootnoteReference"/>
        </w:rPr>
        <w:footnoteReference w:id="64"/>
      </w:r>
      <w:r>
        <w:t xml:space="preserve">. Bilan :</w:t>
      </w:r>
      <w:r>
        <w:t xml:space="preserve"> </w:t>
      </w:r>
      <w:r>
        <w:rPr>
          <w:b/>
          <w:bCs/>
        </w:rPr>
        <w:t xml:space="preserve">dix-huit pays sur trente</w:t>
      </w:r>
      <w:r>
        <w:t xml:space="preserve"> </w:t>
      </w:r>
      <w:r>
        <w:t xml:space="preserve">qui avaient privatisé tout ou partie de leur système l’ont depuis renationalisé, en totalité ou en partie. L’Argentine en 2008, sous Cristina Kirchner. La Bolivie en 2010, sous Evo Morales. La Hongrie, la Pologne, la République tchèque. Le mouvement inverse a été presque aussi rapide que le premier.</w:t>
      </w:r>
    </w:p>
    <w:p>
      <w:pPr>
        <w:pStyle w:val="BodyText"/>
      </w:pPr>
      <w:r>
        <w:t xml:space="preserve">Mais le Chili, lui, est resté. Il a maintenu l’architecture pure plus longtemps que tous les autres. Pas par fidélité au modèle, mais parce que la constitution de 1980, héritée de Pinochet, exige des majorités qualifiées qu’aucun gouvernement de centre-gauche n’a réunies avant 2025. Cette inertie institutionnelle a transformé le Chili en</w:t>
      </w:r>
      <w:r>
        <w:t xml:space="preserve"> </w:t>
      </w:r>
      <w:r>
        <w:rPr>
          <w:b/>
          <w:bCs/>
        </w:rPr>
        <w:t xml:space="preserve">laboratoire involontaire</w:t>
      </w:r>
      <w:r>
        <w:t xml:space="preserve"> </w:t>
      </w:r>
      <w:r>
        <w:t xml:space="preserve">: quarante-cinq ans d’observation continue d’un système de capitalisation pure, sans pilier répartition concurrent, sans cotisation employeur, sans plancher universel à la création. Aucun autre pays n’offre cette épaisseur d’observation. C’est ce qui rend les chiffres chiliens incontournables.</w:t>
      </w:r>
    </w:p>
    <w:bookmarkEnd w:id="65"/>
    <w:bookmarkStart w:id="72" w:name="quarante-cinq-ans-plus-tard-les-chiffres"/>
    <w:p>
      <w:pPr>
        <w:pStyle w:val="Heading3"/>
      </w:pPr>
      <w:r>
        <w:t xml:space="preserve">Quarante-cinq ans plus tard, les chiffres</w:t>
      </w:r>
    </w:p>
    <w:p>
      <w:pPr>
        <w:pStyle w:val="FirstParagraph"/>
      </w:pPr>
      <w:r>
        <w:t xml:space="preserve">Le taux de remplacement médian d’une cohorte chilienne entrée dans la vie active au début des années 1980 est, en 2021, de</w:t>
      </w:r>
      <w:r>
        <w:t xml:space="preserve"> </w:t>
      </w:r>
      <w:r>
        <w:rPr>
          <w:b/>
          <w:bCs/>
        </w:rPr>
        <w:t xml:space="preserve">38,5 % pour les hommes et 35,4 % pour les femmes</w:t>
      </w:r>
      <w:r>
        <w:t xml:space="preserve">, selon l’OCDE — avant prise en compte de la</w:t>
      </w:r>
      <w:r>
        <w:t xml:space="preserve"> </w:t>
      </w:r>
      <w:r>
        <w:rPr>
          <w:i/>
          <w:iCs/>
        </w:rPr>
        <w:t xml:space="preserve">Pensión Garantizada Universal</w:t>
      </w:r>
      <w:r>
        <w:rPr>
          <w:rStyle w:val="FootnoteReference"/>
        </w:rPr>
        <w:footnoteReference w:id="66"/>
      </w:r>
      <w:r>
        <w:t xml:space="preserve">. La moitié de la promesse Piñera. En intégrant la PGU créée en février 2022 par le gouvernement sortant Sebastián Piñera, l’OCDE 2023 réévalue le taux à 45,7 % pour les hommes et 43 % pour les femmes</w:t>
      </w:r>
      <w:r>
        <w:rPr>
          <w:rStyle w:val="FootnoteReference"/>
        </w:rPr>
        <w:footnoteReference w:id="67"/>
      </w:r>
      <w:r>
        <w:t xml:space="preserve">. C’est mieux, mais ça reste très en dessous des comparables : France 71,9 %, Pays-Bas 96 %, Allemagne 53 %, moyenne OCDE 50,7 %. Le Chili est, avec quelques autres, en queue de classement parmi les pays développés.</w:t>
      </w:r>
    </w:p>
    <w:p>
      <w:pPr>
        <w:pStyle w:val="BodyText"/>
      </w:pPr>
      <w:r>
        <w:t xml:space="preserve">Pension contributive moyenne effectivement versée par les AFP en 2024 : entre</w:t>
      </w:r>
      <w:r>
        <w:t xml:space="preserve"> </w:t>
      </w:r>
      <w:r>
        <w:rPr>
          <w:b/>
          <w:bCs/>
        </w:rPr>
        <w:t xml:space="preserve">200 000 et 250 000 pesos chiliens par mois</w:t>
      </w:r>
      <w:r>
        <w:t xml:space="preserve">, soit</w:t>
      </w:r>
      <w:r>
        <w:t xml:space="preserve"> </w:t>
      </w:r>
      <w:r>
        <w:rPr>
          <w:b/>
          <w:bCs/>
        </w:rPr>
        <w:t xml:space="preserve">210 à 270 dollars américains</w:t>
      </w:r>
      <w:r>
        <w:rPr>
          <w:rStyle w:val="FootnoteReference"/>
        </w:rPr>
        <w:footnoteReference w:id="68"/>
      </w:r>
      <w:r>
        <w:t xml:space="preserve">. À mettre en regard du salaire minimum chilien, fixé à 500 000 pesos en septembre 2024 — la pension AFP moyenne n’atteint pas la moitié du salaire minimum.</w:t>
      </w:r>
    </w:p>
    <w:p>
      <w:pPr>
        <w:pStyle w:val="BodyText"/>
      </w:pPr>
      <w:r>
        <w:t xml:space="preserve">Rendement réel annualisé des fonds AFP entre 1981 et 2024,</w:t>
      </w:r>
      <w:r>
        <w:t xml:space="preserve"> </w:t>
      </w:r>
      <w:r>
        <w:rPr>
          <w:b/>
          <w:bCs/>
        </w:rPr>
        <w:t xml:space="preserve">net d’inflation, brut de frais</w:t>
      </w:r>
      <w:r>
        <w:t xml:space="preserve"> </w:t>
      </w:r>
      <w:r>
        <w:t xml:space="preserve">: entre</w:t>
      </w:r>
      <w:r>
        <w:t xml:space="preserve"> </w:t>
      </w:r>
      <w:r>
        <w:rPr>
          <w:b/>
          <w:bCs/>
        </w:rPr>
        <w:t xml:space="preserve">3 % et 4 %</w:t>
      </w:r>
      <w:r>
        <w:t xml:space="preserve"> </w:t>
      </w:r>
      <w:r>
        <w:t xml:space="preserve">par an selon les fonds et les périodes</w:t>
      </w:r>
      <w:r>
        <w:rPr>
          <w:rStyle w:val="FootnoteReference"/>
        </w:rPr>
        <w:footnoteReference w:id="69"/>
      </w:r>
      <w:r>
        <w:t xml:space="preserve">. C’est honorable, et c’est très inférieur à la promesse initiale de 5 à 7 %. La différence, sur quarante ans, est arithmétiquement décisive : à 6 % réel, 10 % d’un salaire moyen capitalisé pendant trente-cinq ans produit un capital permettant 70 % de remplacement ; à 3,5 % réel, ce même calcul tombe sous les 40 %. Les Chicago Boys avaient parié sur des rendements de boom permanent. Le boom est venu, mais moins fort que prévu, et il a été suivi de la décennie 2010 puis du choc COVID.</w:t>
      </w:r>
    </w:p>
    <w:p>
      <w:pPr>
        <w:pStyle w:val="BodyText"/>
      </w:pPr>
      <w:r>
        <w:t xml:space="preserve">Les</w:t>
      </w:r>
      <w:r>
        <w:t xml:space="preserve"> </w:t>
      </w:r>
      <w:r>
        <w:rPr>
          <w:b/>
          <w:bCs/>
        </w:rPr>
        <w:t xml:space="preserve">frais</w:t>
      </w:r>
      <w:r>
        <w:t xml:space="preserve"> </w:t>
      </w:r>
      <w:r>
        <w:t xml:space="preserve">sont l’autre dossier noir. Sept AFP se partagent le marché — Habitat, Cuprum, Capital, Provida, Modelo, Planvital, Uno. Selon la dernière licitation publique (SPP, 2023-2025), les commissions d’administration vont de</w:t>
      </w:r>
      <w:r>
        <w:t xml:space="preserve"> </w:t>
      </w:r>
      <w:r>
        <w:rPr>
          <w:b/>
          <w:bCs/>
        </w:rPr>
        <w:t xml:space="preserve">0,46 % à 1,45 % du salaire brut</w:t>
      </w:r>
      <w:r>
        <w:t xml:space="preserve"> </w:t>
      </w:r>
      <w:r>
        <w:t xml:space="preserve">; il faut y ajouter la prime SIS (</w:t>
      </w:r>
      <w:r>
        <w:rPr>
          <w:i/>
          <w:iCs/>
        </w:rPr>
        <w:t xml:space="preserve">Seguro de Invalidez y Sobrevivencia</w:t>
      </w:r>
      <w:r>
        <w:t xml:space="preserve">, assurance invalidité-décès) collectée par les AFP pour le compte d’un assureur tiers, à environ 1,5 %.</w:t>
      </w:r>
      <w:r>
        <w:t xml:space="preserve"> </w:t>
      </w:r>
      <w:r>
        <w:rPr>
          <w:b/>
          <w:bCs/>
        </w:rPr>
        <w:t xml:space="preserve">Le total brut payé par le cotisant chilien est donc de l’ordre de 2 à 3 % du salaire brut par an</w:t>
      </w:r>
      <w:r>
        <w:rPr>
          <w:rStyle w:val="FootnoteReference"/>
        </w:rPr>
        <w:footnoteReference w:id="70"/>
      </w:r>
      <w:r>
        <w:t xml:space="preserve">. Sur quarante ans, cela ronge entre 25 et 35 % du capital final. À titre de comparaison, MySuper en Australie facture en médiane 0,27 % du capital géré par an, AP7 en Suède 0,05 %. L’oligopole AFP est devenu une rente extractive sur l’épargne retraite des Chiliens.</w:t>
      </w:r>
    </w:p>
    <w:p>
      <w:pPr>
        <w:pStyle w:val="BodyText"/>
      </w:pPr>
      <w:r>
        <w:t xml:space="preserve">Dernier maillon, la</w:t>
      </w:r>
      <w:r>
        <w:t xml:space="preserve"> </w:t>
      </w:r>
      <w:r>
        <w:rPr>
          <w:b/>
          <w:bCs/>
        </w:rPr>
        <w:t xml:space="preserve">densité de cotisation</w:t>
      </w:r>
      <w:r>
        <w:t xml:space="preserve">. Le marché du travail chilien est informel à hauteur de 27 à 30 % selon les estimations INE, en réalité 37 à 40 % si l’on inclut les travailleurs des plateformes et les indépendants non déclarés</w:t>
      </w:r>
      <w:r>
        <w:rPr>
          <w:rStyle w:val="FootnoteReference"/>
        </w:rPr>
        <w:footnoteReference w:id="71"/>
      </w:r>
      <w:r>
        <w:t xml:space="preserve">. Les femmes, après leur premier enfant, sortent largement du salariat formel. Les jeunes alternent CDD et inactivité. Le Chilien moyen cotise effectivement 50 à 60 % du temps de sa carrière active, contre 80 à 90 % en Suède ou en France. Or un système strictement contributif, sans plancher universel solide et sans pilier paritaire compensateur, pénalise mécaniquement et lourdement les carrières interrompues.</w:t>
      </w:r>
    </w:p>
    <w:p>
      <w:pPr>
        <w:pStyle w:val="BodyText"/>
      </w:pPr>
      <w:r>
        <w:t xml:space="preserve">Cotisation salarié seule, densité faible, frais élevés. Ce sont les trois mécanismes qu’on cite habituellement pour expliquer l’échec chilien. Ils sont exacts. Mais ce sont</w:t>
      </w:r>
      <w:r>
        <w:t xml:space="preserve"> </w:t>
      </w:r>
      <w:r>
        <w:rPr>
          <w:b/>
          <w:bCs/>
        </w:rPr>
        <w:t xml:space="preserve">trois conséquences d’une seule cause</w:t>
      </w:r>
      <w:r>
        <w:t xml:space="preserve"> </w:t>
      </w:r>
      <w:r>
        <w:t xml:space="preserve">: l’architecture d’origine. Capitalisation pure, à 100 %, sans paritarisme, sans plancher, sans pilier répartition complémentaire. Les Chicago Boys ont fait sauter, en 1980, tous les amortisseurs qui dans les autres pays absorbent les défaillances des carrières individuelles. C’est cette absence d’amortisseurs qui a transformé un instrument financier honnête — un fonds capitalisé à 3-4 % réel n’est pas une mauvaise chose en soi — en machine à produire de la pauvreté chez les retraités.</w:t>
      </w:r>
    </w:p>
    <w:bookmarkEnd w:id="72"/>
    <w:bookmarkStart w:id="76" w:name="Xa72ec17400f15a4bf7a40b3f651b56fef63b8e4"/>
    <w:p>
      <w:pPr>
        <w:pStyle w:val="Heading3"/>
      </w:pPr>
      <w:r>
        <w:t xml:space="preserve">L’estallido, les retraits, et la perte de confiance</w:t>
      </w:r>
    </w:p>
    <w:p>
      <w:pPr>
        <w:pStyle w:val="FirstParagraph"/>
      </w:pPr>
      <w:r>
        <w:t xml:space="preserve">Le système AFP a fonctionné pendant trois décennies sans contestation majeure. Les premiers retraités servis à partir des années 2000-2010 sont des cohortes mixtes — qui ont cotisé partie en répartition, partie en AFP — et leurs pensions, même médiocres, restaient soutenables. À partir de 2010-2015, les cohortes qui n’ont connu que les AFP commencent à liquider leurs droits. La réalité éclate : la promesse de 70 % était fausse.</w:t>
      </w:r>
    </w:p>
    <w:p>
      <w:pPr>
        <w:pStyle w:val="BodyText"/>
      </w:pPr>
      <w:r>
        <w:t xml:space="preserve">Le mouvement social</w:t>
      </w:r>
      <w:r>
        <w:t xml:space="preserve"> </w:t>
      </w:r>
      <w:r>
        <w:rPr>
          <w:b/>
          <w:bCs/>
          <w:i/>
          <w:iCs/>
        </w:rPr>
        <w:t xml:space="preserve">No+AFP</w:t>
      </w:r>
      <w:r>
        <w:t xml:space="preserve"> </w:t>
      </w:r>
      <w:r>
        <w:t xml:space="preserve">naît en 2014, à l’initiative de Luis Mesina, un syndicaliste bancaire qui devient son visage. Sa première grande mobilisation a lieu le</w:t>
      </w:r>
      <w:r>
        <w:t xml:space="preserve"> </w:t>
      </w:r>
      <w:r>
        <w:rPr>
          <w:b/>
          <w:bCs/>
        </w:rPr>
        <w:t xml:space="preserve">24 juillet 2016</w:t>
      </w:r>
      <w:r>
        <w:t xml:space="preserve"> </w:t>
      </w:r>
      <w:r>
        <w:t xml:space="preserve">: entre 750 000 et 1,5 million de personnes défilent à Santiago, ce qui en fait l’une des plus grandes manifestations de l’histoire du Chili démocratique</w:t>
      </w:r>
      <w:r>
        <w:rPr>
          <w:rStyle w:val="FootnoteReference"/>
        </w:rPr>
        <w:footnoteReference w:id="73"/>
      </w:r>
      <w:r>
        <w:t xml:space="preserve">. Le slogan : «</w:t>
      </w:r>
      <w:r>
        <w:t xml:space="preserve"> </w:t>
      </w:r>
      <w:r>
        <w:rPr>
          <w:i/>
          <w:iCs/>
        </w:rPr>
        <w:t xml:space="preserve">No+AFP</w:t>
      </w:r>
      <w:r>
        <w:t xml:space="preserve"> </w:t>
      </w:r>
      <w:r>
        <w:t xml:space="preserve">», plus d’AFP. Sous-entendu : remettre la retraite dans le domaine public.</w:t>
      </w:r>
    </w:p>
    <w:p>
      <w:pPr>
        <w:pStyle w:val="BodyText"/>
      </w:pPr>
      <w:r>
        <w:t xml:space="preserve">Pendant trois ans, rien ne bouge. Le gouvernement Bachelet, revenu au pouvoir en 2014, mandate la</w:t>
      </w:r>
      <w:r>
        <w:t xml:space="preserve"> </w:t>
      </w:r>
      <w:r>
        <w:rPr>
          <w:b/>
          <w:bCs/>
        </w:rPr>
        <w:t xml:space="preserve">Comisión Bravo</w:t>
      </w:r>
      <w:r>
        <w:t xml:space="preserve"> </w:t>
      </w:r>
      <w:r>
        <w:t xml:space="preserve">— vingt-quatre experts nationaux et internationaux — qui rend en septembre 2015 un rapport sévère sur le système AFP. La droite, majoritaire au Sénat, bloque les recommandations. Le premier gouvernement Sebastián Piñera, élu en 2017, tente des ajustements paramétriques mineurs. Rien ne suffit.</w:t>
      </w:r>
    </w:p>
    <w:p>
      <w:pPr>
        <w:pStyle w:val="BodyText"/>
      </w:pPr>
      <w:r>
        <w:t xml:space="preserve">Le</w:t>
      </w:r>
      <w:r>
        <w:t xml:space="preserve"> </w:t>
      </w:r>
      <w:r>
        <w:rPr>
          <w:b/>
          <w:bCs/>
        </w:rPr>
        <w:t xml:space="preserve">18 octobre 2019</w:t>
      </w:r>
      <w:r>
        <w:t xml:space="preserve">, une hausse de 30 pesos sur le tarif du métro de Santiago déclenche l’</w:t>
      </w:r>
      <w:r>
        <w:rPr>
          <w:b/>
          <w:bCs/>
          <w:i/>
          <w:iCs/>
        </w:rPr>
        <w:t xml:space="preserve">estallido social</w:t>
      </w:r>
      <w:r>
        <w:t xml:space="preserve">. Aucun analyste n’avait prévu l’ampleur de la révolte. Un slogan s’impose en quarante-huit heures : «</w:t>
      </w:r>
      <w:r>
        <w:t xml:space="preserve"> </w:t>
      </w:r>
      <w:r>
        <w:rPr>
          <w:b/>
          <w:bCs/>
          <w:i/>
          <w:iCs/>
        </w:rPr>
        <w:t xml:space="preserve">No son 30 pesos, son 30 años</w:t>
      </w:r>
      <w:r>
        <w:t xml:space="preserve"> </w:t>
      </w:r>
      <w:r>
        <w:t xml:space="preserve">» —</w:t>
      </w:r>
      <w:r>
        <w:t xml:space="preserve"> </w:t>
      </w:r>
      <w:r>
        <w:rPr>
          <w:i/>
          <w:iCs/>
        </w:rPr>
        <w:t xml:space="preserve">ce ne sont pas 30 pesos, ce sont 30 ans</w:t>
      </w:r>
      <w:r>
        <w:t xml:space="preserve">. Trente ans de promesse non tenue, trente ans de privatisations héritées de Pinochet, trente ans de classes moyennes en train de découvrir qu’elles passeraient leur vieillesse dans la précarité. Le système AFP est l’un des trois sujets centraux de la révolte, avec l’éducation et la santé.</w:t>
      </w:r>
    </w:p>
    <w:p>
      <w:pPr>
        <w:pStyle w:val="BodyText"/>
      </w:pPr>
      <w:r>
        <w:t xml:space="preserve">Le</w:t>
      </w:r>
      <w:r>
        <w:t xml:space="preserve"> </w:t>
      </w:r>
      <w:r>
        <w:rPr>
          <w:b/>
          <w:bCs/>
        </w:rPr>
        <w:t xml:space="preserve">25 octobre 2020</w:t>
      </w:r>
      <w:r>
        <w:t xml:space="preserve">, le Chili organise un référendum constitutionnel sur la convocation d’une convention chargée d’écrire une nouvelle constitution. Résultat officiel SERVEL :</w:t>
      </w:r>
      <w:r>
        <w:t xml:space="preserve"> </w:t>
      </w:r>
      <w:r>
        <w:rPr>
          <w:b/>
          <w:bCs/>
        </w:rPr>
        <w:t xml:space="preserve">78,27 % de</w:t>
      </w:r>
      <w:r>
        <w:t xml:space="preserve"> </w:t>
      </w:r>
      <w:r>
        <w:rPr>
          <w:b/>
          <w:bCs/>
          <w:i/>
          <w:iCs/>
        </w:rPr>
        <w:t xml:space="preserve">Apruebo</w:t>
      </w:r>
      <w:r>
        <w:rPr>
          <w:rStyle w:val="FootnoteReference"/>
        </w:rPr>
        <w:footnoteReference w:id="74"/>
      </w:r>
      <w:r>
        <w:t xml:space="preserve">. La constitution Pinochet, qui avait tenu quarante ans, est désavouée. Le texte de remplacement, écrit en 2021-2022 par une convention élue à dominante très à gauche, sera lui-même rejeté à 62 % en septembre 2022 — un second texte plus modéré sera également rejeté fin 2023. Le Chili reste donc avec sa constitution de 1980. Mais entre-temps, le rapport de force politique a basculé.</w:t>
      </w:r>
    </w:p>
    <w:p>
      <w:pPr>
        <w:pStyle w:val="BodyText"/>
      </w:pPr>
      <w:r>
        <w:t xml:space="preserve">Et entre 2020 et 2022, le système AFP subit son coup le plus matériel. Sous la pression conjuguée de la pandémie et de l’opinion, le Congrès chilien vote</w:t>
      </w:r>
      <w:r>
        <w:t xml:space="preserve"> </w:t>
      </w:r>
      <w:r>
        <w:rPr>
          <w:b/>
          <w:bCs/>
        </w:rPr>
        <w:t xml:space="preserve">trois autorisations exceptionnelles de retrait des fonds individuels</w:t>
      </w:r>
      <w:r>
        <w:t xml:space="preserve"> </w:t>
      </w:r>
      <w:r>
        <w:t xml:space="preserve">— 10 % du solde par vague. Total ponctionné sur les comptes AFP, additionné par la Banque centrale du Chili dans son working paper 991 et confirmé par la BIS :</w:t>
      </w:r>
      <w:r>
        <w:t xml:space="preserve"> </w:t>
      </w:r>
      <w:r>
        <w:rPr>
          <w:b/>
          <w:bCs/>
        </w:rPr>
        <w:t xml:space="preserve">55,8 milliards de dollars américains</w:t>
      </w:r>
      <w:r>
        <w:t xml:space="preserve"> </w:t>
      </w:r>
      <w:r>
        <w:t xml:space="preserve">— soit 20,3 + 19,2 + 16,3 milliards sur les trois retraits successifs</w:t>
      </w:r>
      <w:r>
        <w:rPr>
          <w:rStyle w:val="FootnoteReference"/>
        </w:rPr>
        <w:footnoteReference w:id="75"/>
      </w:r>
      <w:r>
        <w:t xml:space="preserve">. C’est l’équivalent d’environ</w:t>
      </w:r>
      <w:r>
        <w:t xml:space="preserve"> </w:t>
      </w:r>
      <w:r>
        <w:rPr>
          <w:b/>
          <w:bCs/>
        </w:rPr>
        <w:t xml:space="preserve">20 % du PIB chilien</w:t>
      </w:r>
      <w:r>
        <w:t xml:space="preserve">. Pour près de 30 % des affiliés, le compte AFP est intégralement vidé. La capitalisation, dans la perception collective, est devenue caisse d’urgence — exactement le contraire de ce pour quoi elle avait été créée.</w:t>
      </w:r>
    </w:p>
    <w:p>
      <w:pPr>
        <w:pStyle w:val="BodyText"/>
      </w:pPr>
      <w:r>
        <w:t xml:space="preserve">Si vous voulez mesurer la perte de confiance d’un pays dans son propre système de retraite, regardez les retraits. Les Chiliens, à qui on avait imposé d’épargner, ont saisi la première occasion légale pour récupérer leur argent. Cela ne dit pas qu’ils sont court-termistes. Cela dit qu’ils ne croyaient plus à ce qu’on leur avait promis.</w:t>
      </w:r>
    </w:p>
    <w:bookmarkEnd w:id="76"/>
    <w:bookmarkStart w:id="81" w:name="Xd26e60f1bed2627b7220aad68d10769e61e2166"/>
    <w:p>
      <w:pPr>
        <w:pStyle w:val="Heading3"/>
      </w:pPr>
      <w:r>
        <w:t xml:space="preserve">Boric et la loi 21735 : le demi-tour officiel</w:t>
      </w:r>
    </w:p>
    <w:p>
      <w:pPr>
        <w:pStyle w:val="FirstParagraph"/>
      </w:pPr>
      <w:r>
        <w:t xml:space="preserve">La présidentielle de 2021 se joue dans ce climat. Premier tour,</w:t>
      </w:r>
      <w:r>
        <w:t xml:space="preserve"> </w:t>
      </w:r>
      <w:r>
        <w:rPr>
          <w:b/>
          <w:bCs/>
        </w:rPr>
        <w:t xml:space="preserve">21 novembre 2021</w:t>
      </w:r>
      <w:r>
        <w:t xml:space="preserve"> </w:t>
      </w:r>
      <w:r>
        <w:t xml:space="preserve">: José Antonio Kast, candidat de la droite radicale, arrive en tête avec 27,9 % des voix ; Gabriel Boric, ancien leader étudiant devenu député, ancien visage du</w:t>
      </w:r>
      <w:r>
        <w:t xml:space="preserve"> </w:t>
      </w:r>
      <w:r>
        <w:rPr>
          <w:i/>
          <w:iCs/>
        </w:rPr>
        <w:t xml:space="preserve">Frente Amplio</w:t>
      </w:r>
      <w:r>
        <w:t xml:space="preserve">, arrive deuxième avec 25,8 %</w:t>
      </w:r>
      <w:r>
        <w:rPr>
          <w:rStyle w:val="FootnoteReference"/>
        </w:rPr>
        <w:footnoteReference w:id="77"/>
      </w:r>
      <w:r>
        <w:t xml:space="preserve">. Second tour,</w:t>
      </w:r>
      <w:r>
        <w:t xml:space="preserve"> </w:t>
      </w:r>
      <w:r>
        <w:rPr>
          <w:b/>
          <w:bCs/>
        </w:rPr>
        <w:t xml:space="preserve">19 décembre 2021</w:t>
      </w:r>
      <w:r>
        <w:t xml:space="preserve"> </w:t>
      </w:r>
      <w:r>
        <w:t xml:space="preserve">: Boric l’emporte avec</w:t>
      </w:r>
      <w:r>
        <w:t xml:space="preserve"> </w:t>
      </w:r>
      <w:r>
        <w:rPr>
          <w:b/>
          <w:bCs/>
        </w:rPr>
        <w:t xml:space="preserve">55,87 % contre 44,13 %</w:t>
      </w:r>
      <w:r>
        <w:t xml:space="preserve"> </w:t>
      </w:r>
      <w:r>
        <w:t xml:space="preserve">à Kast. Trente-cinq ans, plus jeune président de l’histoire chilienne. Investiture le 11 mars 2022. Programme : refonte du système de retraite.</w:t>
      </w:r>
    </w:p>
    <w:p>
      <w:pPr>
        <w:pStyle w:val="BodyText"/>
      </w:pPr>
      <w:r>
        <w:t xml:space="preserve">Trois ans de négociation. Boric arrive avec un Congrès fragmenté où aucune majorité n’est acquise. Sa première version du projet, présentée en 2022, est jugée trop radicale et bloquée. Il revient en 2023 avec une mouture plus consensuelle, retravaillée article par article avec la droite et les centristes. Plusieurs allers-retours entre la Chambre et le Sénat. Finalement, le</w:t>
      </w:r>
      <w:r>
        <w:t xml:space="preserve"> </w:t>
      </w:r>
      <w:r>
        <w:rPr>
          <w:b/>
          <w:bCs/>
        </w:rPr>
        <w:t xml:space="preserve">29 janvier 2025</w:t>
      </w:r>
      <w:r>
        <w:t xml:space="preserve">, le projet est adopté en lecture finale par</w:t>
      </w:r>
      <w:r>
        <w:t xml:space="preserve"> </w:t>
      </w:r>
      <w:r>
        <w:rPr>
          <w:b/>
          <w:bCs/>
        </w:rPr>
        <w:t xml:space="preserve">110 voix pour, 38 contre</w:t>
      </w:r>
      <w:r>
        <w:t xml:space="preserve"> </w:t>
      </w:r>
      <w:r>
        <w:t xml:space="preserve">— un score qui surprend tout le monde, y compris au sein du gouvernement</w:t>
      </w:r>
      <w:r>
        <w:rPr>
          <w:rStyle w:val="FootnoteReference"/>
        </w:rPr>
        <w:footnoteReference w:id="78"/>
      </w:r>
      <w:r>
        <w:t xml:space="preserve">. La</w:t>
      </w:r>
      <w:r>
        <w:t xml:space="preserve"> </w:t>
      </w:r>
      <w:r>
        <w:rPr>
          <w:b/>
          <w:bCs/>
        </w:rPr>
        <w:t xml:space="preserve">Loi n° 21735</w:t>
      </w:r>
      <w:r>
        <w:t xml:space="preserve"> </w:t>
      </w:r>
      <w:r>
        <w:t xml:space="preserve">est promulguée et publiée au</w:t>
      </w:r>
      <w:r>
        <w:t xml:space="preserve"> </w:t>
      </w:r>
      <w:r>
        <w:rPr>
          <w:i/>
          <w:iCs/>
        </w:rPr>
        <w:t xml:space="preserve">Diario Oficial</w:t>
      </w:r>
      <w:r>
        <w:t xml:space="preserve"> </w:t>
      </w:r>
      <w:r>
        <w:t xml:space="preserve">en mars 2025.</w:t>
      </w:r>
    </w:p>
    <w:p>
      <w:pPr>
        <w:pStyle w:val="BodyText"/>
      </w:pPr>
      <w:r>
        <w:t xml:space="preserve">Ce que change la loi 21735 mérite d’être lu lentement, parce que c’est l’aveu, par le législateur chilien lui-même, des limites de la capitalisation pure.</w:t>
      </w:r>
    </w:p>
    <w:p>
      <w:pPr>
        <w:pStyle w:val="BodyText"/>
      </w:pPr>
      <w:r>
        <w:t xml:space="preserve">Premier changement :</w:t>
      </w:r>
      <w:r>
        <w:t xml:space="preserve"> </w:t>
      </w:r>
      <w:r>
        <w:rPr>
          <w:b/>
          <w:bCs/>
        </w:rPr>
        <w:t xml:space="preserve">introduction d’une cotisation patronale, montant progressivement à 8,5 % à l’horizon 2035</w:t>
      </w:r>
      <w:r>
        <w:t xml:space="preserve">, contre</w:t>
      </w:r>
      <w:r>
        <w:t xml:space="preserve"> </w:t>
      </w:r>
      <w:r>
        <w:rPr>
          <w:b/>
          <w:bCs/>
        </w:rPr>
        <w:t xml:space="preserve">zéro depuis 1981</w:t>
      </w:r>
      <w:r>
        <w:rPr>
          <w:rStyle w:val="FootnoteReference"/>
        </w:rPr>
        <w:footnoteReference w:id="79"/>
      </w:r>
      <w:r>
        <w:t xml:space="preserve">. La décomposition de ces 8,5 % est instructive : 4,5 points vont alimenter le compte AFP individuel du salarié ; 1,5 point alimente un mécanisme de prêt remboursable individuel via un nouveau fonds public, le</w:t>
      </w:r>
      <w:r>
        <w:t xml:space="preserve"> </w:t>
      </w:r>
      <w:r>
        <w:rPr>
          <w:b/>
          <w:bCs/>
        </w:rPr>
        <w:t xml:space="preserve">FAPP</w:t>
      </w:r>
      <w:r>
        <w:t xml:space="preserve"> </w:t>
      </w:r>
      <w:r>
        <w:t xml:space="preserve">(</w:t>
      </w:r>
      <w:r>
        <w:rPr>
          <w:i/>
          <w:iCs/>
        </w:rPr>
        <w:t xml:space="preserve">Fondo Autónomo de Protección Previsional</w:t>
      </w:r>
      <w:r>
        <w:t xml:space="preserve">) ; 2,5 points alimentent une composante intergénérationnelle et de genre du même FAPP, qui n’est pas remboursée et qui sert à compenser les écarts entre cohortes et entre hommes et femmes.</w:t>
      </w:r>
    </w:p>
    <w:p>
      <w:pPr>
        <w:pStyle w:val="BodyText"/>
      </w:pPr>
      <w:r>
        <w:t xml:space="preserve">C’est ce</w:t>
      </w:r>
      <w:r>
        <w:t xml:space="preserve"> </w:t>
      </w:r>
      <w:r>
        <w:rPr>
          <w:b/>
          <w:bCs/>
        </w:rPr>
        <w:t xml:space="preserve">FAPP</w:t>
      </w:r>
      <w:r>
        <w:t xml:space="preserve"> </w:t>
      </w:r>
      <w:r>
        <w:t xml:space="preserve">qui constitue la rupture structurelle. Pour la première fois depuis 1981, le système chilien réintroduit un</w:t>
      </w:r>
      <w:r>
        <w:t xml:space="preserve"> </w:t>
      </w:r>
      <w:r>
        <w:rPr>
          <w:b/>
          <w:bCs/>
        </w:rPr>
        <w:t xml:space="preserve">pilier solidaire géré publiquement</w:t>
      </w:r>
      <w:r>
        <w:t xml:space="preserve">, financé en partie par une cotisation patronale obligatoire — c’est-à-dire, fonctionnellement, un pilier de répartition. Le FAPP n’est pas un fonds AFP. Il n’est pas en concurrence. Il est public, mutualisé, à logique solidaire. Exactement ce que José Piñera avait passé sa vie à refuser.</w:t>
      </w:r>
    </w:p>
    <w:p>
      <w:pPr>
        <w:pStyle w:val="BodyText"/>
      </w:pPr>
      <w:r>
        <w:t xml:space="preserve">Deuxième changement :</w:t>
      </w:r>
      <w:r>
        <w:t xml:space="preserve"> </w:t>
      </w:r>
      <w:r>
        <w:rPr>
          <w:b/>
          <w:bCs/>
        </w:rPr>
        <w:t xml:space="preserve">renforcement de la PGU</w:t>
      </w:r>
      <w:r>
        <w:t xml:space="preserve">,</w:t>
      </w:r>
      <w:r>
        <w:t xml:space="preserve"> </w:t>
      </w:r>
      <w:r>
        <w:rPr>
          <w:i/>
          <w:iCs/>
        </w:rPr>
        <w:t xml:space="preserve">Pensión Garantizada Universal</w:t>
      </w:r>
      <w:r>
        <w:t xml:space="preserve">. Créée par Sebastián Piñera en février 2022, la PGU verse une pension d’État financée par l’impôt à tous les retraités de plus de 65 ans, à l’exclusion du décile le plus riche. La loi 21735 en élève le montant et en élargit l’éligibilité. La PGU est, désormais, le plancher universel que le système Piñera-Chicago Boys avait refusé pendant quarante ans.</w:t>
      </w:r>
    </w:p>
    <w:p>
      <w:pPr>
        <w:pStyle w:val="BodyText"/>
      </w:pPr>
      <w:r>
        <w:t xml:space="preserve">Troisième changement :</w:t>
      </w:r>
      <w:r>
        <w:t xml:space="preserve"> </w:t>
      </w:r>
      <w:r>
        <w:rPr>
          <w:b/>
          <w:bCs/>
        </w:rPr>
        <w:t xml:space="preserve">encadrement renforcé des frais AFP</w:t>
      </w:r>
      <w:r>
        <w:t xml:space="preserve">, avec mécanisme de licitation publique compétitive, et</w:t>
      </w:r>
      <w:r>
        <w:t xml:space="preserve"> </w:t>
      </w:r>
      <w:r>
        <w:rPr>
          <w:b/>
          <w:bCs/>
        </w:rPr>
        <w:t xml:space="preserve">séparation effective de la collecte du SIS</w:t>
      </w:r>
      <w:r>
        <w:t xml:space="preserve"> </w:t>
      </w:r>
      <w:r>
        <w:t xml:space="preserve">des comptes administratifs des AFP, pour casser les marges d’oligopole.</w:t>
      </w:r>
    </w:p>
    <w:p>
      <w:pPr>
        <w:pStyle w:val="BodyText"/>
      </w:pPr>
      <w:r>
        <w:t xml:space="preserve">Projection OCDE de novembre 2025 : à terme, une fois la réforme pleinement déployée, le taux de remplacement net médian devrait passer de</w:t>
      </w:r>
      <w:r>
        <w:t xml:space="preserve"> </w:t>
      </w:r>
      <w:r>
        <w:rPr>
          <w:b/>
          <w:bCs/>
        </w:rPr>
        <w:t xml:space="preserve">38,5 % / 35,4 % (cohorte historique sans PGU)</w:t>
      </w:r>
      <w:r>
        <w:t xml:space="preserve"> </w:t>
      </w:r>
      <w:r>
        <w:t xml:space="preserve">à environ</w:t>
      </w:r>
      <w:r>
        <w:t xml:space="preserve"> </w:t>
      </w:r>
      <w:r>
        <w:rPr>
          <w:b/>
          <w:bCs/>
        </w:rPr>
        <w:t xml:space="preserve">61,3 % pour les hommes et 61,1 % pour les femmes</w:t>
      </w:r>
      <w:r>
        <w:rPr>
          <w:rStyle w:val="FootnoteReference"/>
        </w:rPr>
        <w:footnoteReference w:id="80"/>
      </w:r>
      <w:r>
        <w:t xml:space="preserve">. Premier pas vers la moyenne OCDE. Pas encore le standard suédois ou hollandais, mais une convergence.</w:t>
      </w:r>
    </w:p>
    <w:p>
      <w:pPr>
        <w:pStyle w:val="BodyText"/>
      </w:pPr>
      <w:r>
        <w:t xml:space="preserve">Le Chili</w:t>
      </w:r>
      <w:r>
        <w:t xml:space="preserve"> </w:t>
      </w:r>
      <w:r>
        <w:rPr>
          <w:b/>
          <w:bCs/>
        </w:rPr>
        <w:t xml:space="preserve">n’abolit pas les AFP</w:t>
      </w:r>
      <w:r>
        <w:t xml:space="preserve">. Elles continuent d’exister, elles continuent de gérer la part individuelle de l’épargne retraite. Mais le pays vient officiellement, à 110 voix contre 38,</w:t>
      </w:r>
      <w:r>
        <w:t xml:space="preserve"> </w:t>
      </w:r>
      <w:r>
        <w:rPr>
          <w:b/>
          <w:bCs/>
        </w:rPr>
        <w:t xml:space="preserve">de réintégrer dans son système une cotisation patronale, un pilier solidaire public, et un plancher universel</w:t>
      </w:r>
      <w:r>
        <w:t xml:space="preserve">. Trois des quatre invariants identifiés dans les trois sections précédentes du chapitre. C’est, au fond, l’aveu législatif d’un pays entier : la capitalisation pure ne tient pas socialement.</w:t>
      </w:r>
    </w:p>
    <w:bookmarkEnd w:id="81"/>
    <w:bookmarkStart w:id="82" w:name="leçon-française"/>
    <w:p>
      <w:pPr>
        <w:pStyle w:val="Heading3"/>
      </w:pPr>
      <w:r>
        <w:t xml:space="preserve">Leçon française</w:t>
      </w:r>
    </w:p>
    <w:p>
      <w:pPr>
        <w:pStyle w:val="FirstParagraph"/>
      </w:pPr>
      <w:r>
        <w:t xml:space="preserve">Il faut dire ce que le cas chilien prouve, et aussi ce qu’il ne prouve pas.</w:t>
      </w:r>
    </w:p>
    <w:p>
      <w:pPr>
        <w:pStyle w:val="BodyText"/>
      </w:pPr>
      <w:r>
        <w:t xml:space="preserve">Il ne prouve pas que la capitalisation soit en elle-même un échec. Le rendement réel net des fonds AFP entre 1981 et 2024, autour de 3-4 % par an, est honorable. Sur la durée, la mécanique d’accumulation a fonctionné. Le problème n’est pas la capitalisation. Le problème est</w:t>
      </w:r>
      <w:r>
        <w:t xml:space="preserve"> </w:t>
      </w:r>
      <w:r>
        <w:rPr>
          <w:b/>
          <w:bCs/>
        </w:rPr>
        <w:t xml:space="preserve">la capitalisation seule, sans paritarisme, sans cotisation employeur, sans plancher universel, sans pilier répartition complémentaire</w:t>
      </w:r>
      <w:r>
        <w:t xml:space="preserve">.</w:t>
      </w:r>
    </w:p>
    <w:p>
      <w:pPr>
        <w:pStyle w:val="BodyText"/>
      </w:pPr>
      <w:r>
        <w:t xml:space="preserve">Il prouve, en revanche, qu’un système de retraite construit sur un seul pilier — quel qu’il soit — finit par échouer. La France, depuis 1945, parie sur un seul pilier en répartition ; le Chili, depuis 1981, a parié sur un seul pilier en capitalisation. Les deux extrêmes échouent à leur manière. La France échoue par insoutenabilité budgétaire — le chapitre 1 l’a documenté. Le Chili a échoué par insuffisance des prestations et par perte de confiance — la révolte d’octobre 2019 et les retraits COVID le matérialisent. Aucun système monolithique ne tient quarante ans.</w:t>
      </w:r>
    </w:p>
    <w:p>
      <w:pPr>
        <w:pStyle w:val="BodyText"/>
      </w:pPr>
      <w:r>
        <w:t xml:space="preserve">Les pays qui tiennent sont multipiliers. Suède, Australie, Pays-Bas, Singapour, Danemark, Suisse : tous combinent un socle public obligatoire et un étage capitalisé, paritaire ou patronal, encadré par un défaut public à frais bas et complété par un plancher solidaire. Le Chili rejoint, en 2025, ce club. La France, en 2026, hésite encore à le faire.</w:t>
      </w:r>
    </w:p>
    <w:p>
      <w:pPr>
        <w:pStyle w:val="BodyText"/>
      </w:pPr>
      <w:r>
        <w:t xml:space="preserve">C’est précisément la position défendue depuis l’avant-propos de ce livre :</w:t>
      </w:r>
      <w:r>
        <w:t xml:space="preserve"> </w:t>
      </w:r>
      <w:r>
        <w:rPr>
          <w:i/>
          <w:iCs/>
        </w:rPr>
        <w:t xml:space="preserve">la capitalisation française doit être un complément à la répartition, pas un substitut</w:t>
      </w:r>
      <w:r>
        <w:t xml:space="preserve">. Le contre-exemple chilien la confirme par l’absurde. Quarante-cinq ans d’expérience scientifique unique au monde, trois millions de retraités à pensions insuffisantes, une révolte sociale d’ampleur historique, et finalement un demi-tour législatif voté à 110 contre 38. C’est cher payé pour démontrer une évidence. Mais c’est démontré.</w:t>
      </w:r>
    </w:p>
    <w:p>
      <w:pPr>
        <w:pStyle w:val="BodyText"/>
      </w:pPr>
      <w:r>
        <w:t xml:space="preserve">Reste à en tirer les conséquences. C’est précisément l’objet de la section qui suit.</w:t>
      </w:r>
    </w:p>
    <w:bookmarkEnd w:id="82"/>
    <w:bookmarkEnd w:id="83"/>
    <w:bookmarkStart w:id="84" w:name="quatre-leçons-pour-la-france"/>
    <w:p>
      <w:pPr>
        <w:pStyle w:val="Heading2"/>
      </w:pPr>
      <w:r>
        <w:t xml:space="preserve">4.5 Quatre leçons pour la France</w:t>
      </w:r>
    </w:p>
    <w:p>
      <w:pPr>
        <w:pStyle w:val="FirstParagraph"/>
      </w:pPr>
      <w:r>
        <w:t xml:space="preserve">Quatre pays, quatre histoires, et finalement une boussole assez nette. Si l’on cherche, par-delà les modulations nationales, ce que ces quatre cas ont en commun — y compris le Chili, par défaut —, on tombe sur quatre invariants. Ils ne se discutent pas ; ce sont les conditions sans lesquelles une réforme de capitalisation ne tient pas dans la durée.</w:t>
      </w:r>
    </w:p>
    <w:p>
      <w:pPr>
        <w:pStyle w:val="BodyText"/>
      </w:pPr>
      <w:r>
        <w:rPr>
          <w:b/>
          <w:bCs/>
        </w:rPr>
        <w:t xml:space="preserve">Premier invariant : la cotisation patronale obligatoire.</w:t>
      </w:r>
      <w:r>
        <w:t xml:space="preserve"> </w:t>
      </w:r>
      <w:r>
        <w:t xml:space="preserve">L’Australie l’a au cœur — 12 % de cotisation versée par l’employeur. La Suède l’a sous une forme légèrement différente — les régimes professionnels paritaires ITP et SAF-LO, à 4-5 % du salaire, négociés par convention collective et obligatoires</w:t>
      </w:r>
      <w:r>
        <w:t xml:space="preserve"> </w:t>
      </w:r>
      <w:r>
        <w:rPr>
          <w:i/>
          <w:iCs/>
        </w:rPr>
        <w:t xml:space="preserve">de facto</w:t>
      </w:r>
      <w:r>
        <w:t xml:space="preserve">. Singapour l’a aussi — 17 % patronal, 20 % salarié sous les 55 ans. Et le Chili, qui ne l’avait pas, vient de se résoudre à l’introduire à 7 % en dix ans, après quarante-cinq ans de blocage. Quatre pays sur quatre,</w:t>
      </w:r>
      <w:r>
        <w:t xml:space="preserve"> </w:t>
      </w:r>
      <w:r>
        <w:rPr>
          <w:i/>
          <w:iCs/>
        </w:rPr>
        <w:t xml:space="preserve">au final</w:t>
      </w:r>
      <w:r>
        <w:t xml:space="preserve">, posent que le pilier capitalisé doit reposer sur l’employeur autant que sur le salarié. C’est l’invariant le plus dur, parce que c’est celui qui se heurte de plein fouet à l’objection française du « double paiement ». Mais c’est aussi celui qui rend la capitalisation politiquement supportable : sans contribution patronale, l’épargne forcée est perçue comme une amputation de salaire, et le système se brise socialement avant d’avoir financièrement mûri.</w:t>
      </w:r>
    </w:p>
    <w:p>
      <w:pPr>
        <w:pStyle w:val="BodyText"/>
      </w:pPr>
      <w:r>
        <w:rPr>
          <w:b/>
          <w:bCs/>
        </w:rPr>
        <w:t xml:space="preserve">Deuxième invariant : le plancher universel.</w:t>
      </w:r>
      <w:r>
        <w:t xml:space="preserve"> </w:t>
      </w:r>
      <w:r>
        <w:t xml:space="preserve">Suède :</w:t>
      </w:r>
      <w:r>
        <w:t xml:space="preserve"> </w:t>
      </w:r>
      <w:r>
        <w:rPr>
          <w:i/>
          <w:iCs/>
        </w:rPr>
        <w:t xml:space="preserve">garantipension</w:t>
      </w:r>
      <w:r>
        <w:t xml:space="preserve">, 1,2 million de bénéficiaires. Australie :</w:t>
      </w:r>
      <w:r>
        <w:t xml:space="preserve"> </w:t>
      </w:r>
      <w:r>
        <w:rPr>
          <w:i/>
          <w:iCs/>
        </w:rPr>
        <w:t xml:space="preserve">Age Pension</w:t>
      </w:r>
      <w:r>
        <w:t xml:space="preserve">, qui couvre encore une majorité de retraités au-dessus d’un seuil de moyens. Singapour :</w:t>
      </w:r>
      <w:r>
        <w:t xml:space="preserve"> </w:t>
      </w:r>
      <w:r>
        <w:rPr>
          <w:i/>
          <w:iCs/>
        </w:rPr>
        <w:t xml:space="preserve">Silver Support Scheme</w:t>
      </w:r>
      <w:r>
        <w:t xml:space="preserve">, qui assure un revenu minimum aux 20-30 % les plus modestes. Chili :</w:t>
      </w:r>
      <w:r>
        <w:t xml:space="preserve"> </w:t>
      </w:r>
      <w:r>
        <w:rPr>
          <w:i/>
          <w:iCs/>
        </w:rPr>
        <w:t xml:space="preserve">Pensión Garantizada Universal</w:t>
      </w:r>
      <w:r>
        <w:t xml:space="preserve">, créée tardivement après l’échec du système AFP pur. Aucun pays développé n’a fait fonctionner durablement un pilier capitalisé sans filet en bas. La capitalisation peut être généreuse pour la classe moyenne ; elle est mortifère pour les carrières fragmentées, pour les femmes interrompues, pour les indépendants intermittents, pour les chômeurs récurrents. Le plancher universel, financé par l’impôt et non par les cotisations, est la condition non négociable.</w:t>
      </w:r>
    </w:p>
    <w:p>
      <w:pPr>
        <w:pStyle w:val="BodyText"/>
      </w:pPr>
      <w:r>
        <w:rPr>
          <w:b/>
          <w:bCs/>
        </w:rPr>
        <w:t xml:space="preserve">Troisième invariant : le fonds par défaut bien conçu.</w:t>
      </w:r>
      <w:r>
        <w:t xml:space="preserve"> </w:t>
      </w:r>
      <w:r>
        <w:t xml:space="preserve">AP7 Såfa en Suède, MySuper en Australie, le CPF lui-même à Singapour fonctionnent tous selon le même principe.</w:t>
      </w:r>
      <w:r>
        <w:t xml:space="preserve"> </w:t>
      </w:r>
      <w:r>
        <w:rPr>
          <w:i/>
          <w:iCs/>
        </w:rPr>
        <w:t xml:space="preserve">Le cotisant qui ne choisit rien doit se retrouver automatiquement dans un produit honnête, peu coûteux, géré par un acteur public ou para-public, avec une gestion en cycle de vie pour amortir le risque à l’approche de la retraite.</w:t>
      </w:r>
      <w:r>
        <w:t xml:space="preserve"> </w:t>
      </w:r>
      <w:r>
        <w:t xml:space="preserve">C’est ce qui désarme l’argument culturel français :</w:t>
      </w:r>
      <w:r>
        <w:t xml:space="preserve"> </w:t>
      </w:r>
      <w:r>
        <w:rPr>
          <w:i/>
          <w:iCs/>
        </w:rPr>
        <w:t xml:space="preserve">« les Français ne savent pas investir »</w:t>
      </w:r>
      <w:r>
        <w:t xml:space="preserve">. Personne, dans un système bien conçu, ne</w:t>
      </w:r>
      <w:r>
        <w:t xml:space="preserve"> </w:t>
      </w:r>
      <w:r>
        <w:rPr>
          <w:i/>
          <w:iCs/>
        </w:rPr>
        <w:t xml:space="preserve">doit</w:t>
      </w:r>
      <w:r>
        <w:t xml:space="preserve"> </w:t>
      </w:r>
      <w:r>
        <w:t xml:space="preserve">savoir investir. C’est le défaut qui fait le travail. AP7 a 40 % des cotisants suédois, MySuper plus de 80 % des Australiens. L’inverse du PER français, ses centaines de supports, ses frais opaques, ses contrats commerciaux distribués comme des Tupperware.</w:t>
      </w:r>
    </w:p>
    <w:p>
      <w:pPr>
        <w:pStyle w:val="BodyText"/>
      </w:pPr>
      <w:r>
        <w:rPr>
          <w:b/>
          <w:bCs/>
        </w:rPr>
        <w:t xml:space="preserve">Quatrième invariant : le pacte politique transpartisan.</w:t>
      </w:r>
      <w:r>
        <w:t xml:space="preserve"> </w:t>
      </w:r>
      <w:r>
        <w:t xml:space="preserve">Suède 1994 — 85 % du Parlement. Australie 1985 — accord Hawke-Keating-ACTU, ratifié par tous les gouvernements suivants y compris ceux de la Coalition. Singapour — soixante-dix ans de continuité institutionnelle, le PAP au pouvoir sans discontinuer mais avec une opposition modérée qui n’a jamais remis en cause le CPF. Et</w:t>
      </w:r>
      <w:r>
        <w:t xml:space="preserve"> </w:t>
      </w:r>
      <w:r>
        <w:rPr>
          <w:i/>
          <w:iCs/>
        </w:rPr>
        <w:t xml:space="preserve">a contrario</w:t>
      </w:r>
      <w:r>
        <w:t xml:space="preserve">, le Chili : DL 3500 imposé sans débat parlementaire, sans pacte social, sans légitimité démocratique, fragilisé pendant quarante-cinq ans, finalement réformé après une explosion sociale. La capitalisation tient quand elle est négociée. Elle casse quand elle est imposée. Le pacte préalable n’est pas un luxe institutionnel ; c’est la condition de durée.</w:t>
      </w:r>
    </w:p>
    <w:p>
      <w:pPr>
        <w:pStyle w:val="BodyText"/>
      </w:pPr>
      <w:r>
        <w:t xml:space="preserve">Quatre invariants, donc, et pas un de plus. La France peut imaginer toutes les configurations qu’elle voudra autour de ces quatre repères — copier la Suède, hybrider l’Australie, s’inspirer de Singapour, fuir le Chili. Ce sont des modulations. Mais les quatre invariants sont incompressibles : enlevez la cotisation patronale, vous fabriquez un Chili ; enlevez le plancher universel, vous fabriquez un Chili ; enlevez le default fund, vous fabriquez un système PER élargi qui n’accueillera que les CSP+ ; enlevez le pacte transpartisan, vous fabriquez une réforme qui sera défaite à la prochaine alternance.</w:t>
      </w:r>
    </w:p>
    <w:p>
      <w:pPr>
        <w:pStyle w:val="BodyText"/>
      </w:pPr>
      <w:r>
        <w:t xml:space="preserve">La question qui reste, après ces quatre histoires, est</w:t>
      </w:r>
      <w:r>
        <w:t xml:space="preserve"> </w:t>
      </w:r>
      <w:r>
        <w:rPr>
          <w:i/>
          <w:iCs/>
        </w:rPr>
        <w:t xml:space="preserve">qui</w:t>
      </w:r>
      <w:r>
        <w:t xml:space="preserve">. Qui en France peut tenir le rôle d’Ingvar Carlsson et de Carl Bildt — un Premier ministre social-démocrate et un chef de l’opposition conservatrice acceptant de négocier ensemble une réforme générationnelle ? Qui peut tenir le rôle de Bill Kelty — un dirigeant syndical national assez puissant et assez visionnaire pour échanger de la modération salariale contre du capital différé ? Qui peut tenir le rôle de Lee Kuan Yew et Goh Keng Swee — un binôme politico-technique avec assez de durée pour faire mûrir l’instrument sur trente ans ?</w:t>
      </w:r>
    </w:p>
    <w:p>
      <w:pPr>
        <w:pStyle w:val="BodyText"/>
      </w:pPr>
      <w:r>
        <w:t xml:space="preserve">Ces noms, en France, ne sont pas évidents. Ils ne sont pas évidents, et c’est précisément pour cela qu’il faut les chercher. La fenêtre qui s’ouvre, en 2027, n’autorise pas l’attente. Cinq des sept partis suédois ont signé en 1994 parce qu’ils ont collectivement compris que le pays n’avait pas le luxe de cinq ans de plus de paramétrique. La France, en 2027, n’aura pas non plus ce luxe. Le chapitre suivant va le montrer en démontant, une à une, les cinq objections que nos quarante dernières années ont accumulées contre la capitalisation. Quatre des cinq sont déjà fragilisées par les quatre cas que nous venons de visiter. La cinquième —</w:t>
      </w:r>
      <w:r>
        <w:t xml:space="preserve"> </w:t>
      </w:r>
      <w:r>
        <w:rPr>
          <w:i/>
          <w:iCs/>
        </w:rPr>
        <w:t xml:space="preserve">« le double paiement est insurmontable »</w:t>
      </w:r>
      <w:r>
        <w:t xml:space="preserve"> </w:t>
      </w:r>
      <w:r>
        <w:t xml:space="preserve">— exige un développement particulier. C’est elle qui empêche, en France, le pacte qui ailleurs a tenu. C’est par elle qu’il faudra commencer.</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Banque de Suède (Riksbanken),</w:t>
      </w:r>
      <w:r>
        <w:t xml:space="preserve"> </w:t>
      </w:r>
      <w:r>
        <w:rPr>
          <w:i/>
          <w:iCs/>
        </w:rPr>
        <w:t xml:space="preserve">Historical Monetary Policy Statistics</w:t>
      </w:r>
      <w:r>
        <w:t xml:space="preserve">, 2024. Le taux marginal d’emprunt a été porté à 500 % le 16 septembre 1992 pour défendre la couronne contre les attaques spéculatives, avant que la Suède n’abandonne le rattachement à l’ECU le 19 novembre 1992. Sur la crise budgétaire suédoise 1990-1994 : Lars Jonung, « The Swedish model for resolving the banking crisis of 1991-93 », Riksbank Research Paper, 2009.</w:t>
      </w:r>
    </w:p>
  </w:footnote>
  <w:footnote w:id="10">
    <w:p>
      <w:pPr>
        <w:pStyle w:val="FootnoteText"/>
      </w:pPr>
      <w:r>
        <w:rPr>
          <w:rStyle w:val="FootnoteReference"/>
        </w:rPr>
        <w:footnoteRef/>
      </w:r>
      <w:r>
        <w:t xml:space="preserve"> </w:t>
      </w:r>
      <w:r>
        <w:t xml:space="preserve">Bo Könberg, Edward Palmer, Annika Sundén, « The 1994 Swedish Pension Reform — An Overview »,</w:t>
      </w:r>
      <w:r>
        <w:t xml:space="preserve"> </w:t>
      </w:r>
      <w:r>
        <w:rPr>
          <w:i/>
          <w:iCs/>
        </w:rPr>
        <w:t xml:space="preserve">International Social Security Review</w:t>
      </w:r>
      <w:r>
        <w:t xml:space="preserve">, vol. 59, 2006. Le groupe de travail comprenait les sociaux-démocrates, les modérés, le parti du Centre, les libéraux et les démocrates-chrétiens — soit cinq des sept formations alors représentées au Riksdag.</w:t>
      </w:r>
    </w:p>
  </w:footnote>
  <w:footnote w:id="11">
    <w:p>
      <w:pPr>
        <w:pStyle w:val="FootnoteText"/>
      </w:pPr>
      <w:r>
        <w:rPr>
          <w:rStyle w:val="FootnoteReference"/>
        </w:rPr>
        <w:footnoteRef/>
      </w:r>
      <w:r>
        <w:t xml:space="preserve"> </w:t>
      </w:r>
      <w:r>
        <w:t xml:space="preserve">Edward Palmer, « The Swedish Pension Reform Model: Framework and Issues »,</w:t>
      </w:r>
      <w:r>
        <w:t xml:space="preserve"> </w:t>
      </w:r>
      <w:r>
        <w:rPr>
          <w:i/>
          <w:iCs/>
        </w:rPr>
        <w:t xml:space="preserve">World Bank Social Protection Discussion Paper</w:t>
      </w:r>
      <w:r>
        <w:t xml:space="preserve">, n° 0012, 2000 (https://documents1.worldbank.org/curated/en/559651468761095868/pdf/multi0page.pdf). Palmer, économiste à l’Uppsala University, a co-conçu le mécanisme du compte notionnel (NDC) avec Bo Könberg.</w:t>
      </w:r>
    </w:p>
  </w:footnote>
  <w:footnote w:id="12">
    <w:p>
      <w:pPr>
        <w:pStyle w:val="FootnoteText"/>
      </w:pPr>
      <w:r>
        <w:rPr>
          <w:rStyle w:val="FootnoteReference"/>
        </w:rPr>
        <w:footnoteRef/>
      </w:r>
      <w:r>
        <w:t xml:space="preserve"> </w:t>
      </w:r>
      <w:r>
        <w:t xml:space="preserve">Sénat français,</w:t>
      </w:r>
      <w:r>
        <w:t xml:space="preserve"> </w:t>
      </w:r>
      <w:r>
        <w:rPr>
          <w:i/>
          <w:iCs/>
        </w:rPr>
        <w:t xml:space="preserve">Réformer la protection sociale : les leçons du modèle suédois</w:t>
      </w:r>
      <w:r>
        <w:t xml:space="preserve">, Rapport d’information n° 377, 2006 (https://www.senat.fr/rap/r06-377/r06-37710.html). Cadre voté en 1994 à 85 % du Parlement suédois, législation définitive en 1998, entrée en vigueur 1ᵉʳ janvier 1999 avec une montée en charge par cohortes 1938-1953.</w:t>
      </w:r>
    </w:p>
  </w:footnote>
  <w:footnote w:id="13">
    <w:p>
      <w:pPr>
        <w:pStyle w:val="FootnoteText"/>
      </w:pPr>
      <w:r>
        <w:rPr>
          <w:rStyle w:val="FootnoteReference"/>
        </w:rPr>
        <w:footnoteRef/>
      </w:r>
      <w:r>
        <w:t xml:space="preserve"> </w:t>
      </w:r>
      <w:r>
        <w:t xml:space="preserve">Ole Settergren, « The Automatic Balance Mechanism of the Swedish Pension System »,</w:t>
      </w:r>
      <w:r>
        <w:t xml:space="preserve"> </w:t>
      </w:r>
      <w:r>
        <w:rPr>
          <w:i/>
          <w:iCs/>
        </w:rPr>
        <w:t xml:space="preserve">NSIB Working Paper</w:t>
      </w:r>
      <w:r>
        <w:t xml:space="preserve">, 2001 (https://www.pensionsmyndigheten.se/content/dam/pensionsmyndigheten/blanketter—broschyrer—faktablad/other-languages/archive-reports,-working-papers-and-studies/The%20Automatic%20Balance%20Mechanism%20of%20the%20Swedish%20Pension%20Reform.pdf). Le taux de cotisation à l’inkomstpension est stabilisé à 16 % du salaire brut depuis 1999 (16,5 % pendant la période transitoire 1995-1998).</w:t>
      </w:r>
    </w:p>
  </w:footnote>
  <w:footnote w:id="14">
    <w:p>
      <w:pPr>
        <w:pStyle w:val="FootnoteText"/>
      </w:pPr>
      <w:r>
        <w:rPr>
          <w:rStyle w:val="FootnoteReference"/>
        </w:rPr>
        <w:footnoteRef/>
      </w:r>
      <w:r>
        <w:t xml:space="preserve"> </w:t>
      </w:r>
      <w:r>
        <w:t xml:space="preserve">Alecta,</w:t>
      </w:r>
      <w:r>
        <w:t xml:space="preserve"> </w:t>
      </w:r>
      <w:r>
        <w:rPr>
          <w:i/>
          <w:iCs/>
        </w:rPr>
        <w:t xml:space="preserve">Tjänstepension</w:t>
      </w:r>
      <w:r>
        <w:t xml:space="preserve">, 2024 ; Collectum,</w:t>
      </w:r>
      <w:r>
        <w:t xml:space="preserve"> </w:t>
      </w:r>
      <w:r>
        <w:rPr>
          <w:i/>
          <w:iCs/>
        </w:rPr>
        <w:t xml:space="preserve">Rapport annuel 2024</w:t>
      </w:r>
      <w:r>
        <w:t xml:space="preserve">. ITP couvre les employés du privé (deux régimes selon génération), SAF-LO les ouvriers ; les régimes sont obligatoires</w:t>
      </w:r>
      <w:r>
        <w:t xml:space="preserve"> </w:t>
      </w:r>
      <w:r>
        <w:rPr>
          <w:i/>
          <w:iCs/>
        </w:rPr>
        <w:t xml:space="preserve">de facto</w:t>
      </w:r>
      <w:r>
        <w:t xml:space="preserve"> </w:t>
      </w:r>
      <w:r>
        <w:t xml:space="preserve">dès lors que l’employeur est partie à une convention collective, ce qui est le cas pour près de 90 % des salariés suédois.</w:t>
      </w:r>
    </w:p>
  </w:footnote>
  <w:footnote w:id="15">
    <w:p>
      <w:pPr>
        <w:pStyle w:val="FootnoteText"/>
      </w:pPr>
      <w:r>
        <w:rPr>
          <w:rStyle w:val="FootnoteReference"/>
        </w:rPr>
        <w:footnoteRef/>
      </w:r>
      <w:r>
        <w:t xml:space="preserve"> </w:t>
      </w:r>
      <w:r>
        <w:t xml:space="preserve">Bertrand Martinot,</w:t>
      </w:r>
      <w:r>
        <w:t xml:space="preserve"> </w:t>
      </w:r>
      <w:r>
        <w:rPr>
          <w:i/>
          <w:iCs/>
        </w:rPr>
        <w:t xml:space="preserve">La capitalisation : un moyen de sortir par le haut de la crise des retraites ?</w:t>
      </w:r>
      <w:r>
        <w:t xml:space="preserve">, Fondation pour l’innovation politique, octobre 2024 (https://www.fondapol.org/etude/la-capitalisation-un-moyen-de-sortir-par-le-haut-de-la-crise-des-retraites/). Comparaison Suède-France des cotisations totales retraite, données 2024.</w:t>
      </w:r>
    </w:p>
  </w:footnote>
  <w:footnote w:id="16">
    <w:p>
      <w:pPr>
        <w:pStyle w:val="FootnoteText"/>
      </w:pPr>
      <w:r>
        <w:rPr>
          <w:rStyle w:val="FootnoteReference"/>
        </w:rPr>
        <w:footnoteRef/>
      </w:r>
      <w:r>
        <w:t xml:space="preserve"> </w:t>
      </w:r>
      <w:r>
        <w:t xml:space="preserve">Pensionsmyndigheten,</w:t>
      </w:r>
      <w:r>
        <w:t xml:space="preserve"> </w:t>
      </w:r>
      <w:r>
        <w:rPr>
          <w:i/>
          <w:iCs/>
        </w:rPr>
        <w:t xml:space="preserve">Pensionssystemet i bilder och siffror 2024</w:t>
      </w:r>
      <w:r>
        <w:t xml:space="preserve">, 2024 (https://www.pensionsmyndigheten.se/statistik). Bénéficiaires de la garantipension : environ 1,2 million de personnes en décembre 2024 ; supplément moyen de l’ordre de 2 000 SEK/mois en complément des droits acquis.</w:t>
      </w:r>
    </w:p>
  </w:footnote>
  <w:footnote w:id="17">
    <w:p>
      <w:pPr>
        <w:pStyle w:val="FootnoteText"/>
      </w:pPr>
      <w:r>
        <w:rPr>
          <w:rStyle w:val="FootnoteReference"/>
        </w:rPr>
        <w:footnoteRef/>
      </w:r>
      <w:r>
        <w:t xml:space="preserve"> </w:t>
      </w:r>
      <w:r>
        <w:t xml:space="preserve">Sites officiels AP1, AP2, AP3, AP4, AP6 et AP7 ; rapports annuels 2024. AP7 Såfa est le fonds par défaut PPM en cycle de vie : 100 % actions avant 55 ans, glissement progressif vers les obligations entre 56 et 75 ans, allocation finale 1/3 actions, 2/3 obligations à 75 ans.</w:t>
      </w:r>
    </w:p>
  </w:footnote>
  <w:footnote w:id="18">
    <w:p>
      <w:pPr>
        <w:pStyle w:val="FootnoteText"/>
      </w:pPr>
      <w:r>
        <w:rPr>
          <w:rStyle w:val="FootnoteReference"/>
        </w:rPr>
        <w:footnoteRef/>
      </w:r>
      <w:r>
        <w:t xml:space="preserve"> </w:t>
      </w:r>
      <w:r>
        <w:t xml:space="preserve">AP1, AP2, AP3, AP4, communiqué conjoint, 2024 : « The AP Funds strengthen the income pension system by SEK 182 billion » (https://ap2.se/en/the-ap-funds-strengthen-the-income-pension-system-by-sek-182-billion/).</w:t>
      </w:r>
    </w:p>
  </w:footnote>
  <w:footnote w:id="19">
    <w:p>
      <w:pPr>
        <w:pStyle w:val="FootnoteText"/>
      </w:pPr>
      <w:r>
        <w:rPr>
          <w:rStyle w:val="FootnoteReference"/>
        </w:rPr>
        <w:footnoteRef/>
      </w:r>
      <w:r>
        <w:t xml:space="preserve"> </w:t>
      </w:r>
      <w:r>
        <w:t xml:space="preserve">AP7,</w:t>
      </w:r>
      <w:r>
        <w:t xml:space="preserve"> </w:t>
      </w:r>
      <w:r>
        <w:rPr>
          <w:i/>
          <w:iCs/>
        </w:rPr>
        <w:t xml:space="preserve">Annual Report 2024</w:t>
      </w:r>
      <w:r>
        <w:t xml:space="preserve">, 2025 (https://www.ap7.se). Frais de gestion AP7 Såfa : 0,05 % par an. Rendement de la poche actions AP7 en 2024 : 27,3 % nominal. Encours total AP7 fin 2024 : 126,2 milliards d’euros (113 Md€ poche actions, 13,2 Md€ poche obligations).</w:t>
      </w:r>
    </w:p>
  </w:footnote>
  <w:footnote w:id="20">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novembre 2025 (https://www.oecd.org/en/publications/2025/11/pensions-at-a-glance-2025_76510fe4/). Dépense publique de retraite : Suède 7,2 % du PIB, France 13,9 % du PIB, moyenne OCDE 9,1 %, données 2023-2024.</w:t>
      </w:r>
    </w:p>
  </w:footnote>
  <w:footnote w:id="21">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fiches France et Suède, 2025. Taux de remplacement net retraite pour une cohorte née en 2002, carrière complète à temps plein, départ à l’âge légal : Suède 65,3 %, France 73,9 %, moyenne OCDE 73 %.</w:t>
      </w:r>
    </w:p>
  </w:footnote>
  <w:footnote w:id="22">
    <w:p>
      <w:pPr>
        <w:pStyle w:val="FootnoteText"/>
      </w:pPr>
      <w:r>
        <w:rPr>
          <w:rStyle w:val="FootnoteReference"/>
        </w:rPr>
        <w:footnoteRef/>
      </w:r>
      <w:r>
        <w:t xml:space="preserve"> </w:t>
      </w:r>
      <w:r>
        <w:t xml:space="preserve">Thinking Ahead Institute,</w:t>
      </w:r>
      <w:r>
        <w:t xml:space="preserve"> </w:t>
      </w:r>
      <w:r>
        <w:rPr>
          <w:i/>
          <w:iCs/>
        </w:rPr>
        <w:t xml:space="preserve">Global Pension Assets Study 2025</w:t>
      </w:r>
      <w:r>
        <w:t xml:space="preserve">, Willis Towers Watson, 2025 (https://www.thinkingaheadinstitute.org/research-papers/global-pension-assets-study-2025/). Encours fonds de pension 2024 en % du PIB : Suède 114,2 % (en baisse depuis le pic de 134 % en 2021), France 7 %.</w:t>
      </w:r>
    </w:p>
  </w:footnote>
  <w:footnote w:id="23">
    <w:p>
      <w:pPr>
        <w:pStyle w:val="FootnoteText"/>
      </w:pPr>
      <w:r>
        <w:rPr>
          <w:rStyle w:val="FootnoteReference"/>
        </w:rPr>
        <w:footnoteRef/>
      </w:r>
      <w:r>
        <w:t xml:space="preserve"> </w:t>
      </w:r>
      <w:r>
        <w:t xml:space="preserve">Dealroom,</w:t>
      </w:r>
      <w:r>
        <w:t xml:space="preserve"> </w:t>
      </w:r>
      <w:r>
        <w:rPr>
          <w:i/>
          <w:iCs/>
        </w:rPr>
        <w:t xml:space="preserve">Sweden 2024 Full Report</w:t>
      </w:r>
      <w:r>
        <w:t xml:space="preserve">, 2025 (https://dealroom.co/guides/sweden) ; Atomico,</w:t>
      </w:r>
      <w:r>
        <w:t xml:space="preserve"> </w:t>
      </w:r>
      <w:r>
        <w:rPr>
          <w:i/>
          <w:iCs/>
        </w:rPr>
        <w:t xml:space="preserve">State of European Tech 2024</w:t>
      </w:r>
      <w:r>
        <w:t xml:space="preserve">, 2024. Stockholm : 41 licornes (valorisation &gt; 1 Md USD), deuxième écosystème mondial par habitant après la Silicon Valley.</w:t>
      </w:r>
    </w:p>
  </w:footnote>
  <w:footnote w:id="24">
    <w:p>
      <w:pPr>
        <w:pStyle w:val="FootnoteText"/>
      </w:pPr>
      <w:r>
        <w:rPr>
          <w:rStyle w:val="FootnoteReference"/>
        </w:rPr>
        <w:footnoteRef/>
      </w:r>
      <w:r>
        <w:t xml:space="preserve"> </w:t>
      </w:r>
      <w:r>
        <w:t xml:space="preserve">AP7,</w:t>
      </w:r>
      <w:r>
        <w:t xml:space="preserve"> </w:t>
      </w:r>
      <w:r>
        <w:rPr>
          <w:i/>
          <w:iCs/>
        </w:rPr>
        <w:t xml:space="preserve">Annual Report 2015</w:t>
      </w:r>
      <w:r>
        <w:t xml:space="preserve">, 2016. Révision du glide path d’AP7 Såfa en 2015, après les pertes 2008-2009 sur la PPM : aplatissement de la trajectoire, allocation actions maintenue plus longtemps (100 % jusqu’à 55 ans, puis baisse progressive de 2 points par an jusqu’à 75 ans).</w:t>
      </w:r>
    </w:p>
  </w:footnote>
  <w:footnote w:id="25">
    <w:p>
      <w:pPr>
        <w:pStyle w:val="FootnoteText"/>
      </w:pPr>
      <w:r>
        <w:rPr>
          <w:rStyle w:val="FootnoteReference"/>
        </w:rPr>
        <w:footnoteRef/>
      </w:r>
      <w:r>
        <w:t xml:space="preserve"> </w:t>
      </w:r>
      <w:r>
        <w:t xml:space="preserve">Ole Settergren, « The Automatic Balance Mechanism »,</w:t>
      </w:r>
      <w:r>
        <w:t xml:space="preserve"> </w:t>
      </w:r>
      <w:r>
        <w:rPr>
          <w:i/>
          <w:iCs/>
        </w:rPr>
        <w:t xml:space="preserve">op. cit.</w:t>
      </w:r>
      <w:r>
        <w:t xml:space="preserve"> </w:t>
      </w:r>
      <w:r>
        <w:t xml:space="preserve">; Pensionsmyndigheten, rapports annuels 2010, 2011, 2020. Activations de la</w:t>
      </w:r>
      <w:r>
        <w:t xml:space="preserve"> </w:t>
      </w:r>
      <w:r>
        <w:rPr>
          <w:i/>
          <w:iCs/>
        </w:rPr>
        <w:t xml:space="preserve">bromsen</w:t>
      </w:r>
      <w:r>
        <w:t xml:space="preserve"> </w:t>
      </w:r>
      <w:r>
        <w:t xml:space="preserve">en 2010, 2011 (séquelles 2008-2009) et 2020 (COVID), avec ajustements à la baisse des pensions de l’ordre de 0,5 à 3 %.</w:t>
      </w:r>
    </w:p>
  </w:footnote>
  <w:footnote w:id="26">
    <w:p>
      <w:pPr>
        <w:pStyle w:val="FootnoteText"/>
      </w:pPr>
      <w:r>
        <w:rPr>
          <w:rStyle w:val="FootnoteReference"/>
        </w:rPr>
        <w:footnoteRef/>
      </w:r>
      <w:r>
        <w:t xml:space="preserve"> </w:t>
      </w:r>
      <w:r>
        <w:rPr>
          <w:i/>
          <w:iCs/>
        </w:rPr>
        <w:t xml:space="preserve">La Presse</w:t>
      </w:r>
      <w:r>
        <w:t xml:space="preserve">, « Du rêve au cauchemar », 12 mars 2025 (https://www.lapresse.ca/affaires/entreprises/2025-03-12/northvolt-en-faillite/). Northvolt : faillite (Chapter 11) déposée en novembre 2024 aux États-Unis, liquidation suédoise déclarée le 12 mars 2025, environ 5 000 emplois affectés. Peter Carlsson, cofondateur et CEO, ancien cadre Tesla, a démissionné en novembre 2024. AP2 a comptabilisé environ 531 millions de dollars de pertes sur sa ligne Northvolt.</w:t>
      </w:r>
    </w:p>
  </w:footnote>
  <w:footnote w:id="27">
    <w:p>
      <w:pPr>
        <w:pStyle w:val="FootnoteText"/>
      </w:pPr>
      <w:r>
        <w:rPr>
          <w:rStyle w:val="FootnoteReference"/>
        </w:rPr>
        <w:footnoteRef/>
      </w:r>
      <w:r>
        <w:t xml:space="preserve"> </w:t>
      </w:r>
      <w:r>
        <w:t xml:space="preserve">Eurostat,</w:t>
      </w:r>
      <w:r>
        <w:t xml:space="preserve"> </w:t>
      </w:r>
      <w:r>
        <w:rPr>
          <w:i/>
          <w:iCs/>
        </w:rPr>
        <w:t xml:space="preserve">Gender Pension Gap</w:t>
      </w:r>
      <w:r>
        <w:t xml:space="preserve">, données 2023 ; OCDE,</w:t>
      </w:r>
      <w:r>
        <w:t xml:space="preserve"> </w:t>
      </w:r>
      <w:r>
        <w:rPr>
          <w:i/>
          <w:iCs/>
        </w:rPr>
        <w:t xml:space="preserve">Pensions at a Glance 2025</w:t>
      </w:r>
      <w:r>
        <w:t xml:space="preserve">. Écart femmes-hommes en pension : Suède environ 20 % (femmes à 80 % des hommes), France environ 15 % (femmes à 85 % des hommes), moyenne UE 26 %.</w:t>
      </w:r>
    </w:p>
  </w:footnote>
  <w:footnote w:id="29">
    <w:p>
      <w:pPr>
        <w:pStyle w:val="FootnoteText"/>
      </w:pPr>
      <w:r>
        <w:rPr>
          <w:rStyle w:val="FootnoteReference"/>
        </w:rPr>
        <w:footnoteRef/>
      </w:r>
      <w:r>
        <w:t xml:space="preserve"> </w:t>
      </w:r>
      <w:r>
        <w:t xml:space="preserve">Paul Keating,</w:t>
      </w:r>
      <w:r>
        <w:t xml:space="preserve"> </w:t>
      </w:r>
      <w:r>
        <w:rPr>
          <w:i/>
          <w:iCs/>
        </w:rPr>
        <w:t xml:space="preserve">The Story of Modern Superannuation</w:t>
      </w:r>
      <w:r>
        <w:t xml:space="preserve">, discours du 31 octobre 2007 (https://www.paulkeating.net.au/shop/item/the-story-of-modern-superannuation-31-october-2007). Récit autobiographique de Keating sur la séquence 1983-1992 :</w:t>
      </w:r>
      <w:r>
        <w:t xml:space="preserve"> </w:t>
      </w:r>
      <w:r>
        <w:rPr>
          <w:i/>
          <w:iCs/>
        </w:rPr>
        <w:t xml:space="preserve">Prices and Incomes Accord</w:t>
      </w:r>
      <w:r>
        <w:t xml:space="preserve"> </w:t>
      </w:r>
      <w:r>
        <w:t xml:space="preserve">Mark I (1983), Mark II (1985), élargissement par voie d’awards industriels (1987-1991), et</w:t>
      </w:r>
      <w:r>
        <w:t xml:space="preserve"> </w:t>
      </w:r>
      <w:r>
        <w:rPr>
          <w:i/>
          <w:iCs/>
        </w:rPr>
        <w:t xml:space="preserve">Superannuation Guarantee Act</w:t>
      </w:r>
      <w:r>
        <w:t xml:space="preserve"> </w:t>
      </w:r>
      <w:r>
        <w:t xml:space="preserve">(1992).</w:t>
      </w:r>
    </w:p>
  </w:footnote>
  <w:footnote w:id="30">
    <w:p>
      <w:pPr>
        <w:pStyle w:val="FootnoteText"/>
      </w:pPr>
      <w:r>
        <w:rPr>
          <w:rStyle w:val="FootnoteReference"/>
        </w:rPr>
        <w:footnoteRef/>
      </w:r>
      <w:r>
        <w:t xml:space="preserve"> </w:t>
      </w:r>
      <w:r>
        <w:t xml:space="preserve">Bill Kelty a été secrétaire général de l’ACTU (Australian Council of Trade Unions) de 1983 à 2000. Son rôle dans la négociation de l’Accord Mark II et de l’extension de la</w:t>
      </w:r>
      <w:r>
        <w:t xml:space="preserve"> </w:t>
      </w:r>
      <w:r>
        <w:rPr>
          <w:i/>
          <w:iCs/>
        </w:rPr>
        <w:t xml:space="preserve">superannuation</w:t>
      </w:r>
      <w:r>
        <w:t xml:space="preserve"> </w:t>
      </w:r>
      <w:r>
        <w:t xml:space="preserve">aux ouvriers est documenté dans : John Edwards,</w:t>
      </w:r>
      <w:r>
        <w:t xml:space="preserve"> </w:t>
      </w:r>
      <w:r>
        <w:rPr>
          <w:i/>
          <w:iCs/>
        </w:rPr>
        <w:t xml:space="preserve">Keating: The Inside Story</w:t>
      </w:r>
      <w:r>
        <w:t xml:space="preserve">, Viking, 1996 ; et dans les archives du Treasury australien.</w:t>
      </w:r>
    </w:p>
  </w:footnote>
  <w:footnote w:id="31">
    <w:p>
      <w:pPr>
        <w:pStyle w:val="FootnoteText"/>
      </w:pPr>
      <w:r>
        <w:rPr>
          <w:rStyle w:val="FootnoteReference"/>
        </w:rPr>
        <w:footnoteRef/>
      </w:r>
      <w:r>
        <w:t xml:space="preserve"> </w:t>
      </w:r>
      <w:r>
        <w:rPr>
          <w:i/>
          <w:iCs/>
        </w:rPr>
        <w:t xml:space="preserve">Superannuation Guarantee (Administration) Act 1992</w:t>
      </w:r>
      <w:r>
        <w:t xml:space="preserve">, Royal Assent 21 août 1992, entrée en vigueur 1ᵉʳ juillet 1992 (https://www.austlii.edu.au/cgi-bin/viewdb/au/legis/cth/consol_act/sga1992430/). Taux initial 3 %, montée programmée jusqu’à 9 % en 2002.</w:t>
      </w:r>
    </w:p>
  </w:footnote>
  <w:footnote w:id="32">
    <w:p>
      <w:pPr>
        <w:pStyle w:val="FootnoteText"/>
      </w:pPr>
      <w:r>
        <w:rPr>
          <w:rStyle w:val="FootnoteReference"/>
        </w:rPr>
        <w:footnoteRef/>
      </w:r>
      <w:r>
        <w:t xml:space="preserve"> </w:t>
      </w:r>
      <w:r>
        <w:t xml:space="preserve">ATO (Australian Taxation Office),</w:t>
      </w:r>
      <w:r>
        <w:t xml:space="preserve"> </w:t>
      </w:r>
      <w:r>
        <w:rPr>
          <w:i/>
          <w:iCs/>
        </w:rPr>
        <w:t xml:space="preserve">Key Superannuation Rates and Thresholds</w:t>
      </w:r>
      <w:r>
        <w:t xml:space="preserve">, historique des taux SG 1992-2025 (https://www.ato.gov.au/tax-rates-and-codes/key-superannuation-rates-and-thresholds/super-guarantee). Gel à 9,5 % de 2014-2015 à 2020-2021 sous les gouvernements Abbott, Turnbull et Morrison.</w:t>
      </w:r>
    </w:p>
  </w:footnote>
  <w:footnote w:id="33">
    <w:p>
      <w:pPr>
        <w:pStyle w:val="FootnoteText"/>
      </w:pPr>
      <w:r>
        <w:rPr>
          <w:rStyle w:val="FootnoteReference"/>
        </w:rPr>
        <w:footnoteRef/>
      </w:r>
      <w:r>
        <w:t xml:space="preserve"> </w:t>
      </w:r>
      <w:r>
        <w:t xml:space="preserve">ATO,</w:t>
      </w:r>
      <w:r>
        <w:t xml:space="preserve"> </w:t>
      </w:r>
      <w:r>
        <w:rPr>
          <w:i/>
          <w:iCs/>
        </w:rPr>
        <w:t xml:space="preserve">op. cit.</w:t>
      </w:r>
      <w:r>
        <w:t xml:space="preserve"> </w:t>
      </w:r>
      <w:r>
        <w:t xml:space="preserve">Taux SG : 10,0 % (2021-22), 10,5 % (2022-23), 11,0 % (2023-24), 11,5 % (2024-25), 12,0 % (depuis le 1ᵉʳ juillet 2025), stabilisé.</w:t>
      </w:r>
    </w:p>
  </w:footnote>
  <w:footnote w:id="34">
    <w:p>
      <w:pPr>
        <w:pStyle w:val="FootnoteText"/>
      </w:pPr>
      <w:r>
        <w:rPr>
          <w:rStyle w:val="FootnoteReference"/>
        </w:rPr>
        <w:footnoteRef/>
      </w:r>
      <w:r>
        <w:t xml:space="preserve"> </w:t>
      </w:r>
      <w:r>
        <w:t xml:space="preserve">APRA,</w:t>
      </w:r>
      <w:r>
        <w:t xml:space="preserve"> </w:t>
      </w:r>
      <w:r>
        <w:rPr>
          <w:i/>
          <w:iCs/>
        </w:rPr>
        <w:t xml:space="preserve">Quarterly Superannuation Performance Statistics — June 2025</w:t>
      </w:r>
      <w:r>
        <w:t xml:space="preserve">, 2025 (https://www.apra.gov.au/quarterly-superannuation-performance-statistics-highlights-june-2025). Encours total : 4,3 trillions AUD (environ 2 600 Md€), dont 3,2 T en fonds régulés APRA et 1,1 T en fonds auto-gérés (SMSF,</w:t>
      </w:r>
      <w:r>
        <w:t xml:space="preserve"> </w:t>
      </w:r>
      <w:r>
        <w:rPr>
          <w:i/>
          <w:iCs/>
        </w:rPr>
        <w:t xml:space="preserve">self-managed super funds</w:t>
      </w:r>
      <w:r>
        <w:t xml:space="preserve">).</w:t>
      </w:r>
    </w:p>
  </w:footnote>
  <w:footnote w:id="35">
    <w:p>
      <w:pPr>
        <w:pStyle w:val="FootnoteText"/>
      </w:pPr>
      <w:r>
        <w:rPr>
          <w:rStyle w:val="FootnoteReference"/>
        </w:rPr>
        <w:footnoteRef/>
      </w:r>
      <w:r>
        <w:t xml:space="preserve"> </w:t>
      </w:r>
      <w:r>
        <w:t xml:space="preserve">AustralianSuper,</w:t>
      </w:r>
      <w:r>
        <w:t xml:space="preserve"> </w:t>
      </w:r>
      <w:r>
        <w:rPr>
          <w:i/>
          <w:iCs/>
        </w:rPr>
        <w:t xml:space="preserve">2024-25 Annual Report</w:t>
      </w:r>
      <w:r>
        <w:t xml:space="preserve">, 2025 (https://www.australiansuper.com/about-us/annual-report) ; APRA,</w:t>
      </w:r>
      <w:r>
        <w:t xml:space="preserve"> </w:t>
      </w:r>
      <w:r>
        <w:rPr>
          <w:i/>
          <w:iCs/>
        </w:rPr>
        <w:t xml:space="preserve">Top 10 Super Funds</w:t>
      </w:r>
      <w:r>
        <w:t xml:space="preserve">, 2025. AustralianSuper : 385 Md AUD, 3,67 millions de membres au 30 juin 2025.</w:t>
      </w:r>
    </w:p>
  </w:footnote>
  <w:footnote w:id="36">
    <w:p>
      <w:pPr>
        <w:pStyle w:val="FootnoteText"/>
      </w:pPr>
      <w:r>
        <w:rPr>
          <w:rStyle w:val="FootnoteReference"/>
        </w:rPr>
        <w:footnoteRef/>
      </w:r>
      <w:r>
        <w:t xml:space="preserve"> </w:t>
      </w:r>
      <w:r>
        <w:t xml:space="preserve">AustralianSuper,</w:t>
      </w:r>
      <w:r>
        <w:t xml:space="preserve"> </w:t>
      </w:r>
      <w:r>
        <w:rPr>
          <w:i/>
          <w:iCs/>
        </w:rPr>
        <w:t xml:space="preserve">FY25 Investment Performance</w:t>
      </w:r>
      <w:r>
        <w:t xml:space="preserve">, juillet 2025 (https://www.australiansuper.com/investments/investment-articles/2025/07/fy25-investment-performance). Option</w:t>
      </w:r>
      <w:r>
        <w:t xml:space="preserve"> </w:t>
      </w:r>
      <w:r>
        <w:rPr>
          <w:i/>
          <w:iCs/>
        </w:rPr>
        <w:t xml:space="preserve">Balanced</w:t>
      </w:r>
      <w:r>
        <w:t xml:space="preserve"> </w:t>
      </w:r>
      <w:r>
        <w:t xml:space="preserve">: 7,94 % annualisé sur 10 ans glissants, 8,53 % sur 5 ans, 8,72 % sur 3 ans (au 30 juin 2025, net de frais).</w:t>
      </w:r>
    </w:p>
  </w:footnote>
  <w:footnote w:id="37">
    <w:p>
      <w:pPr>
        <w:pStyle w:val="FootnoteText"/>
      </w:pPr>
      <w:r>
        <w:rPr>
          <w:rStyle w:val="FootnoteReference"/>
        </w:rPr>
        <w:footnoteRef/>
      </w:r>
      <w:r>
        <w:t xml:space="preserve"> </w:t>
      </w:r>
      <w:r>
        <w:t xml:space="preserve">APRA,</w:t>
      </w:r>
      <w:r>
        <w:t xml:space="preserve"> </w:t>
      </w:r>
      <w:r>
        <w:rPr>
          <w:i/>
          <w:iCs/>
        </w:rPr>
        <w:t xml:space="preserve">2025 Annual Superannuation Performance Test — MySuper Products</w:t>
      </w:r>
      <w:r>
        <w:t xml:space="preserve">, 2025 (https://www.apra.gov.au/2025-annual-superannuation-performance-test-mysuper-products). Premier test 2021 : 52 produits MySuper en échec, environ 1 million de membres affectés ; test 2025 : 0 échec sur 52 produits évalués. Le test compare le rendement net de chaque produit à un benchmark composite sur 8 ans.</w:t>
      </w:r>
    </w:p>
  </w:footnote>
  <w:footnote w:id="38">
    <w:p>
      <w:pPr>
        <w:pStyle w:val="FootnoteText"/>
      </w:pPr>
      <w:r>
        <w:rPr>
          <w:rStyle w:val="FootnoteReference"/>
        </w:rPr>
        <w:footnoteRef/>
      </w:r>
      <w:r>
        <w:t xml:space="preserve"> </w:t>
      </w:r>
      <w:r>
        <w:t xml:space="preserve">ACCC,</w:t>
      </w:r>
      <w:r>
        <w:t xml:space="preserve"> </w:t>
      </w:r>
      <w:r>
        <w:rPr>
          <w:i/>
          <w:iCs/>
        </w:rPr>
        <w:t xml:space="preserve">Sydney Aviation Alliance acquisition of Sydney Airport</w:t>
      </w:r>
      <w:r>
        <w:t xml:space="preserve">, 2022 (https://www.accc.gov.au/public-registers/mergers-registers/public-informal-merger-reviews/sydney-aviation-alliance-pty-ltd-sydney-airport). Acquisition finalisée en 2022 par un consortium IFM Investors / AustralianSuper / Australian Retirement Trust / UniSuper / Global Infrastructure Partners. Valeur d’entreprise supérieure à 20 milliards de dollars australiens.</w:t>
      </w:r>
    </w:p>
  </w:footnote>
  <w:footnote w:id="39">
    <w:p>
      <w:pPr>
        <w:pStyle w:val="FootnoteText"/>
      </w:pPr>
      <w:r>
        <w:rPr>
          <w:rStyle w:val="FootnoteReference"/>
        </w:rPr>
        <w:footnoteRef/>
      </w:r>
      <w:r>
        <w:t xml:space="preserve"> </w:t>
      </w:r>
      <w:r>
        <w:t xml:space="preserve">Deloitte,</w:t>
      </w:r>
      <w:r>
        <w:t xml:space="preserve"> </w:t>
      </w:r>
      <w:r>
        <w:rPr>
          <w:i/>
          <w:iCs/>
        </w:rPr>
        <w:t xml:space="preserve">Dynamics of the Australian Superannuation System</w:t>
      </w:r>
      <w:r>
        <w:t xml:space="preserve">, 2024 (https://www.investordaily.com.au/superannuation/54865-super-on-track-to-represent-more-than-half-of-asx-market-cap-deloitte). Détention par les fonds</w:t>
      </w:r>
      <w:r>
        <w:t xml:space="preserve"> </w:t>
      </w:r>
      <w:r>
        <w:rPr>
          <w:i/>
          <w:iCs/>
        </w:rPr>
        <w:t xml:space="preserve">super</w:t>
      </w:r>
      <w:r>
        <w:t xml:space="preserve"> </w:t>
      </w:r>
      <w:r>
        <w:t xml:space="preserve">: environ 35 % de la capitalisation de l’ASX en 2024, projection à 60 % à l’horizon 2038.</w:t>
      </w:r>
    </w:p>
  </w:footnote>
  <w:footnote w:id="41">
    <w:p>
      <w:pPr>
        <w:pStyle w:val="FootnoteText"/>
      </w:pPr>
      <w:r>
        <w:rPr>
          <w:rStyle w:val="FootnoteReference"/>
        </w:rPr>
        <w:footnoteRef/>
      </w:r>
      <w:r>
        <w:t xml:space="preserve"> </w:t>
      </w:r>
      <w:r>
        <w:t xml:space="preserve">Lee Kuan Yew,</w:t>
      </w:r>
      <w:r>
        <w:t xml:space="preserve"> </w:t>
      </w:r>
      <w:r>
        <w:rPr>
          <w:i/>
          <w:iCs/>
        </w:rPr>
        <w:t xml:space="preserve">From Third World to First: The Singapore Story 1965-2000</w:t>
      </w:r>
      <w:r>
        <w:t xml:space="preserve">, HarperCollins, 2000. Chapitres 9 (« CPF, the Bedrock of Social Security ») et 10 (« A Home-Owning Society »). Lee décrit le CPF comme « la pierre angulaire » de son projet de société de propriétaires épargnants plutôt qu’une société d’allocataires.</w:t>
      </w:r>
    </w:p>
  </w:footnote>
  <w:footnote w:id="42">
    <w:p>
      <w:pPr>
        <w:pStyle w:val="FootnoteText"/>
      </w:pPr>
      <w:r>
        <w:rPr>
          <w:rStyle w:val="FootnoteReference"/>
        </w:rPr>
        <w:footnoteRef/>
      </w:r>
      <w:r>
        <w:t xml:space="preserve"> </w:t>
      </w:r>
      <w:r>
        <w:t xml:space="preserve">Goh Keng Swee a été ministre des Finances de Singapour de 1959 à 1965, puis à nouveau de 1967 à 1970, sous le PM Lee Kuan Yew. Sur son rôle dans la formation de la politique économique de Singapour : Tan Siok Sun,</w:t>
      </w:r>
      <w:r>
        <w:t xml:space="preserve"> </w:t>
      </w:r>
      <w:r>
        <w:rPr>
          <w:i/>
          <w:iCs/>
        </w:rPr>
        <w:t xml:space="preserve">Goh Keng Swee: A Portrait</w:t>
      </w:r>
      <w:r>
        <w:t xml:space="preserve">, Editions Didier Millet, 2007. Il a aussi été ministre de la Défense, puis ministre de l’Éducation.</w:t>
      </w:r>
    </w:p>
  </w:footnote>
  <w:footnote w:id="43">
    <w:p>
      <w:pPr>
        <w:pStyle w:val="FootnoteText"/>
      </w:pPr>
      <w:r>
        <w:rPr>
          <w:rStyle w:val="FootnoteReference"/>
        </w:rPr>
        <w:footnoteRef/>
      </w:r>
      <w:r>
        <w:t xml:space="preserve"> </w:t>
      </w:r>
      <w:r>
        <w:t xml:space="preserve">Lee Kuan Yew,</w:t>
      </w:r>
      <w:r>
        <w:t xml:space="preserve"> </w:t>
      </w:r>
      <w:r>
        <w:rPr>
          <w:i/>
          <w:iCs/>
        </w:rPr>
        <w:t xml:space="preserve">From Third World to First</w:t>
      </w:r>
      <w:r>
        <w:t xml:space="preserve">,</w:t>
      </w:r>
      <w:r>
        <w:t xml:space="preserve"> </w:t>
      </w:r>
      <w:r>
        <w:rPr>
          <w:i/>
          <w:iCs/>
        </w:rPr>
        <w:t xml:space="preserve">op. cit.</w:t>
      </w:r>
      <w:r>
        <w:t xml:space="preserve">, p. 116 : « My primary concern was to give every citizen a stake in the country and its future. »</w:t>
      </w:r>
    </w:p>
  </w:footnote>
  <w:footnote w:id="44">
    <w:p>
      <w:pPr>
        <w:pStyle w:val="FootnoteText"/>
      </w:pPr>
      <w:r>
        <w:rPr>
          <w:rStyle w:val="FootnoteReference"/>
        </w:rPr>
        <w:footnoteRef/>
      </w:r>
      <w:r>
        <w:t xml:space="preserve"> </w:t>
      </w:r>
      <w:r>
        <w:t xml:space="preserve">Department of Statistics Singapore,</w:t>
      </w:r>
      <w:r>
        <w:t xml:space="preserve"> </w:t>
      </w:r>
      <w:r>
        <w:rPr>
          <w:i/>
          <w:iCs/>
        </w:rPr>
        <w:t xml:space="preserve">Home Ownership Rate</w:t>
      </w:r>
      <w:r>
        <w:t xml:space="preserve">, 2024 (https://www.singstat.gov.sg). Taux d’accession à la propriété : 90,9 % en 2024, dont environ 80 % en logement public HDB.</w:t>
      </w:r>
    </w:p>
  </w:footnote>
  <w:footnote w:id="45">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 2025 (https://www.cpf.gov.sg/content/dam/web/member/infohub/documents/CPF%20Annual%20Report%202024%20Part%201.pdf). Architecture des quatre comptes : Ordinary Account (OA, 2,5 % d’intérêt garanti), Special Account (SA, 4 % garanti, fermé aux 55+ depuis le 19 janvier 2025), MediSave Account (MA, 4 % garanti), Retirement Account (RA, créé à 55 ans, 4 % garanti).</w:t>
      </w:r>
    </w:p>
  </w:footnote>
  <w:footnote w:id="46">
    <w:p>
      <w:pPr>
        <w:pStyle w:val="FootnoteText"/>
      </w:pPr>
      <w:r>
        <w:rPr>
          <w:rStyle w:val="FootnoteReference"/>
        </w:rPr>
        <w:footnoteRef/>
      </w:r>
      <w:r>
        <w:t xml:space="preserve"> </w:t>
      </w:r>
      <w:r>
        <w:t xml:space="preserve">CPF Board,</w:t>
      </w:r>
      <w:r>
        <w:t xml:space="preserve"> </w:t>
      </w:r>
      <w:r>
        <w:rPr>
          <w:i/>
          <w:iCs/>
        </w:rPr>
        <w:t xml:space="preserve">Contribution Rates from 1 January 2026</w:t>
      </w:r>
      <w:r>
        <w:t xml:space="preserve">, 2025 (https://www.cpf.gov.sg/employer/infohub/news/cpf-related-announcements/new-contribution-rates). Pour les ≤ 55 ans : 17 % employeur + 20 % salarié = 37 % total. Au-delà : 55-60 ans 34 %, 60-65 ans 25 %, 65-70 ans 16,5 %, &gt; 70 ans 12,5 %. Plafond contributif : 8 000 SGD/mois depuis le 1ᵉʳ janvier 2026.</w:t>
      </w:r>
    </w:p>
  </w:footnote>
  <w:footnote w:id="47">
    <w:p>
      <w:pPr>
        <w:pStyle w:val="FootnoteText"/>
      </w:pPr>
      <w:r>
        <w:rPr>
          <w:rStyle w:val="FootnoteReference"/>
        </w:rPr>
        <w:footnoteRef/>
      </w:r>
      <w:r>
        <w:t xml:space="preserve"> </w:t>
      </w:r>
      <w:r>
        <w:t xml:space="preserve">GIC,</w:t>
      </w:r>
      <w:r>
        <w:t xml:space="preserve"> </w:t>
      </w:r>
      <w:r>
        <w:rPr>
          <w:i/>
          <w:iCs/>
        </w:rPr>
        <w:t xml:space="preserve">Annual Report 2024-25</w:t>
      </w:r>
      <w:r>
        <w:t xml:space="preserve">, 2025 (https://www.gic.com.sg). GIC ne publie pas le total exact de ses encours mais celui-ci est estimé par les analystes financiers (notamment</w:t>
      </w:r>
      <w:r>
        <w:t xml:space="preserve"> </w:t>
      </w:r>
      <w:r>
        <w:rPr>
          <w:i/>
          <w:iCs/>
        </w:rPr>
        <w:t xml:space="preserve">SWF Institute</w:t>
      </w:r>
      <w:r>
        <w:t xml:space="preserve">) à environ 800 milliards de dollars US à mi-2025. GIC gère également une partie des réserves du CPF via les</w:t>
      </w:r>
      <w:r>
        <w:t xml:space="preserve"> </w:t>
      </w:r>
      <w:r>
        <w:rPr>
          <w:i/>
          <w:iCs/>
        </w:rPr>
        <w:t xml:space="preserve">Special Singapore Government Securities</w:t>
      </w:r>
      <w:r>
        <w:t xml:space="preserve"> </w:t>
      </w:r>
      <w:r>
        <w:t xml:space="preserve">(SSGS).</w:t>
      </w:r>
    </w:p>
  </w:footnote>
  <w:footnote w:id="48">
    <w:p>
      <w:pPr>
        <w:pStyle w:val="FootnoteText"/>
      </w:pPr>
      <w:r>
        <w:rPr>
          <w:rStyle w:val="FootnoteReference"/>
        </w:rPr>
        <w:footnoteRef/>
      </w:r>
      <w:r>
        <w:t xml:space="preserve"> </w:t>
      </w:r>
      <w:r>
        <w:t xml:space="preserve">Workers’ Party Singapore,</w:t>
      </w:r>
      <w:r>
        <w:t xml:space="preserve"> </w:t>
      </w:r>
      <w:r>
        <w:rPr>
          <w:i/>
          <w:iCs/>
        </w:rPr>
        <w:t xml:space="preserve">CPF: What is at Stake for You</w:t>
      </w:r>
      <w:r>
        <w:t xml:space="preserve">, plateforme programmatique 2020-2025 (https://www.wp.sg/cpf-what-is-at-stake-for-you). Le Workers’ Party propose de partager une partie de l’écart entre les rendements GIC et les taux CPF garantis avec les membres.</w:t>
      </w:r>
    </w:p>
  </w:footnote>
  <w:footnote w:id="49">
    <w:p>
      <w:pPr>
        <w:pStyle w:val="FootnoteText"/>
      </w:pPr>
      <w:r>
        <w:rPr>
          <w:rStyle w:val="FootnoteReference"/>
        </w:rPr>
        <w:footnoteRef/>
      </w:r>
      <w:r>
        <w:t xml:space="preserve"> </w:t>
      </w:r>
      <w:r>
        <w:t xml:space="preserve">CPF Board,</w:t>
      </w:r>
      <w:r>
        <w:t xml:space="preserve"> </w:t>
      </w:r>
      <w:r>
        <w:rPr>
          <w:i/>
          <w:iCs/>
        </w:rPr>
        <w:t xml:space="preserve">CPF Annual Report 2024</w:t>
      </w:r>
      <w:r>
        <w:t xml:space="preserve">,</w:t>
      </w:r>
      <w:r>
        <w:t xml:space="preserve"> </w:t>
      </w:r>
      <w:r>
        <w:rPr>
          <w:i/>
          <w:iCs/>
        </w:rPr>
        <w:t xml:space="preserve">op. cit.</w:t>
      </w:r>
      <w:r>
        <w:t xml:space="preserve"> </w:t>
      </w:r>
      <w:r>
        <w:t xml:space="preserve">Encours total CPF : 609,5 Md SGD à fin 2024, 4,2 millions de membres actifs. Intérêts crédités sur l’année : 22,4 Md SGD, dont 1,9 Md de bonus d’intérêt extra pour les bas soldes et les seniors.</w:t>
      </w:r>
    </w:p>
  </w:footnote>
  <w:footnote w:id="50">
    <w:p>
      <w:pPr>
        <w:pStyle w:val="FootnoteText"/>
      </w:pPr>
      <w:r>
        <w:rPr>
          <w:rStyle w:val="FootnoteReference"/>
        </w:rPr>
        <w:footnoteRef/>
      </w:r>
      <w:r>
        <w:t xml:space="preserve"> </w:t>
      </w:r>
      <w:r>
        <w:t xml:space="preserve">CPF Board,</w:t>
      </w:r>
      <w:r>
        <w:t xml:space="preserve"> </w:t>
      </w:r>
      <w:r>
        <w:rPr>
          <w:i/>
          <w:iCs/>
        </w:rPr>
        <w:t xml:space="preserve">Closure of Special Account for members aged 55 and above</w:t>
      </w:r>
      <w:r>
        <w:t xml:space="preserve">, 19 janvier 2025 (https://www.cpf.gov.sg). Les fonds SA des 55+ ont été redirigés vers le RA pour la part en-dessous du</w:t>
      </w:r>
      <w:r>
        <w:t xml:space="preserve"> </w:t>
      </w:r>
      <w:r>
        <w:rPr>
          <w:i/>
          <w:iCs/>
        </w:rPr>
        <w:t xml:space="preserve">Full Retirement Sum</w:t>
      </w:r>
      <w:r>
        <w:t xml:space="preserve">, et vers l’OA pour le reste, dans un objectif de simplification.</w:t>
      </w:r>
    </w:p>
  </w:footnote>
  <w:footnote w:id="51">
    <w:p>
      <w:pPr>
        <w:pStyle w:val="FootnoteText"/>
      </w:pPr>
      <w:r>
        <w:rPr>
          <w:rStyle w:val="FootnoteReference"/>
        </w:rPr>
        <w:footnoteRef/>
      </w:r>
      <w:r>
        <w:t xml:space="preserve"> </w:t>
      </w:r>
      <w:r>
        <w:t xml:space="preserve">Ministry of Finance Singapore,</w:t>
      </w:r>
      <w:r>
        <w:t xml:space="preserve"> </w:t>
      </w:r>
      <w:r>
        <w:rPr>
          <w:i/>
          <w:iCs/>
        </w:rPr>
        <w:t xml:space="preserve">Majulah Package</w:t>
      </w:r>
      <w:r>
        <w:t xml:space="preserve">, annonce du Premier ministre Lee Hsien Loong, 20 août 2023. Programme de 7 milliards SGD ciblant les Singapouriens nés entre 1965 et 1973, sous forme d’abondements aux comptes CPF, de bonus retraite et de soutien à l’emploi des seniors.</w:t>
      </w:r>
    </w:p>
  </w:footnote>
  <w:footnote w:id="52">
    <w:p>
      <w:pPr>
        <w:pStyle w:val="FootnoteText"/>
      </w:pPr>
      <w:r>
        <w:rPr>
          <w:rStyle w:val="FootnoteReference"/>
        </w:rPr>
        <w:footnoteRef/>
      </w:r>
      <w:r>
        <w:t xml:space="preserve"> </w:t>
      </w:r>
      <w:r>
        <w:t xml:space="preserve">Ministry of Manpower Singapore,</w:t>
      </w:r>
      <w:r>
        <w:t xml:space="preserve"> </w:t>
      </w:r>
      <w:r>
        <w:rPr>
          <w:i/>
          <w:iCs/>
        </w:rPr>
        <w:t xml:space="preserve">Silver Support Scheme</w:t>
      </w:r>
      <w:r>
        <w:t xml:space="preserve">, 2024 (https://www.silversupport.gov.sg). Critères d’éligibilité : 65 ans et plus, contributions CPF totales à 55 ans inférieures à 140 000 SGD, logement HDB 1-5 pièces, faible revenu familial par tête.</w:t>
      </w:r>
    </w:p>
  </w:footnote>
  <w:footnote w:id="53">
    <w:p>
      <w:pPr>
        <w:pStyle w:val="FootnoteText"/>
      </w:pPr>
      <w:r>
        <w:rPr>
          <w:rStyle w:val="FootnoteReference"/>
        </w:rPr>
        <w:footnoteRef/>
      </w:r>
      <w:r>
        <w:t xml:space="preserve"> </w:t>
      </w:r>
      <w:r>
        <w:t xml:space="preserve">Milliman,</w:t>
      </w:r>
      <w:r>
        <w:t xml:space="preserve"> </w:t>
      </w:r>
      <w:r>
        <w:rPr>
          <w:i/>
          <w:iCs/>
        </w:rPr>
        <w:t xml:space="preserve">Singapore Retirement Savings Gender Gap — 2021 Update</w:t>
      </w:r>
      <w:r>
        <w:t xml:space="preserve">, 2021 (https://www.milliman.com/en/insight/singapore-retirement-savings-gender-gap-update). Solde CPF moyen des femmes : 90,7 % de celui des hommes en 2019, écart porté à 7-8 % pour la tranche 60-65 ans.</w:t>
      </w:r>
    </w:p>
  </w:footnote>
  <w:footnote w:id="54">
    <w:p>
      <w:pPr>
        <w:pStyle w:val="FootnoteText"/>
      </w:pPr>
      <w:r>
        <w:rPr>
          <w:rStyle w:val="FootnoteReference"/>
        </w:rPr>
        <w:footnoteRef/>
      </w:r>
      <w:r>
        <w:t xml:space="preserve"> </w:t>
      </w:r>
      <w:r>
        <w:t xml:space="preserve">Mercer CFA Institute,</w:t>
      </w:r>
      <w:r>
        <w:t xml:space="preserve"> </w:t>
      </w:r>
      <w:r>
        <w:rPr>
          <w:i/>
          <w:iCs/>
        </w:rPr>
        <w:t xml:space="preserve">Global Pension Index 2025</w:t>
      </w:r>
      <w:r>
        <w:t xml:space="preserve">, octobre 2025 (https://www.mercer.com/insights/investments/market-outlook-and-trends/mercer-cfa-global-pension-index/). Classement 2025 : Pays-Bas 1ᵉʳ (A), Islande 2ᵉ (A), Danemark 3ᵉ (A), Israël 4ᵉ (A), Singapour 5ᵉ (A, score 80,0/100). La France ne figure pas dans le top 20.</w:t>
      </w:r>
    </w:p>
  </w:footnote>
  <w:footnote w:id="56">
    <w:p>
      <w:pPr>
        <w:pStyle w:val="FootnoteText"/>
      </w:pPr>
      <w:r>
        <w:rPr>
          <w:rStyle w:val="FootnoteReference"/>
        </w:rPr>
        <w:footnoteRef/>
      </w:r>
      <w:r>
        <w:t xml:space="preserve"> </w:t>
      </w:r>
      <w:r>
        <w:t xml:space="preserve">Juan Gabriel Valdés,</w:t>
      </w:r>
      <w:r>
        <w:t xml:space="preserve"> </w:t>
      </w:r>
      <w:r>
        <w:rPr>
          <w:i/>
          <w:iCs/>
        </w:rPr>
        <w:t xml:space="preserve">Pinochet’s Economists: The Chicago School in Chile</w:t>
      </w:r>
      <w:r>
        <w:t xml:space="preserve">, Cambridge University Press, 1995. Sur le</w:t>
      </w:r>
      <w:r>
        <w:t xml:space="preserve"> </w:t>
      </w:r>
      <w:r>
        <w:rPr>
          <w:i/>
          <w:iCs/>
        </w:rPr>
        <w:t xml:space="preserve">Chile-Chicago Project</w:t>
      </w:r>
      <w:r>
        <w:t xml:space="preserve"> </w:t>
      </w:r>
      <w:r>
        <w:t xml:space="preserve">signé en 1956 entre l’Universidad Católica et Chicago : Harberger y a enseigné régulièrement, et près d’une centaine d’économistes chiliens ont été formés à Chicago entre 1957 et 1980. Le noyau dur — Sergio de Castro, Pablo Baraona, Álvaro Bardón, Rolf Lüders — accède aux postes économiques clés à partir de 1975.</w:t>
      </w:r>
    </w:p>
  </w:footnote>
  <w:footnote w:id="57">
    <w:p>
      <w:pPr>
        <w:pStyle w:val="FootnoteText"/>
      </w:pPr>
      <w:r>
        <w:rPr>
          <w:rStyle w:val="FootnoteReference"/>
        </w:rPr>
        <w:footnoteRef/>
      </w:r>
      <w:r>
        <w:t xml:space="preserve"> </w:t>
      </w:r>
      <w:r>
        <w:rPr>
          <w:i/>
          <w:iCs/>
        </w:rPr>
        <w:t xml:space="preserve">El Ladrillo: Bases de la política económica del gobierno militar chileno</w:t>
      </w:r>
      <w:r>
        <w:t xml:space="preserve">, Centro de Estudios Públicos, Santiago, 1992 (texte officiel publié vingt ans après sa rédaction). Le document, préparé sous la coordination de Sergio de Castro entre 1972 et 1973, a servi de feuille de route économique au régime militaire à partir de 1975.</w:t>
      </w:r>
    </w:p>
  </w:footnote>
  <w:footnote w:id="58">
    <w:p>
      <w:pPr>
        <w:pStyle w:val="FootnoteText"/>
      </w:pPr>
      <w:r>
        <w:rPr>
          <w:rStyle w:val="FootnoteReference"/>
        </w:rPr>
        <w:footnoteRef/>
      </w:r>
      <w:r>
        <w:t xml:space="preserve"> </w:t>
      </w:r>
      <w:r>
        <w:t xml:space="preserve">Sebastián Edwards,</w:t>
      </w:r>
      <w:r>
        <w:t xml:space="preserve"> </w:t>
      </w:r>
      <w:r>
        <w:rPr>
          <w:i/>
          <w:iCs/>
        </w:rPr>
        <w:t xml:space="preserve">The Chile Project: The Story of the Chicago Boys and the Downfall of Neoliberalism</w:t>
      </w:r>
      <w:r>
        <w:t xml:space="preserve">, Princeton University Press, 2023. Récit détaillé de la séquence 1975-1990. José Piñera, ministre du Travail de décembre 1978 à décembre 1980, a publié</w:t>
      </w:r>
      <w:r>
        <w:t xml:space="preserve"> </w:t>
      </w:r>
      <w:r>
        <w:rPr>
          <w:i/>
          <w:iCs/>
        </w:rPr>
        <w:t xml:space="preserve">El cascabel al gato: La batalla por la reforma previsional</w:t>
      </w:r>
      <w:r>
        <w:t xml:space="preserve">, Zig-Zag, 1991, où il revendique la paternité directe du modèle.</w:t>
      </w:r>
    </w:p>
  </w:footnote>
  <w:footnote w:id="59">
    <w:p>
      <w:pPr>
        <w:pStyle w:val="FootnoteText"/>
      </w:pPr>
      <w:r>
        <w:rPr>
          <w:rStyle w:val="FootnoteReference"/>
        </w:rPr>
        <w:footnoteRef/>
      </w:r>
      <w:r>
        <w:t xml:space="preserve"> </w:t>
      </w:r>
      <w:r>
        <w:t xml:space="preserve">Décret-loi n° 3500,</w:t>
      </w:r>
      <w:r>
        <w:t xml:space="preserve"> </w:t>
      </w:r>
      <w:r>
        <w:rPr>
          <w:i/>
          <w:iCs/>
        </w:rPr>
        <w:t xml:space="preserve">Diario Oficial de la República de Chile</w:t>
      </w:r>
      <w:r>
        <w:t xml:space="preserve">, 13 novembre 1980 ; entrée en vigueur 1ᵉʳ mai 1981. Texte intégral et historique des modifications : Biblioteca del Congreso Nacional, Ley Chile (https://www.bcn.cl).</w:t>
      </w:r>
    </w:p>
  </w:footnote>
  <w:footnote w:id="60">
    <w:p>
      <w:pPr>
        <w:pStyle w:val="FootnoteText"/>
      </w:pPr>
      <w:r>
        <w:rPr>
          <w:rStyle w:val="FootnoteReference"/>
        </w:rPr>
        <w:footnoteRef/>
      </w:r>
      <w:r>
        <w:t xml:space="preserve"> </w:t>
      </w:r>
      <w:r>
        <w:t xml:space="preserve">José Piñera,</w:t>
      </w:r>
      <w:r>
        <w:t xml:space="preserve"> </w:t>
      </w:r>
      <w:r>
        <w:rPr>
          <w:i/>
          <w:iCs/>
        </w:rPr>
        <w:t xml:space="preserve">El cascabel al gato</w:t>
      </w:r>
      <w:r>
        <w:t xml:space="preserve">,</w:t>
      </w:r>
      <w:r>
        <w:t xml:space="preserve"> </w:t>
      </w:r>
      <w:r>
        <w:rPr>
          <w:i/>
          <w:iCs/>
        </w:rPr>
        <w:t xml:space="preserve">op. cit.</w:t>
      </w:r>
      <w:r>
        <w:t xml:space="preserve"> </w:t>
      </w:r>
      <w:r>
        <w:t xml:space="preserve">; reprise dans Sebastián Edwards,</w:t>
      </w:r>
      <w:r>
        <w:t xml:space="preserve"> </w:t>
      </w:r>
      <w:r>
        <w:rPr>
          <w:i/>
          <w:iCs/>
        </w:rPr>
        <w:t xml:space="preserve">The Chile Project</w:t>
      </w:r>
      <w:r>
        <w:t xml:space="preserve">,</w:t>
      </w:r>
      <w:r>
        <w:t xml:space="preserve"> </w:t>
      </w:r>
      <w:r>
        <w:rPr>
          <w:i/>
          <w:iCs/>
        </w:rPr>
        <w:t xml:space="preserve">op. cit.</w:t>
      </w:r>
      <w:r>
        <w:t xml:space="preserve"> </w:t>
      </w:r>
      <w:r>
        <w:t xml:space="preserve">Les calculs présentés au moment du lancement du DL 3500 retenaient un rendement réel cible de 5,5 % par an et un taux de remplacement projeté entre 60 et 70 % pour une carrière complète.</w:t>
      </w:r>
    </w:p>
  </w:footnote>
  <w:footnote w:id="61">
    <w:p>
      <w:pPr>
        <w:pStyle w:val="FootnoteText"/>
      </w:pPr>
      <w:r>
        <w:rPr>
          <w:rStyle w:val="FootnoteReference"/>
        </w:rPr>
        <w:footnoteRef/>
      </w:r>
      <w:r>
        <w:t xml:space="preserve"> </w:t>
      </w:r>
      <w:r>
        <w:t xml:space="preserve">Caja de Previsión de la Defensa Nacional (CAPREDENA) — fondée en 1915 — et Dirección de Previsión de Carabineros de Chile (DIPRECA) — fondée en 1933 — couvrent respectivement les forces armées et la police. Les deux régimes, par répartition, restent en vigueur en 2025. Voir Comisión Bravo,</w:t>
      </w:r>
      <w:r>
        <w:t xml:space="preserve"> </w:t>
      </w:r>
      <w:r>
        <w:rPr>
          <w:i/>
          <w:iCs/>
        </w:rPr>
        <w:t xml:space="preserve">Informe Final</w:t>
      </w:r>
      <w:r>
        <w:t xml:space="preserve">, 2015, chapitre 4.</w:t>
      </w:r>
    </w:p>
  </w:footnote>
  <w:footnote w:id="63">
    <w:p>
      <w:pPr>
        <w:pStyle w:val="FootnoteText"/>
      </w:pPr>
      <w:r>
        <w:rPr>
          <w:rStyle w:val="FootnoteReference"/>
        </w:rPr>
        <w:footnoteRef/>
      </w:r>
      <w:r>
        <w:t xml:space="preserve"> </w:t>
      </w:r>
      <w:r>
        <w:t xml:space="preserve">Banque mondiale,</w:t>
      </w:r>
      <w:r>
        <w:t xml:space="preserve"> </w:t>
      </w:r>
      <w:r>
        <w:rPr>
          <w:i/>
          <w:iCs/>
        </w:rPr>
        <w:t xml:space="preserve">Averting the Old Age Crisis: Policies to Protect the Old and Promote Growth</w:t>
      </w:r>
      <w:r>
        <w:t xml:space="preserve">, Oxford University Press, 1994. Le rapport recommandait explicitement le « modèle à trois piliers », dont l’un capitalisé sur le modèle chilien.</w:t>
      </w:r>
    </w:p>
  </w:footnote>
  <w:footnote w:id="64">
    <w:p>
      <w:pPr>
        <w:pStyle w:val="FootnoteText"/>
      </w:pPr>
      <w:r>
        <w:rPr>
          <w:rStyle w:val="FootnoteReference"/>
        </w:rPr>
        <w:footnoteRef/>
      </w:r>
      <w:r>
        <w:t xml:space="preserve"> </w:t>
      </w:r>
      <w:r>
        <w:t xml:space="preserve">Isabel Ortiz, Fabio Durán-Valverde, Stefan Urban, Veronika Wodsak,</w:t>
      </w:r>
      <w:r>
        <w:t xml:space="preserve"> </w:t>
      </w:r>
      <w:r>
        <w:rPr>
          <w:i/>
          <w:iCs/>
        </w:rPr>
        <w:t xml:space="preserve">Reversing Pension Privatizations: Rebuilding Public Pension Systems in Eastern European and Latin American Countries (2000-2018)</w:t>
      </w:r>
      <w:r>
        <w:t xml:space="preserve">, International Labour Organization, ESS Working Paper n° 63, 2018 (https://www.ilo.org/publications/reversing-pension-privatizations-rebuilding-public-pension-systems).</w:t>
      </w:r>
    </w:p>
  </w:footnote>
  <w:footnote w:id="66">
    <w:p>
      <w:pPr>
        <w:pStyle w:val="FootnoteText"/>
      </w:pPr>
      <w:r>
        <w:rPr>
          <w:rStyle w:val="FootnoteReference"/>
        </w:rPr>
        <w:footnoteRef/>
      </w:r>
      <w:r>
        <w:t xml:space="preserve"> </w:t>
      </w:r>
      <w:r>
        <w:t xml:space="preserve">OCDE,</w:t>
      </w:r>
      <w:r>
        <w:t xml:space="preserve"> </w:t>
      </w:r>
      <w:r>
        <w:rPr>
          <w:i/>
          <w:iCs/>
        </w:rPr>
        <w:t xml:space="preserve">Pensions at a Glance 2021</w:t>
      </w:r>
      <w:r>
        <w:t xml:space="preserve">, novembre 2021, fiche Chili. Taux de remplacement net hommes / femmes carrière complète à temps plein, hors PGU : 38,5 % / 35,4 %.</w:t>
      </w:r>
    </w:p>
  </w:footnote>
  <w:footnote w:id="67">
    <w:p>
      <w:pPr>
        <w:pStyle w:val="FootnoteText"/>
      </w:pPr>
      <w:r>
        <w:rPr>
          <w:rStyle w:val="FootnoteReference"/>
        </w:rPr>
        <w:footnoteRef/>
      </w:r>
      <w:r>
        <w:t xml:space="preserve"> </w:t>
      </w:r>
      <w:r>
        <w:t xml:space="preserve">OCDE,</w:t>
      </w:r>
      <w:r>
        <w:t xml:space="preserve"> </w:t>
      </w:r>
      <w:r>
        <w:rPr>
          <w:i/>
          <w:iCs/>
        </w:rPr>
        <w:t xml:space="preserve">Pensions at a Glance 2023</w:t>
      </w:r>
      <w:r>
        <w:t xml:space="preserve">, fiche Chili. Avec PGU intégrée : 45,7 % / 43 % ; moyenne OCDE 50,7 %. La PGU a été créée par la Loi 21419 du 4 février 2022, en fin de second mandat de Sebastián Piñera.</w:t>
      </w:r>
    </w:p>
  </w:footnote>
  <w:footnote w:id="68">
    <w:p>
      <w:pPr>
        <w:pStyle w:val="FootnoteText"/>
      </w:pPr>
      <w:r>
        <w:rPr>
          <w:rStyle w:val="FootnoteReference"/>
        </w:rPr>
        <w:footnoteRef/>
      </w:r>
      <w:r>
        <w:t xml:space="preserve"> </w:t>
      </w:r>
      <w:r>
        <w:t xml:space="preserve">Superintendencia de Pensiones de Chile,</w:t>
      </w:r>
      <w:r>
        <w:t xml:space="preserve"> </w:t>
      </w:r>
      <w:r>
        <w:rPr>
          <w:i/>
          <w:iCs/>
        </w:rPr>
        <w:t xml:space="preserve">Estadísticas: Montos de pensión por modalidad</w:t>
      </w:r>
      <w:r>
        <w:t xml:space="preserve">, données 2024 (https://www.spensiones.cl). Pension contributive AFP moyenne, toutes modalités confondues : entre 200 000 et 250 000 CLP/mois selon la cohorte et le sexe.</w:t>
      </w:r>
    </w:p>
  </w:footnote>
  <w:footnote w:id="69">
    <w:p>
      <w:pPr>
        <w:pStyle w:val="FootnoteText"/>
      </w:pPr>
      <w:r>
        <w:rPr>
          <w:rStyle w:val="FootnoteReference"/>
        </w:rPr>
        <w:footnoteRef/>
      </w:r>
      <w:r>
        <w:t xml:space="preserve"> </w:t>
      </w:r>
      <w:r>
        <w:t xml:space="preserve">Superintendencia de Pensiones,</w:t>
      </w:r>
      <w:r>
        <w:t xml:space="preserve"> </w:t>
      </w:r>
      <w:r>
        <w:rPr>
          <w:i/>
          <w:iCs/>
        </w:rPr>
        <w:t xml:space="preserve">Rentabilidad histórica de los Fondos de Pensiones</w:t>
      </w:r>
      <w:r>
        <w:t xml:space="preserve">, séries 1981-2024. Rendement réel annualisé brut moyen, tous fonds confondus, sur la période 1981-2024 : 3-4 % par an selon les fonds (les fonds A, plus exposés actions, atteignent 4 % sur longue période ; les fonds plus conservateurs descendent vers 2,5 %).</w:t>
      </w:r>
    </w:p>
  </w:footnote>
  <w:footnote w:id="70">
    <w:p>
      <w:pPr>
        <w:pStyle w:val="FootnoteText"/>
      </w:pPr>
      <w:r>
        <w:rPr>
          <w:rStyle w:val="FootnoteReference"/>
        </w:rPr>
        <w:footnoteRef/>
      </w:r>
      <w:r>
        <w:t xml:space="preserve"> </w:t>
      </w:r>
      <w:r>
        <w:t xml:space="preserve">Superintendencia de Pensiones,</w:t>
      </w:r>
      <w:r>
        <w:t xml:space="preserve"> </w:t>
      </w:r>
      <w:r>
        <w:rPr>
          <w:i/>
          <w:iCs/>
        </w:rPr>
        <w:t xml:space="preserve">Licitación 2023-2025 — Comisiones AFP</w:t>
      </w:r>
      <w:r>
        <w:t xml:space="preserve">, 2023 ; KPMG Chile,</w:t>
      </w:r>
      <w:r>
        <w:t xml:space="preserve"> </w:t>
      </w:r>
      <w:r>
        <w:rPr>
          <w:i/>
          <w:iCs/>
        </w:rPr>
        <w:t xml:space="preserve">Reforma Previsional 2025 — Análisis comparado</w:t>
      </w:r>
      <w:r>
        <w:t xml:space="preserve">, mars 2025. Les commissions des sept AFP en vigueur en 2025 : Uno 0,46 %, Modelo 0,58 %, Planvital 1,16 %, Habitat 1,27 %, Capital 1,44 %, Cuprum 1,44 %, Provida 1,45 %. SIS : 1,5 % en moyenne, collecté par les AFP au profit d’un assureur en marché ouvert.</w:t>
      </w:r>
    </w:p>
  </w:footnote>
  <w:footnote w:id="71">
    <w:p>
      <w:pPr>
        <w:pStyle w:val="FootnoteText"/>
      </w:pPr>
      <w:r>
        <w:rPr>
          <w:rStyle w:val="FootnoteReference"/>
        </w:rPr>
        <w:footnoteRef/>
      </w:r>
      <w:r>
        <w:t xml:space="preserve"> </w:t>
      </w:r>
      <w:r>
        <w:t xml:space="preserve">Comisión Asesora Presidencial sobre el Sistema de Pensiones (</w:t>
      </w:r>
      <w:r>
        <w:rPr>
          <w:i/>
          <w:iCs/>
        </w:rPr>
        <w:t xml:space="preserve">Comisión Bravo</w:t>
      </w:r>
      <w:r>
        <w:t xml:space="preserve">),</w:t>
      </w:r>
      <w:r>
        <w:t xml:space="preserve"> </w:t>
      </w:r>
      <w:r>
        <w:rPr>
          <w:i/>
          <w:iCs/>
        </w:rPr>
        <w:t xml:space="preserve">Informe Final</w:t>
      </w:r>
      <w:r>
        <w:t xml:space="preserve">, septembre 2015 (https://www.previsionsocial.gob.cl). Densité de cotisation moyenne mesurée : 51,8 % pour les femmes, 64,7 % pour les hommes, sur la période 1981-2013. INE Chile,</w:t>
      </w:r>
      <w:r>
        <w:t xml:space="preserve"> </w:t>
      </w:r>
      <w:r>
        <w:rPr>
          <w:i/>
          <w:iCs/>
        </w:rPr>
        <w:t xml:space="preserve">Encuesta Suplementaria de Ingresos</w:t>
      </w:r>
      <w:r>
        <w:t xml:space="preserve">, 2024 : informalité du marché du travail entre 27 % (mesure stricte) et 38 % (mesure élargie aux plateformes).</w:t>
      </w:r>
    </w:p>
  </w:footnote>
  <w:footnote w:id="73">
    <w:p>
      <w:pPr>
        <w:pStyle w:val="FootnoteText"/>
      </w:pPr>
      <w:r>
        <w:rPr>
          <w:rStyle w:val="FootnoteReference"/>
        </w:rPr>
        <w:footnoteRef/>
      </w:r>
      <w:r>
        <w:t xml:space="preserve"> </w:t>
      </w:r>
      <w:r>
        <w:rPr>
          <w:i/>
          <w:iCs/>
        </w:rPr>
        <w:t xml:space="preserve">La Tercera</w:t>
      </w:r>
      <w:r>
        <w:t xml:space="preserve">, « La marcha más grande desde el retorno a la democracia », 25 juillet 2016. Les estimations divergent — 750 000 selon les autorités, 1,5 million selon les organisateurs et plusieurs analystes —, mais le caractère historique de l’événement n’est pas contesté.</w:t>
      </w:r>
    </w:p>
  </w:footnote>
  <w:footnote w:id="74">
    <w:p>
      <w:pPr>
        <w:pStyle w:val="FootnoteText"/>
      </w:pPr>
      <w:r>
        <w:rPr>
          <w:rStyle w:val="FootnoteReference"/>
        </w:rPr>
        <w:footnoteRef/>
      </w:r>
      <w:r>
        <w:t xml:space="preserve"> </w:t>
      </w:r>
      <w:r>
        <w:t xml:space="preserve">SERVEL (Servicio Electoral de Chile),</w:t>
      </w:r>
      <w:r>
        <w:t xml:space="preserve"> </w:t>
      </w:r>
      <w:r>
        <w:rPr>
          <w:i/>
          <w:iCs/>
        </w:rPr>
        <w:t xml:space="preserve">Resultados oficiales Plebiscito Nacional 25 de octubre de 2020</w:t>
      </w:r>
      <w:r>
        <w:t xml:space="preserve"> </w:t>
      </w:r>
      <w:r>
        <w:t xml:space="preserve">(https://www.servel.cl). Apruebo : 78,27 %, Rechazo : 21,73 %, participation 50,9 % des inscrits.</w:t>
      </w:r>
    </w:p>
  </w:footnote>
  <w:footnote w:id="75">
    <w:p>
      <w:pPr>
        <w:pStyle w:val="FootnoteText"/>
      </w:pPr>
      <w:r>
        <w:rPr>
          <w:rStyle w:val="FootnoteReference"/>
        </w:rPr>
        <w:footnoteRef/>
      </w:r>
      <w:r>
        <w:t xml:space="preserve"> </w:t>
      </w:r>
      <w:r>
        <w:t xml:space="preserve">Banco Central de Chile,</w:t>
      </w:r>
      <w:r>
        <w:t xml:space="preserve"> </w:t>
      </w:r>
      <w:r>
        <w:rPr>
          <w:i/>
          <w:iCs/>
        </w:rPr>
        <w:t xml:space="preserve">Working Paper n° 991, The Macroeconomic Effects of the COVID-19 Pension Withdrawals in Chile</w:t>
      </w:r>
      <w:r>
        <w:t xml:space="preserve">, 2023 ; BIS Working Paper n° 1176,</w:t>
      </w:r>
      <w:r>
        <w:t xml:space="preserve"> </w:t>
      </w:r>
      <w:r>
        <w:rPr>
          <w:i/>
          <w:iCs/>
        </w:rPr>
        <w:t xml:space="preserve">Pension Withdrawals and Household Behaviour: Evidence from Chile</w:t>
      </w:r>
      <w:r>
        <w:t xml:space="preserve">, 2024. Total des trois retraits autorisés par les Lois 21248 (juillet 2020), 21295 (décembre 2020) et 21330 (avril 2021) : 55,8 milliards de dollars américains, soit 20,3 + 19,2 + 16,3 Md USD.</w:t>
      </w:r>
    </w:p>
  </w:footnote>
  <w:footnote w:id="77">
    <w:p>
      <w:pPr>
        <w:pStyle w:val="FootnoteText"/>
      </w:pPr>
      <w:r>
        <w:rPr>
          <w:rStyle w:val="FootnoteReference"/>
        </w:rPr>
        <w:footnoteRef/>
      </w:r>
      <w:r>
        <w:t xml:space="preserve"> </w:t>
      </w:r>
      <w:r>
        <w:t xml:space="preserve">SERVEL,</w:t>
      </w:r>
      <w:r>
        <w:t xml:space="preserve"> </w:t>
      </w:r>
      <w:r>
        <w:rPr>
          <w:i/>
          <w:iCs/>
        </w:rPr>
        <w:t xml:space="preserve">Resultados oficiales Elección Presidencial 2021</w:t>
      </w:r>
      <w:r>
        <w:t xml:space="preserve"> </w:t>
      </w:r>
      <w:r>
        <w:t xml:space="preserve">— premier tour 21 novembre 2021 (Kast 27,91 %, Boric 25,83 %), second tour 19 décembre 2021 (Boric 55,87 %, Kast 44,13 %).</w:t>
      </w:r>
    </w:p>
  </w:footnote>
  <w:footnote w:id="78">
    <w:p>
      <w:pPr>
        <w:pStyle w:val="FootnoteText"/>
      </w:pPr>
      <w:r>
        <w:rPr>
          <w:rStyle w:val="FootnoteReference"/>
        </w:rPr>
        <w:footnoteRef/>
      </w:r>
      <w:r>
        <w:t xml:space="preserve"> </w:t>
      </w:r>
      <w:r>
        <w:t xml:space="preserve">Congreso Nacional de Chile,</w:t>
      </w:r>
      <w:r>
        <w:t xml:space="preserve"> </w:t>
      </w:r>
      <w:r>
        <w:rPr>
          <w:i/>
          <w:iCs/>
        </w:rPr>
        <w:t xml:space="preserve">Resultado votación en sala — Proyecto de Ley de Reforma Previsional</w:t>
      </w:r>
      <w:r>
        <w:t xml:space="preserve">, 29 janvier 2025 ; Loi n° 21735,</w:t>
      </w:r>
      <w:r>
        <w:t xml:space="preserve"> </w:t>
      </w:r>
      <w:r>
        <w:rPr>
          <w:i/>
          <w:iCs/>
        </w:rPr>
        <w:t xml:space="preserve">Diario Oficial</w:t>
      </w:r>
      <w:r>
        <w:t xml:space="preserve">, mars 2025 (https://www.bcn.cl). Vote final : 110 pour, 38 contre, 2 abstentions.</w:t>
      </w:r>
    </w:p>
  </w:footnote>
  <w:footnote w:id="79">
    <w:p>
      <w:pPr>
        <w:pStyle w:val="FootnoteText"/>
      </w:pPr>
      <w:r>
        <w:rPr>
          <w:rStyle w:val="FootnoteReference"/>
        </w:rPr>
        <w:footnoteRef/>
      </w:r>
      <w:r>
        <w:t xml:space="preserve"> </w:t>
      </w:r>
      <w:r>
        <w:t xml:space="preserve">KPMG Chile,</w:t>
      </w:r>
      <w:r>
        <w:t xml:space="preserve"> </w:t>
      </w:r>
      <w:r>
        <w:rPr>
          <w:i/>
          <w:iCs/>
        </w:rPr>
        <w:t xml:space="preserve">Reforma Previsional 2025 — Implementación de la nueva cotización del empleador</w:t>
      </w:r>
      <w:r>
        <w:t xml:space="preserve">, février 2025 ; Lockton Chile,</w:t>
      </w:r>
      <w:r>
        <w:t xml:space="preserve"> </w:t>
      </w:r>
      <w:r>
        <w:rPr>
          <w:i/>
          <w:iCs/>
        </w:rPr>
        <w:t xml:space="preserve">Notas de la Reforma Previsional 21735</w:t>
      </w:r>
      <w:r>
        <w:t xml:space="preserve">, mars 2025. Calendrier : montée progressive sur dix ans jusqu’à 8,5 % en 2035 (1 % en août 2025, paliers annuels, terme en 2035). Décomposition : 4,5 % vers compte individuel AFP du salarié + 1,5 % FAPP (prêt remboursable individuel) + 2,5 % FAPP (compensation intergénérationnelle et de genre). Le FAPP est une nouvelle entité publique solidaire, hors AFP.</w:t>
      </w:r>
    </w:p>
  </w:footnote>
  <w:footnote w:id="80">
    <w:p>
      <w:pPr>
        <w:pStyle w:val="FootnoteText"/>
      </w:pPr>
      <w:r>
        <w:rPr>
          <w:rStyle w:val="FootnoteReference"/>
        </w:rPr>
        <w:footnoteRef/>
      </w:r>
      <w:r>
        <w:t xml:space="preserve"> </w:t>
      </w:r>
      <w:r>
        <w:t xml:space="preserve">OCDE,</w:t>
      </w:r>
      <w:r>
        <w:t xml:space="preserve"> </w:t>
      </w:r>
      <w:r>
        <w:rPr>
          <w:i/>
          <w:iCs/>
        </w:rPr>
        <w:t xml:space="preserve">Pensions at a Glance 2025</w:t>
      </w:r>
      <w:r>
        <w:t xml:space="preserve">, fiche Chili, novembre 2025 (https://www.oecd.org/pensions/pensions-at-a-glance/). Projection post-réforme 21735 pleinement déployée : taux de remplacement net 61,3 % hommes / 61,1 % femmes, à comparer aux 38,5 % / 35,4 % de la fiche 2021 hors PGU.</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Capitalisons</dc:title>
  <dc:creator>Où Va l’Argent</dc:creator>
  <dc:language>fr-FR</dc:language>
  <cp:keywords/>
  <dcterms:created xsi:type="dcterms:W3CDTF">2026-05-16T20:49:19Z</dcterms:created>
  <dcterms:modified xsi:type="dcterms:W3CDTF">2026-05-16T20:49:19Z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documentclass">
    <vt:lpwstr>book</vt:lpwstr>
  </property>
  <property fmtid="{D5CDD505-2E9C-101B-9397-08002B2CF9AE}" pid="4" name="fontsize">
    <vt:lpwstr>11pt</vt:lpwstr>
  </property>
  <property fmtid="{D5CDD505-2E9C-101B-9397-08002B2CF9AE}" pid="5" name="geometry">
    <vt:lpwstr/>
  </property>
  <property fmtid="{D5CDD505-2E9C-101B-9397-08002B2CF9AE}" pid="6" name="linestretch">
    <vt:lpwstr>1.4</vt:lpwstr>
  </property>
  <property fmtid="{D5CDD505-2E9C-101B-9397-08002B2CF9AE}" pid="7" name="links-as-notes">
    <vt:lpwstr>True</vt:lpwstr>
  </property>
  <property fmtid="{D5CDD505-2E9C-101B-9397-08002B2CF9AE}" pid="8" name="mainfont">
    <vt:lpwstr>Cambria</vt:lpwstr>
  </property>
  <property fmtid="{D5CDD505-2E9C-101B-9397-08002B2CF9AE}" pid="9" name="notes-after-punctuation">
    <vt:lpwstr>True</vt:lpwstr>
  </property>
  <property fmtid="{D5CDD505-2E9C-101B-9397-08002B2CF9AE}" pid="10" name="numbersections">
    <vt:lpwstr>False</vt:lpwstr>
  </property>
  <property fmtid="{D5CDD505-2E9C-101B-9397-08002B2CF9AE}" pid="11" name="reference-section-title">
    <vt:lpwstr>Notes</vt:lpwstr>
  </property>
  <property fmtid="{D5CDD505-2E9C-101B-9397-08002B2CF9AE}" pid="12" name="secnumdepth">
    <vt:lpwstr>0</vt:lpwstr>
  </property>
  <property fmtid="{D5CDD505-2E9C-101B-9397-08002B2CF9AE}" pid="13" name="subtitle">
    <vt:lpwstr>La France et son capital absent</vt:lpwstr>
  </property>
  <property fmtid="{D5CDD505-2E9C-101B-9397-08002B2CF9AE}" pid="14" name="toc">
    <vt:lpwstr>True</vt:lpwstr>
  </property>
  <property fmtid="{D5CDD505-2E9C-101B-9397-08002B2CF9AE}" pid="15" name="toc-depth">
    <vt:lpwstr>2</vt:lpwstr>
  </property>
</Properties>
</file>