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2" w:name="vingt-cinq-ans-pour-basculer"/>
    <w:p>
      <w:pPr>
        <w:pStyle w:val="Heading1"/>
      </w:pPr>
      <w:r>
        <w:t xml:space="preserve">5. Vingt-cinq ans pour basculer</w:t>
      </w:r>
    </w:p>
    <w:p>
      <w:pPr>
        <w:pStyle w:val="FirstParagraph"/>
      </w:pPr>
      <w:r>
        <w:t xml:space="preserve">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pPr>
        <w:pStyle w:val="BodyText"/>
      </w:pPr>
      <w:r>
        <w:t xml:space="preserve">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pPr>
        <w:pStyle w:val="BodyText"/>
      </w:pPr>
      <w:r>
        <w:t xml:space="preserve">Le chapitre répond donc à une triple question. Quels sont les enjeux structurels à arbitrer ? Quelle méthode politique pour les arbitrer ? Quel calendrier opérationnel sur vingt-cinq ans ? Trois questions, trois sections. Les enjeux. La méthode. L’agenda.</w:t>
      </w:r>
    </w:p>
    <w:p>
      <w:r>
        <w:pict>
          <v:rect style="width:0;height:1.5pt" o:hralign="center" o:hrstd="t" o:hr="t"/>
        </w:pict>
      </w:r>
    </w:p>
    <w:bookmarkStart w:id="40" w:name="section-a-les-grands-enjeux-structurels"/>
    <w:p>
      <w:pPr>
        <w:pStyle w:val="Heading2"/>
      </w:pPr>
      <w:r>
        <w:t xml:space="preserve">Section A — Les grands enjeux structurels</w:t>
      </w:r>
    </w:p>
    <w:bookmarkStart w:id="13" w:name="lenjeu-de-la-temporalité"/>
    <w:p>
      <w:pPr>
        <w:pStyle w:val="Heading3"/>
      </w:pPr>
      <w:r>
        <w:t xml:space="preserve">5.1 L’enjeu de la temporalité</w:t>
      </w:r>
    </w:p>
    <w:p>
      <w:pPr>
        <w:pStyle w:val="FirstParagraph"/>
      </w:pPr>
      <w:r>
        <w:t xml:space="preserve">La première équation n’est pas financière. Elle est temporelle.</w:t>
      </w:r>
    </w:p>
    <w:p>
      <w:pPr>
        <w:pStyle w:val="BodyText"/>
      </w:pPr>
      <w:r>
        <w:t xml:space="preserve">Le débat français oscille depuis trente ans entre deux mirages.</w:t>
      </w:r>
      <w:r>
        <w:t xml:space="preserve"> </w:t>
      </w:r>
      <w:r>
        <w:rPr>
          <w:i/>
          <w:iCs/>
        </w:rPr>
        <w:t xml:space="preserve">« Tout, tout de suite »</w:t>
      </w:r>
      <w:r>
        <w:t xml:space="preserve"> </w:t>
      </w:r>
      <w:r>
        <w:t xml:space="preserve">— la version idéaliste, qui imagine qu’une réforme structurelle peut entrer en vigueur à cent pour cent dans un mandat présidentiel.</w:t>
      </w:r>
      <w:r>
        <w:t xml:space="preserve"> </w:t>
      </w:r>
      <w:r>
        <w:rPr>
          <w:i/>
          <w:iCs/>
        </w:rPr>
        <w:t xml:space="preserve">« Ce sera trop long, donc inutile »</w:t>
      </w:r>
      <w:r>
        <w:t xml:space="preserve"> </w:t>
      </w:r>
      <w:r>
        <w:t xml:space="preserve">— la version résignée, qui justifie l’inaction par la durée. Les cas étrangers tranchent net. Suède : trois ans de négociation, cinq ans de loi, seize ans de cohortes. Royaume-Uni : six ans de Pensions Commission, sept ans de</w:t>
      </w:r>
      <w:r>
        <w:t xml:space="preserve"> </w:t>
      </w:r>
      <w:r>
        <w:rPr>
          <w:i/>
          <w:iCs/>
        </w:rPr>
        <w:t xml:space="preserve">staging</w:t>
      </w:r>
      <w:r>
        <w:t xml:space="preserve">. Canada : un an d’accord fédéral-provinces, cinq ans de hausse paramétrique. Australie : sept ans entre l’Accord Hawke-Kelty et le vote, trente-trois ans pour atteindre les 12 %</w:t>
      </w:r>
      <w:r>
        <w:rPr>
          <w:rStyle w:val="FootnoteReference"/>
        </w:rPr>
        <w:footnoteReference w:id="9"/>
      </w:r>
      <w:r>
        <w:t xml:space="preserve">. Aucun pays comparable n’a fait moins de cinq ans sur la séquence accord-loi-déploiement. Aucun n’a fait moins de vingt-cinq ans sur la séquence loi-maturité.</w:t>
      </w:r>
    </w:p>
    <w:p>
      <w:pPr>
        <w:pStyle w:val="BodyText"/>
      </w:pPr>
      <w:r>
        <w:t xml:space="preserve">La démographie française interdit le luxe d’attendre. Indicateur conjoncturel de fécondité 2025 : 1,56 enfant par femme, plus bas depuis 1915 hors guerres</w:t>
      </w:r>
      <w:r>
        <w:rPr>
          <w:rStyle w:val="FootnoteReference"/>
        </w:rPr>
        <w:footnoteReference w:id="10"/>
      </w:r>
      <w:r>
        <w:t xml:space="preserve">. Ratio cotisants-retraités projeté par le COR : 1,79 aujourd’hui, 1,41 en 2070</w:t>
      </w:r>
      <w:r>
        <w:rPr>
          <w:rStyle w:val="FootnoteReference"/>
        </w:rPr>
        <w:footnoteReference w:id="11"/>
      </w:r>
      <w:r>
        <w:t xml:space="preserve">. Si nous voulons que les 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pPr>
        <w:pStyle w:val="BodyText"/>
      </w:pPr>
      <w:r>
        <w:t xml:space="preserve">Une dernière leçon, et pas la moindre. Dans tous les cas étrangers qui ont</w:t>
      </w:r>
      <w:r>
        <w:t xml:space="preserve"> </w:t>
      </w:r>
      <w:r>
        <w:rPr>
          <w:b/>
          <w:bCs/>
        </w:rPr>
        <w:t xml:space="preserve">tenu</w:t>
      </w:r>
      <w:r>
        <w:t xml:space="preserve">, les hausses futures de cotisation sont</w:t>
      </w:r>
      <w:r>
        <w:t xml:space="preserve"> </w:t>
      </w:r>
      <w:r>
        <w:rPr>
          <w:b/>
          <w:bCs/>
        </w:rPr>
        <w:t xml:space="preserve">inscrites dans la loi</w:t>
      </w:r>
      <w:r>
        <w:t xml:space="preserve">, pas dans une feuille de route. L’Australie en a fait l’amère expérience : Howard a gelé le</w:t>
      </w:r>
      <w:r>
        <w:t xml:space="preserve"> </w:t>
      </w:r>
      <w:r>
        <w:rPr>
          <w:i/>
          <w:iCs/>
        </w:rPr>
        <w:t xml:space="preserve">Superannuation Guarantee</w:t>
      </w:r>
      <w:r>
        <w:t xml:space="preserve"> </w:t>
      </w:r>
      <w:r>
        <w:t xml:space="preserve">à 9 % en 2002, Abbott l’a regelé en 2014</w:t>
      </w:r>
      <w:r>
        <w:rPr>
          <w:rStyle w:val="FootnoteReference"/>
        </w:rPr>
        <w:footnoteReference w:id="12"/>
      </w:r>
      <w:r>
        <w:t xml:space="preserve">.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bookmarkEnd w:id="13"/>
    <w:bookmarkStart w:id="20" w:name="lenjeu-du-double-paiement"/>
    <w:p>
      <w:pPr>
        <w:pStyle w:val="Heading3"/>
      </w:pPr>
      <w:r>
        <w:t xml:space="preserve">5.2 L’enjeu du double paiement</w:t>
      </w:r>
    </w:p>
    <w:p>
      <w:pPr>
        <w:pStyle w:val="FirstParagraph"/>
      </w:pPr>
      <w:r>
        <w:t xml:space="preserve">C’est ici que le débat français déraille depuis trente ans. Le</w:t>
      </w:r>
      <w:r>
        <w:t xml:space="preserve"> </w:t>
      </w:r>
      <w:r>
        <w:rPr>
          <w:i/>
          <w:iCs/>
        </w:rPr>
        <w:t xml:space="preserve">double paiement</w:t>
      </w:r>
      <w:r>
        <w:t xml:space="preserve">, présenté comme un mur, est en réalité une équation à plusieurs inconnues. Aucun pays comparable ne l’a résolue par l’impôt général.</w:t>
      </w:r>
    </w:p>
    <w:p>
      <w:pPr>
        <w:pStyle w:val="BodyText"/>
      </w:pPr>
      <w:r>
        <w:t xml:space="preserve">L’équation, d’abord. Dans toute transition de la répartition pure vers un système mixte, les actifs financent simultanément deux choses. Les retraités d’aujourd’hui, via les cotisations existantes —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w:t>
      </w:r>
      <w:r>
        <w:t xml:space="preserve"> </w:t>
      </w:r>
      <w:r>
        <w:rPr>
          <w:b/>
          <w:bCs/>
        </w:rPr>
        <w:t xml:space="preserve">qui</w:t>
      </w:r>
      <w:r>
        <w:t xml:space="preserve"> </w:t>
      </w:r>
      <w:r>
        <w:t xml:space="preserve">l’absorbe.</w:t>
      </w:r>
    </w:p>
    <w:p>
      <w:pPr>
        <w:pStyle w:val="BodyText"/>
      </w:pPr>
      <w:r>
        <w:t xml:space="preserve">Six leviers documentés, chiffrés, mobilisables. Le FRR d’abord, 20,4 Md€ d’encours fin 2024, mobilisables en dotation initiale unique</w:t>
      </w:r>
      <w:r>
        <w:rPr>
          <w:rStyle w:val="FootnoteReference"/>
        </w:rPr>
        <w:footnoteReference w:id="14"/>
      </w:r>
      <w:r>
        <w:t xml:space="preserve">. Les eurobonds retraite, à hauteur de 50 Md€ d’amorçage, soit ~2 Md€/an d’intérêts pour 1,7 point de dette publique brute</w:t>
      </w:r>
      <w:r>
        <w:rPr>
          <w:rStyle w:val="FootnoteReference"/>
        </w:rPr>
        <w:footnoteReference w:id="15"/>
      </w:r>
      <w:r>
        <w:t xml:space="preserve">. La CSG, dont chaque point représente 16-17 Md€/an de flux pérenne, en conflit politique avec le financement de la santé</w:t>
      </w:r>
      <w:r>
        <w:rPr>
          <w:rStyle w:val="FootnoteReference"/>
        </w:rPr>
        <w:footnoteReference w:id="16"/>
      </w:r>
      <w:r>
        <w:t xml:space="preserve">. Le redéploiement progressif d’un point d’AGIRC-ARRCO (8-10 Md€/an), à condition d’un accord paritaire. La sous-indexation des pensions de 1 point sous l’inflation (~1,4 Md€/an d’économie). Et surtout la cotisation patronale nouvelle, qui rapporte ~11 Md€/an par point, soit ~22 Md€/an à 2 points sur la masse salariale française</w:t>
      </w:r>
      <w:r>
        <w:rPr>
          <w:rStyle w:val="FootnoteReference"/>
        </w:rPr>
        <w:footnoteReference w:id="17"/>
      </w:r>
      <w:r>
        <w:t xml:space="preserve">.</w:t>
      </w:r>
    </w:p>
    <w:p>
      <w:pPr>
        <w:pStyle w:val="BodyText"/>
      </w:pPr>
      <w:r>
        <w:t xml:space="preserve">L’épaisseur du trou à combler éclaire l’arbitrage. Le COR projette un déficit annuel du système de retraites de -5 Md€ en 2025, -6,6 Md€ en 2030,</w:t>
      </w:r>
      <w:r>
        <w:t xml:space="preserve"> </w:t>
      </w:r>
      <w:r>
        <w:rPr>
          <w:b/>
          <w:bCs/>
        </w:rPr>
        <w:t xml:space="preserve">-45 Md€ en 2070</w:t>
      </w:r>
      <w:r>
        <w:rPr>
          <w:rStyle w:val="FootnoteReference"/>
        </w:rPr>
        <w:footnoteReference w:id="18"/>
      </w:r>
      <w:r>
        <w:t xml:space="preserve">. Au-dessus, le passif implicite mesuré par la Commission européenne :</w:t>
      </w:r>
      <w:r>
        <w:t xml:space="preserve"> </w:t>
      </w:r>
      <w:r>
        <w:rPr>
          <w:b/>
          <w:bCs/>
        </w:rPr>
        <w:t xml:space="preserve">~417 % du PIB</w:t>
      </w:r>
      <w:r>
        <w:t xml:space="preserve">, les promesses déjà actualisées</w:t>
      </w:r>
      <w:r>
        <w:rPr>
          <w:rStyle w:val="FootnoteReference"/>
        </w:rPr>
        <w:footnoteReference w:id="19"/>
      </w:r>
      <w:r>
        <w:t xml:space="preserve">. Ce chiffre ne signifie pas qu’il faille payer 417 % du PIB demain. Il signifie que la France a déjà</w:t>
      </w:r>
      <w:r>
        <w:t xml:space="preserve"> </w:t>
      </w:r>
      <w:r>
        <w:rPr>
          <w:i/>
          <w:iCs/>
        </w:rPr>
        <w:t xml:space="preserve">promis</w:t>
      </w:r>
      <w:r>
        <w:t xml:space="preserve"> </w:t>
      </w:r>
      <w:r>
        <w:t xml:space="preserve">l’équivalent. La capitalisation ne résorbe pas ce passif. Elle évite seulement de le creuser pour les générations à venir.</w:t>
      </w:r>
    </w:p>
    <w:p>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 aucun, j’insiste, n’a poussé un levier à son maximum.</w:t>
      </w:r>
    </w:p>
    <w:bookmarkEnd w:id="20"/>
    <w:bookmarkStart w:id="25" w:name="lenjeu-de-la-segmentation"/>
    <w:p>
      <w:pPr>
        <w:pStyle w:val="Heading3"/>
      </w:pPr>
      <w:r>
        <w:t xml:space="preserve">5.3 L’enjeu de la segmentation</w:t>
      </w:r>
    </w:p>
    <w:p>
      <w:pPr>
        <w:pStyle w:val="FirstParagraph"/>
      </w:pPr>
      <w:r>
        <w:t xml:space="preserve">Tous les actifs en même temps ? Ou par étapes ? Personne, à l’étranger, n’a fait</w:t>
      </w:r>
      <w:r>
        <w:t xml:space="preserve"> </w:t>
      </w:r>
      <w:r>
        <w:rPr>
          <w:i/>
          <w:iCs/>
        </w:rPr>
        <w:t xml:space="preserve">« tous en même temps »</w:t>
      </w:r>
      <w:r>
        <w:t xml:space="preserve">. C’est techniquement impossible et politiquement explosif. Tout le monde a segmenté.</w:t>
      </w:r>
    </w:p>
    <w:p>
      <w:pPr>
        <w:pStyle w:val="BodyText"/>
      </w:pPr>
      <w:r>
        <w:t xml:space="preserve">Trois pistes structurent le terrain. La</w:t>
      </w:r>
      <w:r>
        <w:t xml:space="preserve"> </w:t>
      </w:r>
      <w:r>
        <w:rPr>
          <w:b/>
          <w:bCs/>
        </w:rPr>
        <w:t xml:space="preserve">cohorte d’âge</w:t>
      </w:r>
      <w:r>
        <w:t xml:space="preserve">, modèle suédois 1938-1954 et polonais post-1969. C’est le levier le plus puissant techniquement, parce que les jeunes générations captent intégralement le rendement composé sur quarante ans</w:t>
      </w:r>
      <w:r>
        <w:rPr>
          <w:rStyle w:val="FootnoteReference"/>
        </w:rPr>
        <w:footnoteReference w:id="21"/>
      </w:r>
      <w:r>
        <w:t xml:space="preserve">. C’est aussi le plus exposé au contentieux : l’article 14 de la Convention européenne admet les différences par âge si elles sont objectivement justifiées (jurisprudence</w:t>
      </w:r>
      <w:r>
        <w:t xml:space="preserve"> </w:t>
      </w:r>
      <w:r>
        <w:rPr>
          <w:i/>
          <w:iCs/>
        </w:rPr>
        <w:t xml:space="preserve">Stec</w:t>
      </w:r>
      <w:r>
        <w:t xml:space="preserve"> </w:t>
      </w:r>
      <w:r>
        <w:t xml:space="preserve">2006), mais une rupture binaire entre les nés ≥ 2000 (capitalisation totale) et les nés ≤ 1979 (répartition totale) heurterait frontalement. Mitigation : transition progressive avec paliers annuels, et minimum garanti pour les cohortes intermédiaires.</w:t>
      </w:r>
    </w:p>
    <w:p>
      <w:pPr>
        <w:pStyle w:val="BodyText"/>
      </w:pPr>
      <w:r>
        <w:t xml:space="preserve">La</w:t>
      </w:r>
      <w:r>
        <w:t xml:space="preserve"> </w:t>
      </w:r>
      <w:r>
        <w:rPr>
          <w:b/>
          <w:bCs/>
        </w:rPr>
        <w:t xml:space="preserve">taille d’entreprise</w:t>
      </w:r>
      <w:r>
        <w:t xml:space="preserve">, ensuite, modèle UK</w:t>
      </w:r>
      <w:r>
        <w:t xml:space="preserve"> </w:t>
      </w:r>
      <w:r>
        <w:rPr>
          <w:i/>
          <w:iCs/>
        </w:rPr>
        <w:t xml:space="preserve">staging</w:t>
      </w:r>
      <w:r>
        <w:t xml:space="preserve"> </w:t>
      </w:r>
      <w:r>
        <w:t xml:space="preserve">2012-2018. Six ans pour déployer un auto-enrolment universel, en commençant par les très grandes entreprises (octobre 2012, plus de 50 000 salariés) et en finissant par les TPE (avril 2018). Au 6 avril 2019, taux de cotisation à 8 % et couverture estimée à 80 % des éligibles</w:t>
      </w:r>
      <w:r>
        <w:rPr>
          <w:rStyle w:val="FootnoteReference"/>
        </w:rPr>
        <w:footnoteReference w:id="22"/>
      </w:r>
      <w:r>
        <w:t xml:space="preserve">. Le tier juridique français est faible : la jurisprudence sur les seuils d’entreprise est large. C’est la voie la plus pragmatique pour ouvrir un terrain, et c’est celle que retient l’agenda en Section C.</w:t>
      </w:r>
    </w:p>
    <w:p>
      <w:pPr>
        <w:pStyle w:val="BodyText"/>
      </w:pPr>
      <w:r>
        <w:t xml:space="preserve">L’</w:t>
      </w:r>
      <w:r>
        <w:rPr>
          <w:b/>
          <w:bCs/>
        </w:rPr>
        <w:t xml:space="preserve">opt-in volontaire</w:t>
      </w:r>
      <w:r>
        <w:t xml:space="preserve"> </w:t>
      </w:r>
      <w:r>
        <w:t xml:space="preserve">seul, enfin, mérite une mise en garde. C’est juridiquement parfait — zéro contrainte, donc zéro contentieux. C’est aussi le plus visiblement échoué. Le Riester allemand plafonne à ~9,7 millions d’actifs en 2024 pour un potentiel de 35 millions</w:t>
      </w:r>
      <w:r>
        <w:rPr>
          <w:rStyle w:val="FootnoteReference"/>
        </w:rPr>
        <w:footnoteReference w:id="23"/>
      </w:r>
      <w:r>
        <w:t xml:space="preserve">. Le PER français affiche 11 millions de contrats, mais l’encours moyen est de ~3 400 € : il sert d’optimisation fiscale aux CSP+, pas de système retraite collectif</w:t>
      </w:r>
      <w:r>
        <w:rPr>
          <w:rStyle w:val="FootnoteReference"/>
        </w:rPr>
        <w:footnoteReference w:id="24"/>
      </w:r>
      <w:r>
        <w:t xml:space="preserve">. Sans obligation ou auto-enrolment, le volontariat ne touche que les déjà-épargnants.</w:t>
      </w:r>
    </w:p>
    <w:p>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 la cohorte radicale ne l’est pas.</w:t>
      </w:r>
    </w:p>
    <w:bookmarkEnd w:id="25"/>
    <w:bookmarkStart w:id="32" w:name="lenjeu-de-lacceptabilité-sociale"/>
    <w:p>
      <w:pPr>
        <w:pStyle w:val="Heading3"/>
      </w:pPr>
      <w:r>
        <w:t xml:space="preserve">5.4 L’enjeu de l’acceptabilité sociale</w:t>
      </w:r>
    </w:p>
    <w:p>
      <w:pPr>
        <w:pStyle w:val="FirstParagraph"/>
      </w:pPr>
      <w:r>
        <w:t xml:space="preserve">Le rapport de force de 2026 n’est plus celui de 1997, ni celui de 2010. L’opinion a basculé.</w:t>
      </w:r>
    </w:p>
    <w:p>
      <w:pPr>
        <w:pStyle w:val="BodyText"/>
      </w:pPr>
      <w:r>
        <w:t xml:space="preserve">Le sondage</w:t>
      </w:r>
      <w:r>
        <w:t xml:space="preserve"> </w:t>
      </w:r>
      <w:r>
        <w:rPr>
          <w:b/>
          <w:bCs/>
        </w:rPr>
        <w:t xml:space="preserve">Odoxa-Groupama de novembre 2025</w:t>
      </w:r>
      <w:r>
        <w:t xml:space="preserve"> </w:t>
      </w:r>
      <w:r>
        <w:t xml:space="preserve">mesure que</w:t>
      </w:r>
      <w:r>
        <w:t xml:space="preserve"> </w:t>
      </w:r>
      <w:r>
        <w:rPr>
          <w:b/>
          <w:bCs/>
        </w:rPr>
        <w:t xml:space="preserve">57 % des Français se déclarent favorables à un système mixte</w:t>
      </w:r>
      <w:r>
        <w:t xml:space="preserve"> </w:t>
      </w:r>
      <w:r>
        <w:t xml:space="preserve">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26"/>
      </w:r>
      <w:r>
        <w:t xml:space="preserve">. Ce sont des chiffres qu’on n’a jamais vus depuis qu’on les mesure. Le baromètre AMF d’octobre 2024, sur 2 044 répondants, confirme : 58 % des Français inquiets pour leur retraite, 66 % chez les non-retraités</w:t>
      </w:r>
      <w:r>
        <w:rPr>
          <w:rStyle w:val="FootnoteReference"/>
        </w:rPr>
        <w:footnoteReference w:id="27"/>
      </w:r>
      <w:r>
        <w:t xml:space="preserve">.</w:t>
      </w:r>
    </w:p>
    <w:p>
      <w:pPr>
        <w:pStyle w:val="BodyText"/>
      </w:pPr>
      <w:r>
        <w:t xml:space="preserve">Le rapport de force syndical est plus contrasté. La CGT, FO et l’UNSA refusent par principe. La CFDT s’ouvre prudemment, sous condition d’équité et de généralisation — c’est la position publique de Marylise Léon. La CFE-CGC, sous la présidence de Christelle Thieffine, est favorable explicite, conditionnée à la préservation du socle répartition</w:t>
      </w:r>
      <w:r>
        <w:rPr>
          <w:rStyle w:val="FootnoteReference"/>
        </w:rPr>
        <w:footnoteReference w:id="28"/>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w:t>
      </w:r>
      <w:r>
        <w:t xml:space="preserve"> </w:t>
      </w:r>
      <w:r>
        <w:rPr>
          <w:i/>
          <w:iCs/>
        </w:rPr>
        <w:t xml:space="preserve">Pensioenakkoord</w:t>
      </w:r>
      <w:r>
        <w:t xml:space="preserve">.</w:t>
      </w:r>
    </w:p>
    <w:p>
      <w:pPr>
        <w:pStyle w:val="BodyText"/>
      </w:pPr>
      <w:r>
        <w:t xml:space="preserve">L’histoire récente des blocages français mérite d’être posée sans euphémisme.</w:t>
      </w:r>
      <w:r>
        <w:t xml:space="preserve"> </w:t>
      </w:r>
      <w:r>
        <w:rPr>
          <w:b/>
          <w:bCs/>
        </w:rPr>
        <w:t xml:space="preserve">1997 — Loi Thomas.</w:t>
      </w:r>
      <w:r>
        <w:t xml:space="preserve"> </w:t>
      </w:r>
      <w:r>
        <w:t xml:space="preserve">Votée par majorité Juppé sans accord d’opposition. Décrets jamais signés par Jospin après la dissolution de juin 1997. Abrogée en 2002</w:t>
      </w:r>
      <w:r>
        <w:rPr>
          <w:rStyle w:val="FootnoteReference"/>
        </w:rPr>
        <w:footnoteReference w:id="29"/>
      </w:r>
      <w:r>
        <w:t xml:space="preserve">.</w:t>
      </w:r>
      <w:r>
        <w:t xml:space="preserve"> </w:t>
      </w:r>
      <w:r>
        <w:rPr>
          <w:b/>
          <w:bCs/>
        </w:rPr>
        <w:t xml:space="preserve">2019 — Réforme Delevoye.</w:t>
      </w:r>
      <w:r>
        <w:t xml:space="preserve"> </w:t>
      </w:r>
      <w:r>
        <w:t xml:space="preserve">Système universel à points, négocié dans un esprit technocratique sans accord syndical formel. Grèves RATP-SNCF de décembre 2019 à janvier 2020. La pandémie enterre la suite</w:t>
      </w:r>
      <w:r>
        <w:rPr>
          <w:rStyle w:val="FootnoteReference"/>
        </w:rPr>
        <w:footnoteReference w:id="30"/>
      </w:r>
      <w:r>
        <w:t xml:space="preserve">.</w:t>
      </w:r>
      <w:r>
        <w:t xml:space="preserve"> </w:t>
      </w:r>
      <w:r>
        <w:rPr>
          <w:b/>
          <w:bCs/>
        </w:rPr>
        <w:t xml:space="preserve">2023 — Réforme Borne.</w:t>
      </w:r>
      <w:r>
        <w:t xml:space="preserve"> </w:t>
      </w:r>
      <w:r>
        <w:t xml:space="preserve">Recul à 64 ans validé par 49.3, sans accord syndical ni parlementaire formel. Coût politique massif. Suspension partielle dans la LFSS 2026</w:t>
      </w:r>
      <w:r>
        <w:rPr>
          <w:rStyle w:val="FootnoteReference"/>
        </w:rPr>
        <w:footnoteReference w:id="31"/>
      </w:r>
      <w:r>
        <w:t xml:space="preserve">.</w:t>
      </w:r>
    </w:p>
    <w:p>
      <w:pPr>
        <w:pStyle w:val="BodyText"/>
      </w:pPr>
      <w:r>
        <w:t xml:space="preserve">Trois échecs, une même cause : aucun de ces textes n’avait été précédé d’un accord pluripartite formalisé. Inversement, partout où le pacte préalable a été signé — Suède 1994, Australie 1985, Royaume-Uni 2002-2008, Pays-Bas 2019-2023 — la réforme a tenu vingt ou trente ans. L’opinion est mûre. Le rapport syndical est négociable. Reste à savoir si le politique saura, cette fois, négocier avant de voter.</w:t>
      </w:r>
    </w:p>
    <w:bookmarkEnd w:id="32"/>
    <w:bookmarkStart w:id="39" w:name="lenjeu-juridique-et-constitutionnel"/>
    <w:p>
      <w:pPr>
        <w:pStyle w:val="Heading3"/>
      </w:pPr>
      <w:r>
        <w:t xml:space="preserve">5.5 L’enjeu juridique et constitutionnel</w:t>
      </w:r>
    </w:p>
    <w:p>
      <w:pPr>
        <w:pStyle w:val="FirstParagraph"/>
      </w:pPr>
      <w:r>
        <w:t xml:space="preserve">Voici le verrou le plus surestimé du débat français.</w:t>
      </w:r>
      <w:r>
        <w:t xml:space="preserve"> </w:t>
      </w:r>
      <w:r>
        <w:rPr>
          <w:b/>
          <w:bCs/>
        </w:rPr>
        <w:t xml:space="preserve">Aucune révision constitutionnelle n’est nécessaire</w:t>
      </w:r>
      <w:r>
        <w:t xml:space="preserve"> </w:t>
      </w:r>
      <w:r>
        <w:t xml:space="preserve">pour introduire un pilier capitalisé représentant jusqu’à 30 % des cotisations retraite. La Constitution n’impose pas la répartition. Elle impose la sécurité matérielle des vieux travailleurs. Ce n’est pas la même chose.</w:t>
      </w:r>
    </w:p>
    <w:p>
      <w:pPr>
        <w:pStyle w:val="BodyText"/>
      </w:pPr>
      <w:r>
        <w:t xml:space="preserve">L’</w:t>
      </w:r>
      <w:r>
        <w:rPr>
          <w:b/>
          <w:bCs/>
        </w:rPr>
        <w:t xml:space="preserve">alinéa 11 du Préambule de 1946</w:t>
      </w:r>
      <w:r>
        <w:t xml:space="preserve"> </w:t>
      </w:r>
      <w:r>
        <w:t xml:space="preserve">garantit à tous</w:t>
      </w:r>
      <w:r>
        <w:t xml:space="preserve"> </w:t>
      </w:r>
      <w:r>
        <w:rPr>
          <w:i/>
          <w:iCs/>
        </w:rPr>
        <w:t xml:space="preserve">« la protection de la santé, la sécurité matérielle, le repos et les loisirs »</w:t>
      </w:r>
      <w:r>
        <w:t xml:space="preserve">. C’est une obligation de</w:t>
      </w:r>
      <w:r>
        <w:t xml:space="preserve"> </w:t>
      </w:r>
      <w:r>
        <w:rPr>
          <w:b/>
          <w:bCs/>
        </w:rPr>
        <w:t xml:space="preserve">résultat de solidarité</w:t>
      </w:r>
      <w:r>
        <w:t xml:space="preserve">, pas une obligation de</w:t>
      </w:r>
      <w:r>
        <w:t xml:space="preserve"> </w:t>
      </w:r>
      <w:r>
        <w:rPr>
          <w:b/>
          <w:bCs/>
        </w:rPr>
        <w:t xml:space="preserve">forme</w:t>
      </w:r>
      <w:r>
        <w:t xml:space="preserve">. Le Conseil constitutionnel n’a jamais déduit de cet alinéa que la répartition était le seul instrument constitutionnellement admissible. L’</w:t>
      </w:r>
      <w:r>
        <w:rPr>
          <w:b/>
          <w:bCs/>
        </w:rPr>
        <w:t xml:space="preserve">article 34 de la Constitution</w:t>
      </w:r>
      <w:r>
        <w:t xml:space="preserve"> </w:t>
      </w:r>
      <w:r>
        <w:t xml:space="preserve">réserve à la loi la fixation des principes fondamentaux de la sécurité sociale —</w:t>
      </w:r>
      <w:r>
        <w:t xml:space="preserve"> </w:t>
      </w:r>
      <w:r>
        <w:rPr>
          <w:b/>
          <w:bCs/>
        </w:rPr>
        <w:t xml:space="preserve">loi ordinaire suffit</w:t>
      </w:r>
      <w:r>
        <w:t xml:space="preserve"> </w:t>
      </w:r>
      <w:r>
        <w:t xml:space="preserve">pour créer un fonds capitalisé public. La Cinquième République ne demande pas de révision pour cela.</w:t>
      </w:r>
    </w:p>
    <w:p>
      <w:pPr>
        <w:pStyle w:val="BodyText"/>
      </w:pPr>
      <w:r>
        <w:t xml:space="preserve">Au-dessus, quatre décisions du Conseil constitutionnel structurent l’espace possible. La</w:t>
      </w:r>
      <w:r>
        <w:t xml:space="preserve"> </w:t>
      </w:r>
      <w:r>
        <w:rPr>
          <w:b/>
          <w:bCs/>
        </w:rPr>
        <w:t xml:space="preserve">DC 2003-483</w:t>
      </w:r>
      <w:r>
        <w:t xml:space="preserve"> </w:t>
      </w:r>
      <w:r>
        <w:t xml:space="preserve">du 14 août 2003 (loi Fillon) pose que le législateur est libre des paramètres dès lors que les droits acquis sont préservés</w:t>
      </w:r>
      <w:r>
        <w:rPr>
          <w:rStyle w:val="FootnoteReference"/>
        </w:rPr>
        <w:footnoteReference w:id="33"/>
      </w:r>
      <w:r>
        <w:t xml:space="preserve">. La</w:t>
      </w:r>
      <w:r>
        <w:t xml:space="preserve"> </w:t>
      </w:r>
      <w:r>
        <w:rPr>
          <w:b/>
          <w:bCs/>
        </w:rPr>
        <w:t xml:space="preserve">DC 2010-617</w:t>
      </w:r>
      <w:r>
        <w:t xml:space="preserve"> </w:t>
      </w:r>
      <w:r>
        <w:t xml:space="preserve">du 9 novembre 2010 (loi Woerth) valide le recul de l’âge légal et les modifications paramétriques profondes. La</w:t>
      </w:r>
      <w:r>
        <w:t xml:space="preserve"> </w:t>
      </w:r>
      <w:r>
        <w:rPr>
          <w:b/>
          <w:bCs/>
        </w:rPr>
        <w:t xml:space="preserve">DC 2014-698</w:t>
      </w:r>
      <w:r>
        <w:t xml:space="preserve"> </w:t>
      </w:r>
      <w:r>
        <w:t xml:space="preserve">du 6 août 2014 (loi Touraine) censure une rupture d’égalité ponctuelle mais valide la convergence générationnelle progressive</w:t>
      </w:r>
      <w:r>
        <w:rPr>
          <w:rStyle w:val="FootnoteReference"/>
        </w:rPr>
        <w:footnoteReference w:id="34"/>
      </w:r>
      <w:r>
        <w:t xml:space="preserve">. La</w:t>
      </w:r>
      <w:r>
        <w:t xml:space="preserve"> </w:t>
      </w:r>
      <w:r>
        <w:rPr>
          <w:b/>
          <w:bCs/>
        </w:rPr>
        <w:t xml:space="preserve">DC 2023-849</w:t>
      </w:r>
      <w:r>
        <w:t xml:space="preserve"> </w:t>
      </w:r>
      <w:r>
        <w:t xml:space="preserve">du 14 avril 2023 (loi Borne) confirme que les asymétries générationnelles sont admises si elles sont justifiées par la viabilité financière du système. La marge est étroite — elle n’est pas nulle.</w:t>
      </w:r>
    </w:p>
    <w:p>
      <w:pPr>
        <w:pStyle w:val="BodyText"/>
      </w:pPr>
      <w:r>
        <w:t xml:space="preserve">Au-dessus encore, la</w:t>
      </w:r>
      <w:r>
        <w:t xml:space="preserve"> </w:t>
      </w:r>
      <w:r>
        <w:rPr>
          <w:b/>
          <w:bCs/>
        </w:rPr>
        <w:t xml:space="preserve">CEDH</w:t>
      </w:r>
      <w:r>
        <w:t xml:space="preserve">.</w:t>
      </w:r>
      <w:r>
        <w:t xml:space="preserve"> </w:t>
      </w:r>
      <w:r>
        <w:rPr>
          <w:i/>
          <w:iCs/>
        </w:rPr>
        <w:t xml:space="preserve">Apostolakis c. Grèce</w:t>
      </w:r>
      <w:r>
        <w:t xml:space="preserve"> </w:t>
      </w:r>
      <w:r>
        <w:t xml:space="preserve">(2009) : on ne supprime pas rétroactivement les droits à pension acquis</w:t>
      </w:r>
      <w:r>
        <w:rPr>
          <w:rStyle w:val="FootnoteReference"/>
        </w:rPr>
        <w:footnoteReference w:id="35"/>
      </w:r>
      <w:r>
        <w:t xml:space="preserve">.</w:t>
      </w:r>
      <w:r>
        <w:t xml:space="preserve"> </w:t>
      </w:r>
      <w:r>
        <w:rPr>
          <w:i/>
          <w:iCs/>
        </w:rPr>
        <w:t xml:space="preserve">Béláné Nagy c. Hongrie</w:t>
      </w:r>
      <w:r>
        <w:t xml:space="preserve"> </w:t>
      </w:r>
      <w:r>
        <w:t xml:space="preserve">(Grande Chambre 2016) : une pension versée depuis plusieurs années crée une expectative légitime protégée</w:t>
      </w:r>
      <w:r>
        <w:rPr>
          <w:rStyle w:val="FootnoteReference"/>
        </w:rPr>
        <w:footnoteReference w:id="36"/>
      </w:r>
      <w:r>
        <w:t xml:space="preserve">.</w:t>
      </w:r>
      <w:r>
        <w:t xml:space="preserve"> </w:t>
      </w:r>
      <w:r>
        <w:rPr>
          <w:i/>
          <w:iCs/>
        </w:rPr>
        <w:t xml:space="preserve">Stec c. Royaume-Uni</w:t>
      </w:r>
      <w:r>
        <w:t xml:space="preserve"> </w:t>
      </w:r>
      <w:r>
        <w:t xml:space="preserve">(Grande Chambre 2006) : les différences de traitement par âge sont admises si elles sont objectivement justifiées</w:t>
      </w:r>
      <w:r>
        <w:rPr>
          <w:rStyle w:val="FootnoteReference"/>
        </w:rPr>
        <w:footnoteReference w:id="37"/>
      </w:r>
      <w:r>
        <w:t xml:space="preserve">. La synthèse opérationnelle est nette : on ne touche pas aux pensions liquidées ; on peut moduler les paramètres futurs ; on peut segmenter par cohorte si la transition est progressive et la justification documentée.</w:t>
      </w:r>
    </w:p>
    <w:p>
      <w:pPr>
        <w:pStyle w:val="BodyText"/>
      </w:pPr>
      <w:r>
        <w:t xml:space="preserve">Trois bombes sont à désamorcer. La</w:t>
      </w:r>
      <w:r>
        <w:t xml:space="preserve"> </w:t>
      </w:r>
      <w:r>
        <w:rPr>
          <w:b/>
          <w:bCs/>
        </w:rPr>
        <w:t xml:space="preserve">substitution AGIRC-ARRCO</w:t>
      </w:r>
      <w:r>
        <w:t xml:space="preserve"> </w:t>
      </w:r>
      <w:r>
        <w:t xml:space="preserve">sans accord paritaire — réduire les 12,8 % actuels et basculer dix points vers un fonds capitalisé public — déclencherait une QPC quasi-certaine au regard de l’article L.923-1 du Code de la sécurité sociale</w:t>
      </w:r>
      <w:r>
        <w:rPr>
          <w:rStyle w:val="FootnoteReference"/>
        </w:rPr>
        <w:footnoteReference w:id="38"/>
      </w:r>
      <w:r>
        <w:t xml:space="preserve">. La voie sûre est la</w:t>
      </w:r>
      <w:r>
        <w:t xml:space="preserve"> </w:t>
      </w:r>
      <w:r>
        <w:rPr>
          <w:b/>
          <w:bCs/>
        </w:rPr>
        <w:t xml:space="preserve">superposition</w:t>
      </w:r>
      <w:r>
        <w:t xml:space="preserve">, pas la substitution. La</w:t>
      </w:r>
      <w:r>
        <w:t xml:space="preserve"> </w:t>
      </w:r>
      <w:r>
        <w:rPr>
          <w:b/>
          <w:bCs/>
        </w:rPr>
        <w:t xml:space="preserve">suppression de la répartition</w:t>
      </w:r>
      <w:r>
        <w:t xml:space="preserve"> </w:t>
      </w:r>
      <w:r>
        <w:t xml:space="preserve">exigerait une révision constitutionnelle, politiquement impensable. Et la</w:t>
      </w:r>
      <w:r>
        <w:t xml:space="preserve"> </w:t>
      </w:r>
      <w:r>
        <w:rPr>
          <w:b/>
          <w:bCs/>
        </w:rPr>
        <w:t xml:space="preserve">cohorte d’âge avec rupture radicale</w:t>
      </w:r>
      <w:r>
        <w:t xml:space="preserve"> </w:t>
      </w:r>
      <w:r>
        <w:t xml:space="preserve">heurte frontalement l’article 14 de la Convention. 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p>
      <w:r>
        <w:pict>
          <v:rect style="width:0;height:1.5pt" o:hralign="center" o:hrstd="t" o:hr="t"/>
        </w:pict>
      </w:r>
    </w:p>
    <w:bookmarkEnd w:id="39"/>
    <w:bookmarkEnd w:id="40"/>
    <w:bookmarkStart w:id="67" w:name="section-b-la-méthode-politique"/>
    <w:p>
      <w:pPr>
        <w:pStyle w:val="Heading2"/>
      </w:pPr>
      <w:r>
        <w:t xml:space="preserve">Section B — La méthode politique</w:t>
      </w:r>
    </w:p>
    <w:p>
      <w:pPr>
        <w:pStyle w:val="FirstParagraph"/>
      </w:pPr>
      <w:r>
        <w:t xml:space="preserve">Les enjeux posés, reste à savoir comment les arbitrer politiquement. Les quatre cas étrangers du chapitre précédent ne se distinguent pas par leur architecture financière — paritarisme, fonds public, plancher universel se retrouvent partout. Ils se distinguent par la séquence politique qui a précédé le vote. Cette séquence, en démocratie pluraliste, n’admet que deux variantes durables.</w:t>
      </w:r>
    </w:p>
    <w:bookmarkStart w:id="52" w:name="les-deux-voies-viables"/>
    <w:p>
      <w:pPr>
        <w:pStyle w:val="Heading3"/>
      </w:pPr>
      <w:r>
        <w:t xml:space="preserve">5.6 Les deux voies viables</w:t>
      </w:r>
    </w:p>
    <w:bookmarkStart w:id="45" w:name="voie-a-la-concertation-longue"/>
    <w:p>
      <w:pPr>
        <w:pStyle w:val="Heading4"/>
      </w:pPr>
      <w:r>
        <w:t xml:space="preserve">Voie A — La concertation longue</w:t>
      </w:r>
    </w:p>
    <w:p>
      <w:pPr>
        <w:pStyle w:val="FirstParagraph"/>
      </w:pPr>
      <w:r>
        <w:t xml:space="preserve">Modèle Suède 1994, Royaume-Uni 2002-2008, Pays-Bas 2019-2023. Trois à sept ans avant le vote, vingt à trente ans de durabilité.</w:t>
      </w:r>
    </w:p>
    <w:p>
      <w:pPr>
        <w:pStyle w:val="BodyText"/>
      </w:pPr>
      <w:r>
        <w:t xml:space="preserve">La concertation longue articule trois temps. Une commission indépendante mandatée par le gouvernement — le</w:t>
      </w:r>
      <w:r>
        <w:t xml:space="preserve"> </w:t>
      </w:r>
      <w:r>
        <w:rPr>
          <w:i/>
          <w:iCs/>
        </w:rPr>
        <w:t xml:space="preserve">Pension Working Group</w:t>
      </w:r>
      <w:r>
        <w:t xml:space="preserve"> </w:t>
      </w:r>
      <w:r>
        <w:t xml:space="preserve">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 85 % du Parlement — signataires du</w:t>
      </w:r>
      <w:r>
        <w:t xml:space="preserve"> </w:t>
      </w:r>
      <w:r>
        <w:rPr>
          <w:i/>
          <w:iCs/>
        </w:rPr>
        <w:t xml:space="preserve">Pensionsöverenskommelsen</w:t>
      </w:r>
      <w:r>
        <w:rPr>
          <w:rStyle w:val="FootnoteReference"/>
        </w:rPr>
        <w:footnoteReference w:id="41"/>
      </w:r>
      <w:r>
        <w:t xml:space="preserve">. C’est ce que le Royaume-Uni a reproduit en 2008 avec un</w:t>
      </w:r>
      <w:r>
        <w:t xml:space="preserve"> </w:t>
      </w:r>
      <w:r>
        <w:rPr>
          <w:i/>
          <w:iCs/>
        </w:rPr>
        <w:t xml:space="preserve">Pensions Act</w:t>
      </w:r>
      <w:r>
        <w:t xml:space="preserve"> </w:t>
      </w:r>
      <w:r>
        <w:t xml:space="preserve">voté à une majorité quasi-unanime, après trois rapports Turner ratifiés transpartisans entre 2004 et 2006</w:t>
      </w:r>
      <w:r>
        <w:rPr>
          <w:rStyle w:val="FootnoteReference"/>
        </w:rPr>
        <w:footnoteReference w:id="42"/>
      </w:r>
      <w:r>
        <w:t xml:space="preserve">.</w:t>
      </w:r>
    </w:p>
    <w:p>
      <w:pPr>
        <w:pStyle w:val="BodyText"/>
      </w:pPr>
      <w:r>
        <w:t xml:space="preserve">L’avantage est la durabilité maximale. La Suède n’a pas remis en cause sa réforme depuis 1994 — trente ans de stabilité institutionnelle, sous des gouvernements de toutes couleurs</w:t>
      </w:r>
      <w:r>
        <w:rPr>
          <w:rStyle w:val="FootnoteReference"/>
        </w:rPr>
        <w:footnoteReference w:id="43"/>
      </w:r>
      <w:r>
        <w:t xml:space="preserve">. Le Royaume-Uni n’a pas touché à l’auto-enrolment depuis 2008. Les Pays-Bas avancent sur le calendrier prévu de la</w:t>
      </w:r>
      <w:r>
        <w:t xml:space="preserve"> </w:t>
      </w:r>
      <w:r>
        <w:rPr>
          <w:i/>
          <w:iCs/>
        </w:rPr>
        <w:t xml:space="preserve">Wet toekomst pensioenen</w:t>
      </w:r>
      <w:r>
        <w:t xml:space="preserve">, vote du 30 mai 2023 par l’</w:t>
      </w:r>
      <w:r>
        <w:rPr>
          <w:i/>
          <w:iCs/>
        </w:rPr>
        <w:t xml:space="preserve">Eerste Kamer</w:t>
      </w:r>
      <w:r>
        <w:t xml:space="preserve"> </w:t>
      </w:r>
      <w:r>
        <w:t xml:space="preserve">à 46 voix contre 27, bascule des fonds professionnels prévue au 1ᵉʳ janvier 2028</w:t>
      </w:r>
      <w:r>
        <w:rPr>
          <w:rStyle w:val="FootnoteReference"/>
        </w:rPr>
        <w:footnoteReference w:id="44"/>
      </w:r>
      <w:r>
        <w:t xml:space="preserve">. La limite est la lenteur : trois ans en Suède, six au Royaume-Uni, quatre aux Pays-Bas avant le vote, plus la transition par cohortes — seize ans entre la première cohorte concernée à 25 % et la dernière à 100 % en Suède. La condition de succès est sèche : diagnostic public avant l’accord politique, accord politique avant la loi. Sinon, on répète Thomas 1997, Delevoye 2019, Borne 2023.</w:t>
      </w:r>
    </w:p>
    <w:bookmarkEnd w:id="45"/>
    <w:bookmarkStart w:id="49" w:name="voie-b-la-rapidité-négociée"/>
    <w:p>
      <w:pPr>
        <w:pStyle w:val="Heading4"/>
      </w:pPr>
      <w:r>
        <w:t xml:space="preserve">Voie B — La rapidité négociée</w:t>
      </w:r>
    </w:p>
    <w:p>
      <w:pPr>
        <w:pStyle w:val="FirstParagraph"/>
      </w:pPr>
      <w:r>
        <w:t xml:space="preserve">Modèle Australie 1985-1992, Canada 1996-1999. Calendrier serré, démarrage immédiat, pacte ferme avec un acteur majeur.</w:t>
      </w:r>
    </w:p>
    <w:p>
      <w:pPr>
        <w:pStyle w:val="BodyText"/>
      </w:pPr>
      <w:r>
        <w:t xml:space="preserve">La rapidité négociée procède autrement. Au lieu d’attendre l’unanimité parlementaire, elle s’adosse à un acteur central — un grand syndicat, une coalition fédérale-provinciale — qui porte la réforme avec le gouvernement. L’Australie l’a fait avec l’</w:t>
      </w:r>
      <w:r>
        <w:rPr>
          <w:i/>
          <w:iCs/>
        </w:rPr>
        <w:t xml:space="preserve">Accord Prices and Incomes Mark II</w:t>
      </w:r>
      <w:r>
        <w:t xml:space="preserve"> </w:t>
      </w:r>
      <w:r>
        <w:t xml:space="preserve">signé en 1985 entre Bob Hawke, Paul Keating et Bill Kelty, secrétaire général de l’ACTU</w:t>
      </w:r>
      <w:r>
        <w:rPr>
          <w:rStyle w:val="FootnoteReference"/>
        </w:rPr>
        <w:footnoteReference w:id="46"/>
      </w:r>
      <w:r>
        <w:t xml:space="preserve">. Le Canada l’a fait avec son accord fédéral-provinces de 1996, ratifié en un an, ouvrant une hausse paritaire de 5,6 % à 9,9 % entre 1998 et 2003</w:t>
      </w:r>
      <w:r>
        <w:rPr>
          <w:rStyle w:val="FootnoteReference"/>
        </w:rPr>
        <w:footnoteReference w:id="47"/>
      </w:r>
      <w:r>
        <w:t xml:space="preserve">.</w:t>
      </w:r>
    </w:p>
    <w:p>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48"/>
      </w:r>
      <w:r>
        <w:t xml:space="preserve">.</w:t>
      </w:r>
    </w:p>
    <w:bookmarkEnd w:id="49"/>
    <w:bookmarkStart w:id="51" w:name="à-éviter-la-voie-chilienne"/>
    <w:p>
      <w:pPr>
        <w:pStyle w:val="Heading4"/>
      </w:pPr>
      <w:r>
        <w:t xml:space="preserve">À éviter — La voie chilienne</w:t>
      </w:r>
    </w:p>
    <w:p>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remplacement à 38 %,</w:t>
      </w:r>
      <w:r>
        <w:t xml:space="preserve"> </w:t>
      </w:r>
      <w:r>
        <w:rPr>
          <w:i/>
          <w:iCs/>
        </w:rPr>
        <w:t xml:space="preserve">estallido social</w:t>
      </w:r>
      <w:r>
        <w:t xml:space="preserve"> </w:t>
      </w:r>
      <w:r>
        <w:t xml:space="preserve">d’octobre 2019, et finalement loi 21735 de janvier 2025 qui réintroduit cotisation patronale et pilier solidaire après quarante-quatre ans, votée à 110 voix contre 38 par le Congrès chilien</w:t>
      </w:r>
      <w:r>
        <w:rPr>
          <w:rStyle w:val="FootnoteReference"/>
        </w:rPr>
        <w:footnoteReference w:id="50"/>
      </w:r>
      <w:r>
        <w:t xml:space="preserve">. La France n’est ni en régime autoritaire ni pressée par un coup d’État. Cette voie n’est pas seulement inacceptable politiquement. Elle ne marche pas.</w:t>
      </w:r>
    </w:p>
    <w:bookmarkEnd w:id="51"/>
    <w:bookmarkEnd w:id="52"/>
    <w:bookmarkStart w:id="62" w:name="la-gouvernance-institutionnelle"/>
    <w:p>
      <w:pPr>
        <w:pStyle w:val="Heading3"/>
      </w:pPr>
      <w:r>
        <w:t xml:space="preserve">5.7 La gouvernance institutionnelle</w:t>
      </w:r>
    </w:p>
    <w:p>
      <w:pPr>
        <w:pStyle w:val="FirstParagraph"/>
      </w:pPr>
      <w:r>
        <w:t xml:space="preserve">Quelle que soit la voie choisie, cinq fondations institutionnelles sont non négociables. Elles structurent l’architecture du véhicule, son capital, sa gouvernance, son fléchage et sa transparence.</w:t>
      </w:r>
    </w:p>
    <w:p>
      <w:pPr>
        <w:pStyle w:val="BodyText"/>
      </w:pPr>
      <w:r>
        <w:rPr>
          <w:b/>
          <w:bCs/>
        </w:rPr>
        <w:t xml:space="preserve">Le Fonds Français de Capitalisation (FFC).</w:t>
      </w:r>
      <w:r>
        <w:t xml:space="preserve"> </w:t>
      </w:r>
      <w:r>
        <w:t xml:space="preserve">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53"/>
      </w:r>
      <w:r>
        <w:t xml:space="preserve">. Direction des investissements indépendante, recrutée sur appel d’offres international à l’image de la CDPQ ou de NBIM Norvège. Le PER privé reste en pilier 3 volontaire — il ne disparaît pas — mais cesse d’être le seul instrument capitalisé du pays.</w:t>
      </w:r>
    </w:p>
    <w:p>
      <w:pPr>
        <w:pStyle w:val="BodyText"/>
      </w:pPr>
      <w:r>
        <w:rPr>
          <w:b/>
          <w:bCs/>
        </w:rPr>
        <w:t xml:space="preserve">Le paritarisme 1/3 État - 1/3 syndicats - 1/3 patronat.</w:t>
      </w:r>
      <w:r>
        <w:t xml:space="preserve"> </w:t>
      </w:r>
      <w:r>
        <w:t xml:space="preserve">Modèles AGIRC-ARRCO et ABP néerlandais</w:t>
      </w:r>
      <w:r>
        <w:rPr>
          <w:rStyle w:val="FootnoteReference"/>
        </w:rPr>
        <w:footnoteReference w:id="54"/>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 c’est, paradoxalement, la pièce la plus stable de l’architecture sociale française.</w:t>
      </w:r>
    </w:p>
    <w:p>
      <w:pPr>
        <w:pStyle w:val="BodyText"/>
      </w:pPr>
      <w:r>
        <w:rPr>
          <w:b/>
          <w:bCs/>
        </w:rPr>
        <w:t xml:space="preserve">Une autorité prudentielle indépendante.</w:t>
      </w:r>
      <w:r>
        <w:t xml:space="preserve"> </w:t>
      </w:r>
      <w:r>
        <w:t xml:space="preserve">Modèle APRA en Australie, DNB aux Pays-Bas,</w:t>
      </w:r>
      <w:r>
        <w:t xml:space="preserve"> </w:t>
      </w:r>
      <w:r>
        <w:rPr>
          <w:i/>
          <w:iCs/>
        </w:rPr>
        <w:t xml:space="preserve">Pensions Regulator</w:t>
      </w:r>
      <w:r>
        <w:t xml:space="preserve"> </w:t>
      </w:r>
      <w:r>
        <w:t xml:space="preserve">au Royaume-Uni</w:t>
      </w:r>
      <w:r>
        <w:rPr>
          <w:rStyle w:val="FootnoteReference"/>
        </w:rPr>
        <w:footnoteReference w:id="55"/>
      </w:r>
      <w:r>
        <w:t xml:space="preserve">.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II</w:t>
      </w:r>
      <w:r>
        <w:rPr>
          <w:rStyle w:val="FootnoteReference"/>
        </w:rPr>
        <w:footnoteReference w:id="56"/>
      </w:r>
      <w:r>
        <w:t xml:space="preserve">. L’expérience australienne du</w:t>
      </w:r>
      <w:r>
        <w:t xml:space="preserve"> </w:t>
      </w:r>
      <w:r>
        <w:rPr>
          <w:i/>
          <w:iCs/>
        </w:rPr>
        <w:t xml:space="preserve">MySuper Performance Test</w:t>
      </w:r>
      <w:r>
        <w:t xml:space="preserve"> </w:t>
      </w:r>
      <w:r>
        <w:t xml:space="preserve">mérite d’être étudiée : en 2021, 52 produits MySuper avaient échoué au test annuel et ~1 million de membres avaient été affectés ; en 2025, le test enregistre zéro échec sur 52 produits évalués</w:t>
      </w:r>
      <w:r>
        <w:rPr>
          <w:rStyle w:val="FootnoteReference"/>
        </w:rPr>
        <w:footnoteReference w:id="57"/>
      </w:r>
      <w:r>
        <w:t xml:space="preserve">. Une régulation prudentielle stricte ne tue pas l’industrie. Elle l’assainit.</w:t>
      </w:r>
    </w:p>
    <w:p>
      <w:pPr>
        <w:pStyle w:val="BodyText"/>
      </w:pPr>
      <w:r>
        <w:rPr>
          <w:b/>
          <w:bCs/>
        </w:rPr>
        <w:t xml:space="preserve">Le fléchage souverain — 25 % minimum sur PME et ETI françaises.</w:t>
      </w:r>
      <w:r>
        <w:t xml:space="preserve"> </w:t>
      </w:r>
      <w:r>
        <w:t xml:space="preserve">Sans contrainte, les fonds de pension de marché reproduisent un</w:t>
      </w:r>
      <w:r>
        <w:t xml:space="preserve"> </w:t>
      </w:r>
      <w:r>
        <w:rPr>
          <w:i/>
          <w:iCs/>
        </w:rPr>
        <w:t xml:space="preserve">home bias</w:t>
      </w:r>
      <w:r>
        <w:t xml:space="preserve"> </w:t>
      </w:r>
      <w:r>
        <w:t xml:space="preserve">documenté de 10 à 25 % — insuffisant pour la souveraineté économique</w:t>
      </w:r>
      <w:r>
        <w:rPr>
          <w:rStyle w:val="FootnoteReference"/>
        </w:rPr>
        <w:footnoteReference w:id="58"/>
      </w:r>
      <w:r>
        <w:t xml:space="preserve">.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59"/>
      </w:r>
      <w:r>
        <w:t xml:space="preserve">. Le capital étranger reste bienvenu ; il ne doit plus être le seul à pouvoir reprendre nos entreprises familiales — c’est la mâchoire à 240 000 entreprises sans repreneur sur dix ans documentée au chapitre 3.</w:t>
      </w:r>
    </w:p>
    <w:p>
      <w:pPr>
        <w:pStyle w:val="BodyText"/>
      </w:pPr>
      <w:r>
        <w:rPr>
          <w:b/>
          <w:bCs/>
        </w:rPr>
        <w:t xml:space="preserve">La transparence radicale.</w:t>
      </w:r>
      <w:r>
        <w:t xml:space="preserve"> </w:t>
      </w:r>
      <w:r>
        <w:t xml:space="preserve">Modèle CPPIB Canada : tout est public, des frais aux votes en assemblée d’actionnaires</w:t>
      </w:r>
      <w:r>
        <w:rPr>
          <w:rStyle w:val="FootnoteReference"/>
        </w:rPr>
        <w:footnoteReference w:id="60"/>
      </w:r>
      <w:r>
        <w:t xml:space="preserve">. Le FFC publie chaque année un rapport actuariel détaillé, un rapport d’investissement par classe d’actifs, un rapport ESG voté par l’assemblée des cotisants. La Cour des comptes audite en continu. Les bases sont ouvertes en</w:t>
      </w:r>
      <w:r>
        <w:t xml:space="preserve"> </w:t>
      </w:r>
      <w:r>
        <w:rPr>
          <w:i/>
          <w:iCs/>
        </w:rPr>
        <w:t xml:space="preserve">open data</w:t>
      </w:r>
      <w:r>
        <w:t xml:space="preserve">. Le cotisant français doit pouvoir, à tout moment, savoir où va son euro. C’est la condition du pacte de confiance que l’opacité des fonds en euros et la complexité du PER ont, depuis vingt ans, abîmé</w:t>
      </w:r>
      <w:r>
        <w:rPr>
          <w:rStyle w:val="FootnoteReference"/>
        </w:rPr>
        <w:footnoteReference w:id="61"/>
      </w:r>
      <w:r>
        <w:t xml:space="preserve">.</w:t>
      </w:r>
    </w:p>
    <w:bookmarkEnd w:id="62"/>
    <w:bookmarkStart w:id="66" w:name="les-conditions-de-réussite-politique"/>
    <w:p>
      <w:pPr>
        <w:pStyle w:val="Heading3"/>
      </w:pPr>
      <w:r>
        <w:t xml:space="preserve">5.8 Les conditions de réussite politique</w:t>
      </w:r>
    </w:p>
    <w:p>
      <w:pPr>
        <w:pStyle w:val="FirstParagraph"/>
      </w:pPr>
      <w:r>
        <w:t xml:space="preserve">Quelle que soit la voie A ou B, trois conditions transversales conditionnent la réussite.</w:t>
      </w:r>
    </w:p>
    <w:p>
      <w:pPr>
        <w:pStyle w:val="BodyText"/>
      </w:pPr>
      <w:r>
        <w:t xml:space="preserve">D’abord,</w:t>
      </w:r>
      <w:r>
        <w:t xml:space="preserve"> </w:t>
      </w:r>
      <w:r>
        <w:rPr>
          <w:b/>
          <w:bCs/>
        </w:rPr>
        <w:t xml:space="preserve">une commission indépendante préalable</w:t>
      </w:r>
      <w:r>
        <w:t xml:space="preserve"> </w:t>
      </w:r>
      <w:r>
        <w:t xml:space="preserve">— essentielle pour la voie A, compressée à six mois pour la voie B. Sur le modèle Turner britannique, son mandat est de produire un diagnostic public partagé qui rende le débat politique possible</w:t>
      </w:r>
      <w:r>
        <w:rPr>
          <w:rStyle w:val="FootnoteReference"/>
        </w:rPr>
        <w:footnoteReference w:id="63"/>
      </w:r>
      <w:r>
        <w:t xml:space="preserve">. Sans cette étape, la discussion bute sur des chiffres contestés et sur des projections concurrentes, et l’opinion ne peut pas arbitrer.</w:t>
      </w:r>
    </w:p>
    <w:p>
      <w:pPr>
        <w:pStyle w:val="BodyText"/>
      </w:pPr>
      <w:r>
        <w:t xml:space="preserve">Ensuite,</w:t>
      </w:r>
      <w:r>
        <w:t xml:space="preserve"> </w:t>
      </w:r>
      <w:r>
        <w:rPr>
          <w:b/>
          <w:bCs/>
        </w:rPr>
        <w:t xml:space="preserve">un pacte syndical</w:t>
      </w:r>
      <w:r>
        <w:t xml:space="preserve"> </w:t>
      </w:r>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 xml:space="preserve">Accord Prices and Incomes Mark II</w:t>
      </w:r>
      <w:r>
        <w:t xml:space="preserve">, puis traduite en SG Act sept ans plus tard</w:t>
      </w:r>
      <w:r>
        <w:rPr>
          <w:rStyle w:val="FootnoteReference"/>
        </w:rPr>
        <w:footnoteReference w:id="64"/>
      </w:r>
      <w:r>
        <w:t xml:space="preserve">. C’est ce que la France n’a su faire à aucune des trois tentatives de 1997, 2019 et 2023.</w:t>
      </w:r>
    </w:p>
    <w:p>
      <w:pPr>
        <w:pStyle w:val="BodyText"/>
      </w:pPr>
      <w:r>
        <w:t xml:space="preserve">Enfin,</w:t>
      </w:r>
      <w:r>
        <w:t xml:space="preserve"> </w:t>
      </w:r>
      <w:r>
        <w:rPr>
          <w:b/>
          <w:bCs/>
        </w:rPr>
        <w:t xml:space="preserve">une communication massive sur dix-huit mois minimum</w:t>
      </w:r>
      <w:r>
        <w:t xml:space="preserve">, martelant trois messages simples. Les retraites des retraités actuels ne baissent pas. La répartition est préservée. Le pilier nouveau est un complément qui se construit pour les actifs</w:t>
      </w:r>
      <w:r>
        <w:rPr>
          <w:rStyle w:val="FootnoteReference"/>
        </w:rPr>
        <w:footnoteReference w:id="65"/>
      </w:r>
      <w:r>
        <w:t xml:space="preserve">. La présidentielle de 2027 est, à cet égard, le moment d’arbitrage politique le plus naturel —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p>
      <w:r>
        <w:pict>
          <v:rect style="width:0;height:1.5pt" o:hralign="center" o:hrstd="t" o:hr="t"/>
        </w:pict>
      </w:r>
    </w:p>
    <w:bookmarkEnd w:id="66"/>
    <w:bookmarkEnd w:id="67"/>
    <w:bookmarkStart w:id="90" w:name="X63bf85d33753e3f8c44b0fd1c3db5e165e7ae73"/>
    <w:p>
      <w:pPr>
        <w:pStyle w:val="Heading2"/>
      </w:pPr>
      <w:r>
        <w:t xml:space="preserve">Section C — L’agenda 2027-2052 en quatre phases</w:t>
      </w:r>
    </w:p>
    <w:p>
      <w:pPr>
        <w:pStyle w:val="FirstParagraph"/>
      </w:pPr>
      <w:r>
        <w:t xml:space="preserve">Les enjeux structurels arbitrés et la méthode politique choisie, l’agenda devient lisible. Vingt-cinq ans articulés en quatre phases — préparation, lancement, déploiement, maturation — qui absorbent douze propositions concrètes. Le calendrier ci-dessous suppose l’horizon haut de la voie A. La voie B compresse la phase 1 à six mois et démarre la cotisation patronale dès 2028 ; les piliers de fond restent identiques.</w:t>
      </w:r>
    </w:p>
    <w:bookmarkStart w:id="72" w:name="phase-1-préparation-2027-2028"/>
    <w:p>
      <w:pPr>
        <w:pStyle w:val="Heading3"/>
      </w:pPr>
      <w:r>
        <w:t xml:space="preserve">Phase 1 — Préparation (2027-2028)</w:t>
      </w:r>
    </w:p>
    <w:bookmarkStart w:id="68" w:name="Xb25272055aea3e7fdfc374c39e4bd235a2d25ab"/>
    <w:p>
      <w:pPr>
        <w:pStyle w:val="Heading4"/>
      </w:pPr>
      <w:r>
        <w:t xml:space="preserve">Proposition 1 — Une Commission indépendante transpartisane, mandatée dès 2027</w:t>
      </w:r>
    </w:p>
    <w:p>
      <w:pPr>
        <w:pStyle w:val="BlockText"/>
      </w:pPr>
      <w:r>
        <w:rPr>
          <w:i/>
          <w:iCs/>
        </w:rPr>
        <w:t xml:space="preserve">« Diagnostic d’abord, vote ensuite. C’est la seule séquence qui ait jamais tenu trente ans. »</w:t>
      </w:r>
    </w:p>
    <w:p>
      <w:pPr>
        <w:pStyle w:val="FirstParagraph"/>
      </w:pPr>
      <w:r>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2006. Ces rapports britanniques ont été ratifiés par Travaillistes et Conservateurs avant le</w:t>
      </w:r>
      <w:r>
        <w:t xml:space="preserve"> </w:t>
      </w:r>
      <w:r>
        <w:rPr>
          <w:i/>
          <w:iCs/>
        </w:rPr>
        <w:t xml:space="preserve">Pensions Act 2008</w:t>
      </w:r>
      <w:r>
        <w:t xml:space="preserve"> </w:t>
      </w:r>
      <w:r>
        <w:t xml:space="preserve">— c’est cette ratification, et elle seule, qui explique la durabilité du dispositif. Pour la voie B, la durée est compressée à six mois et la Commission est doublée d’un mandat de négociation syndicale parallèle, sur le modèle Hawke-Kelty.</w:t>
      </w:r>
    </w:p>
    <w:bookmarkEnd w:id="68"/>
    <w:bookmarkStart w:id="69" w:name="X71fd4590a30a2ffa5972ec5815330d8d84b0969"/>
    <w:p>
      <w:pPr>
        <w:pStyle w:val="Heading4"/>
      </w:pPr>
      <w:r>
        <w:t xml:space="preserve">Proposition 2 — Une loi-cadre votée à majorité qualifiée des trois cinquièmes</w:t>
      </w:r>
    </w:p>
    <w:p>
      <w:pPr>
        <w:pStyle w:val="BlockText"/>
      </w:pPr>
      <w:r>
        <w:rPr>
          <w:i/>
          <w:iCs/>
        </w:rPr>
        <w:t xml:space="preserve">« Loi Thomas 1997, abrogée en 2002. Cinq ans pour rien. À ne pas répéter. »</w:t>
      </w:r>
    </w:p>
    <w:p>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 cotisation patronale, plancher universel, fonds par défaut public, gouvernance paritaire —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 c’est ce qu’Howard et Abbott n’avaient pas en Australie.</w:t>
      </w:r>
    </w:p>
    <w:bookmarkEnd w:id="69"/>
    <w:bookmarkStart w:id="71" w:name="X102284b6985e3ee2ed8b8dc19b6e44b3edef9db"/>
    <w:p>
      <w:pPr>
        <w:pStyle w:val="Heading4"/>
      </w:pPr>
      <w:r>
        <w:t xml:space="preserve">Proposition 3 — Redéploiement intégral du FRR vers le FFC, 1ᵉʳ janvier 2028</w:t>
      </w:r>
    </w:p>
    <w:p>
      <w:pPr>
        <w:pStyle w:val="BlockText"/>
      </w:pPr>
      <w:r>
        <w:rPr>
          <w:i/>
          <w:iCs/>
        </w:rPr>
        <w:t xml:space="preserve">« 20,4 milliards qui dorment depuis quinze ans, mis enfin au travail. »</w:t>
      </w:r>
    </w:p>
    <w:p>
      <w:pPr>
        <w:pStyle w:val="FirstParagraph"/>
      </w:pPr>
      <w:r>
        <w:t xml:space="preserve">Le FRR a été créé en 1999 par la loi n° 2001-624 du 17 juillet 2001 pour absorber le choc démographique des années 2020</w:t>
      </w:r>
      <w:r>
        <w:rPr>
          <w:rStyle w:val="FootnoteReference"/>
        </w:rPr>
        <w:footnoteReference w:id="70"/>
      </w:r>
      <w:r>
        <w:t xml:space="preserve">. Il sert aujourd’hui à colmater les trous annuels de la CADES (versements de ~2,1 Md€/an depuis 2011), ce qui n’était pas son objet. Sa réaffectation intégrale au FFC est un geste politique visible — « vingt milliards qui changent de table » — et un capital immédiatement productif. Rendement annualisé 2003-2024 : 4,1 % réel net, comparable aux meilleurs fonds souverains européens. Pas d’argent neuf demandé. Du capital existant, mieux employé.</w:t>
      </w:r>
    </w:p>
    <w:bookmarkEnd w:id="71"/>
    <w:bookmarkEnd w:id="72"/>
    <w:bookmarkStart w:id="77" w:name="phase-2-lancement-2029-2032"/>
    <w:p>
      <w:pPr>
        <w:pStyle w:val="Heading3"/>
      </w:pPr>
      <w:r>
        <w:t xml:space="preserve">Phase 2 — Lancement (2029-2032)</w:t>
      </w:r>
    </w:p>
    <w:bookmarkStart w:id="73" w:name="Xfa57e5abeddfc30538a84131b0b7e78bbc58634"/>
    <w:p>
      <w:pPr>
        <w:pStyle w:val="Heading4"/>
      </w:pPr>
      <w:r>
        <w:t xml:space="preserve">Proposition 4 — Création du Fonds Français de Capitalisation</w:t>
      </w:r>
    </w:p>
    <w:p>
      <w:pPr>
        <w:pStyle w:val="BlockText"/>
      </w:pPr>
      <w:r>
        <w:rPr>
          <w:i/>
          <w:iCs/>
        </w:rPr>
        <w:t xml:space="preserve">« Une seule entité publique-paritaire. Modèle CDPQ Québec, 473 milliards d’encours, indépendance professionnelle, légitimité paritaire. »</w:t>
      </w:r>
    </w:p>
    <w:p>
      <w:pPr>
        <w:pStyle w:val="FirstParagraph"/>
      </w:pPr>
      <w:r>
        <w:t xml:space="preserve">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unique, professionnelle et publique, la France retomberait dans la dispersion d’instruments commerciaux qui caractérise le PER actuel.</w:t>
      </w:r>
    </w:p>
    <w:bookmarkEnd w:id="73"/>
    <w:bookmarkStart w:id="74" w:name="X74cf6923f38913bfbf57935c83277cf3f9f86ef"/>
    <w:p>
      <w:pPr>
        <w:pStyle w:val="Heading4"/>
      </w:pPr>
      <w:r>
        <w:t xml:space="preserve">Proposition 5 — Gouvernance paritaire 1/3 - 1/3 - 1/3 mise en place</w:t>
      </w:r>
    </w:p>
    <w:p>
      <w:pPr>
        <w:pStyle w:val="BlockText"/>
      </w:pPr>
      <w:r>
        <w:rPr>
          <w:i/>
          <w:iCs/>
        </w:rPr>
        <w:t xml:space="preserve">« Ce qui n’est pas négocié ne tient pas. »</w:t>
      </w:r>
    </w:p>
    <w:p>
      <w:pPr>
        <w:pStyle w:val="FirstParagraph"/>
      </w:pPr>
      <w:r>
        <w:t xml:space="preserve">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bookmarkEnd w:id="74"/>
    <w:bookmarkStart w:id="75" w:name="Xb5a240768b7c716e4404079316d2cfb51a64569"/>
    <w:p>
      <w:pPr>
        <w:pStyle w:val="Heading4"/>
      </w:pPr>
      <w:r>
        <w:t xml:space="preserve">Proposition 6 — Cotisation patronale, 0,5 % au lancement, 4 % en 2035 (voie B) ou 2042 (voie A)</w:t>
      </w:r>
    </w:p>
    <w:p>
      <w:pPr>
        <w:pStyle w:val="BlockText"/>
      </w:pPr>
      <w:r>
        <w:rPr>
          <w:i/>
          <w:iCs/>
        </w:rPr>
        <w:t xml:space="preserve">« La cotisation patronale a porté l’Australie de 3 à 12 %. Elle peut porter la France de 0 à 4. »</w:t>
      </w:r>
    </w:p>
    <w:p>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 soit, à comparaison, l’équivalent du déficit COR projeté en 2070. La leçon australienne est rude : sans paliers légaux, le gel intervient. Les paliers annuels doivent être opposables. L’incidence salariale partielle — c’est-à-dire la part absorbée par modération salariale négociée — est documentée à 70-80 % sur le long terme en Australie ; elle reste comparable au modèle social français quand elle est négociée avec les organisations syndicales en amont, à la suédoise ou à l’australienne.</w:t>
      </w:r>
    </w:p>
    <w:bookmarkEnd w:id="75"/>
    <w:bookmarkStart w:id="76" w:name="X16cb98ef823dac26a64f76d756bd721e3811cfc"/>
    <w:p>
      <w:pPr>
        <w:pStyle w:val="Heading4"/>
      </w:pPr>
      <w:r>
        <w:t xml:space="preserve">Proposition 7 — Émission d’eurobonds retraite dédiés, 50 Md€ étalés 2030-2034</w:t>
      </w:r>
    </w:p>
    <w:p>
      <w:pPr>
        <w:pStyle w:val="BlockText"/>
      </w:pPr>
      <w:r>
        <w:rPr>
          <w:i/>
          <w:iCs/>
        </w:rPr>
        <w:t xml:space="preserve">« Précédent NextGenerationEU : 800 milliards levés en commun, sans crise. »</w:t>
      </w:r>
    </w:p>
    <w:p>
      <w:pPr>
        <w:pStyle w:val="FirstParagraph"/>
      </w:pPr>
      <w:r>
        <w:t xml:space="preserve">L’objection française du « double paiement » n’est pas une fatalité — c’est une équation. Aucun pays comparable ne l’a financée par l’impôt général. La France peut, dans le cadre de l’Union, émettre des eurobonds dédiés à la transition retraite — instruments à 30-50 ans, garantie conjointe —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bookmarkEnd w:id="76"/>
    <w:bookmarkEnd w:id="77"/>
    <w:bookmarkStart w:id="83" w:name="phase-3-déploiement-2033-2042"/>
    <w:p>
      <w:pPr>
        <w:pStyle w:val="Heading3"/>
      </w:pPr>
      <w:r>
        <w:t xml:space="preserve">Phase 3 — Déploiement (2033-2042)</w:t>
      </w:r>
    </w:p>
    <w:bookmarkStart w:id="79" w:name="Xc4b780752869b78629b7f618966ed25c363c767"/>
    <w:p>
      <w:pPr>
        <w:pStyle w:val="Heading4"/>
      </w:pPr>
      <w:r>
        <w:t xml:space="preserve">Proposition 8 — Auto-enrolment universel, déployé par taille d’entreprise</w:t>
      </w:r>
    </w:p>
    <w:p>
      <w:pPr>
        <w:pStyle w:val="BlockText"/>
      </w:pPr>
      <w:r>
        <w:rPr>
          <w:i/>
          <w:iCs/>
        </w:rPr>
        <w:t xml:space="preserve">« Modèle NEST UK : 13 millions de membres, 80 % de couverture en sept ans. »</w:t>
      </w:r>
    </w:p>
    <w:p>
      <w:pPr>
        <w:pStyle w:val="FirstParagraph"/>
      </w:pPr>
      <w:r>
        <w:t xml:space="preserve">Tout employeur inscrit automatiquement ses salariés au FFC. L’opt-out reste légal — c’est la condition de constitutionnalité — mais l’inertie comportementale fait le travail : au Royaume-Uni, le taux d’opt-out observé entre octobre 2012 et octobre 2022 oscille entre 8 % et 12 % selon les années, jamais supérieur à 25 % même dans les TPE</w:t>
      </w:r>
      <w:r>
        <w:rPr>
          <w:rStyle w:val="FootnoteReference"/>
        </w:rPr>
        <w:footnoteReference w:id="78"/>
      </w:r>
      <w:r>
        <w:t xml:space="preserve">. Déploiement</w:t>
      </w:r>
      <w:r>
        <w:t xml:space="preserve"> </w:t>
      </w:r>
      <w:r>
        <w:rPr>
          <w:i/>
          <w:iCs/>
        </w:rPr>
        <w:t xml:space="preserve">staging</w:t>
      </w:r>
      <w:r>
        <w:t xml:space="preserve"> </w:t>
      </w:r>
      <w:r>
        <w:t xml:space="preserve">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bookmarkEnd w:id="79"/>
    <w:bookmarkStart w:id="80" w:name="Xd5a394f2274cbe30ccbc2163bd0a9180c8aa524"/>
    <w:p>
      <w:pPr>
        <w:pStyle w:val="Heading4"/>
      </w:pPr>
      <w:r>
        <w:t xml:space="preserve">Proposition 9 — Fléchage souverain : 25 % minimum sur PME et ETI françaises</w:t>
      </w:r>
    </w:p>
    <w:p>
      <w:pPr>
        <w:pStyle w:val="BlockText"/>
      </w:pPr>
      <w:r>
        <w:rPr>
          <w:i/>
          <w:iCs/>
        </w:rPr>
        <w:t xml:space="preserve">« 240 000 entreprises sans repreneur sur dix ans. Trois millions d’emplois en jeu. »</w:t>
      </w:r>
    </w:p>
    <w:p>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w:t>
      </w:r>
      <w:r>
        <w:t xml:space="preserve"> </w:t>
      </w:r>
      <w:r>
        <w:rPr>
          <w:i/>
          <w:iCs/>
        </w:rPr>
        <w:t xml:space="preserve">home bias</w:t>
      </w:r>
      <w:r>
        <w:t xml:space="preserve"> </w:t>
      </w:r>
      <w:r>
        <w:t xml:space="preserve">de 10 à 25 % —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bookmarkEnd w:id="80"/>
    <w:bookmarkStart w:id="82" w:name="X7d28f57fe4760da79f26894264a7ef8001f606c"/>
    <w:p>
      <w:pPr>
        <w:pStyle w:val="Heading4"/>
      </w:pPr>
      <w:r>
        <w:t xml:space="preserve">Proposition 10 — Garantie publique de rendement plancher : inflation + 1 %</w:t>
      </w:r>
    </w:p>
    <w:p>
      <w:pPr>
        <w:pStyle w:val="BlockText"/>
      </w:pPr>
      <w:r>
        <w:rPr>
          <w:i/>
          <w:iCs/>
        </w:rPr>
        <w:t xml:space="preserve">« Le risque, ce n’est pas la volatilité d’une année. C’est de ne pas pouvoir manger à 75 ans. »</w:t>
      </w:r>
    </w:p>
    <w:p>
      <w:pPr>
        <w:pStyle w:val="FirstParagraph"/>
      </w:pPr>
      <w:r>
        <w:t xml:space="preserve">L’État garantit un rendement réel plancher de 1 % par an sur la part capitalisée, calculé sur fenêtres glissantes de dix ans. C’est l’objection « casino » désarmée. Précédents :</w:t>
      </w:r>
      <w:r>
        <w:t xml:space="preserve"> </w:t>
      </w:r>
      <w:r>
        <w:rPr>
          <w:i/>
          <w:iCs/>
        </w:rPr>
        <w:t xml:space="preserve">Garantipension</w:t>
      </w:r>
      <w:r>
        <w:t xml:space="preserve"> </w:t>
      </w:r>
      <w:r>
        <w:t xml:space="preserve">suédoise,</w:t>
      </w:r>
      <w:r>
        <w:t xml:space="preserve"> </w:t>
      </w:r>
      <w:r>
        <w:rPr>
          <w:i/>
          <w:iCs/>
        </w:rPr>
        <w:t xml:space="preserve">Pension Protection Fund</w:t>
      </w:r>
      <w:r>
        <w:t xml:space="preserve"> </w:t>
      </w:r>
      <w:r>
        <w:t xml:space="preserve">britannique,</w:t>
      </w:r>
      <w:r>
        <w:t xml:space="preserve"> </w:t>
      </w:r>
      <w:r>
        <w:rPr>
          <w:i/>
          <w:iCs/>
        </w:rPr>
        <w:t xml:space="preserve">funding ratio</w:t>
      </w:r>
      <w:r>
        <w:t xml:space="preserve"> </w:t>
      </w:r>
      <w:r>
        <w:t xml:space="preserve">minimum de 105 % imposé par la DNB néerlandaise</w:t>
      </w:r>
      <w:r>
        <w:rPr>
          <w:rStyle w:val="FootnoteReference"/>
        </w:rPr>
        <w:footnoteReference w:id="81"/>
      </w:r>
      <w:r>
        <w:t xml:space="preserve">.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bookmarkEnd w:id="82"/>
    <w:bookmarkEnd w:id="83"/>
    <w:bookmarkStart w:id="87" w:name="phase-4-maturation-2043-2052"/>
    <w:p>
      <w:pPr>
        <w:pStyle w:val="Heading3"/>
      </w:pPr>
      <w:r>
        <w:t xml:space="preserve">Phase 4 — Maturation (2043-2052)</w:t>
      </w:r>
    </w:p>
    <w:bookmarkStart w:id="84" w:name="X740b18e4b39a6ba941d441949ed79d93efefc4d"/>
    <w:p>
      <w:pPr>
        <w:pStyle w:val="Heading4"/>
      </w:pPr>
      <w:r>
        <w:t xml:space="preserve">Proposition 11 — Transparence radicale institutionnalisée</w:t>
      </w:r>
    </w:p>
    <w:p>
      <w:pPr>
        <w:pStyle w:val="BlockText"/>
      </w:pPr>
      <w:r>
        <w:rPr>
          <w:i/>
          <w:iCs/>
        </w:rPr>
        <w:t xml:space="preserve">« Modèle CPPIB Canada : tout est public, des frais aux votes en assemblée d’actionnaires. »</w:t>
      </w:r>
    </w:p>
    <w:p>
      <w:pPr>
        <w:pStyle w:val="FirstParagraph"/>
      </w:pPr>
      <w:r>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w:t>
      </w:r>
      <w:r>
        <w:t xml:space="preserve"> </w:t>
      </w:r>
      <w:r>
        <w:rPr>
          <w:i/>
          <w:iCs/>
        </w:rPr>
        <w:t xml:space="preserve">open data</w:t>
      </w:r>
      <w:r>
        <w:t xml:space="preserve">. Cette transparence est la condition de durée du pacte de confiance — c’est elle qui, en Suède et au Canada, désarme les attaques périodiques contre les fonds publics. La France a ici une longueur d’avance institutionnelle : la Cour des comptes, l’ACPR et l’AMF disposent déjà des compétences. Reste à les mobiliser.</w:t>
      </w:r>
    </w:p>
    <w:bookmarkEnd w:id="84"/>
    <w:bookmarkStart w:id="86" w:name="Xa7cd3edab71a7e7a2ac4ff2be95faa1cfa09eaf"/>
    <w:p>
      <w:pPr>
        <w:pStyle w:val="Heading4"/>
      </w:pPr>
      <w:r>
        <w:t xml:space="preserve">Proposition 12 — Pacte intergénérationnel : sous-indexation des pensions 1 % sous l’inflation, dix ans</w:t>
      </w:r>
    </w:p>
    <w:p>
      <w:pPr>
        <w:pStyle w:val="BlockText"/>
      </w:pPr>
      <w:r>
        <w:rPr>
          <w:i/>
          <w:iCs/>
        </w:rPr>
        <w:t xml:space="preserve">« Les retraités d’aujourd’hui ont bénéficié d’un TRI de 5,8 % par an du système. La génération suivante en attendra 1,5 %. »</w:t>
      </w:r>
    </w:p>
    <w:p>
      <w:pPr>
        <w:pStyle w:val="FirstParagraph"/>
      </w:pPr>
      <w:r>
        <w:t xml:space="preserve">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85"/>
      </w:r>
      <w:r>
        <w:t xml:space="preserve">. Modération appliquée au-dessus du minimum vieillesse, intégralement préservé. Expressément temporaire : retour à indexation pleine en 2053. L’équité intergénérationnelle ne se décrète pas. Elle se finance.</w:t>
      </w:r>
    </w:p>
    <w:bookmarkEnd w:id="86"/>
    <w:bookmarkEnd w:id="87"/>
    <w:bookmarkStart w:id="89" w:name="ce-que-le-système-atteint-en-2052"/>
    <w:p>
      <w:pPr>
        <w:pStyle w:val="Heading3"/>
      </w:pPr>
      <w:r>
        <w:t xml:space="preserve">Ce que le système atteint en 2052</w:t>
      </w:r>
    </w:p>
    <w:p>
      <w:pPr>
        <w:pStyle w:val="FirstParagraph"/>
      </w:pPr>
      <w:r>
        <w:t xml:space="preserve">À cet horizon, et selon la modélisation Python validée du scénario D, l’encours capitalisé français approche</w:t>
      </w:r>
      <w:r>
        <w:t xml:space="preserve"> </w:t>
      </w:r>
      <w:r>
        <w:rPr>
          <w:b/>
          <w:bCs/>
        </w:rPr>
        <w:t xml:space="preserve">2 700 à 3 000 Md€</w:t>
      </w:r>
      <w:r>
        <w:t xml:space="preserve"> </w:t>
      </w:r>
      <w:r>
        <w:t xml:space="preserve">en euros constants 2026, soit environ 69 % du PIB</w:t>
      </w:r>
      <w:r>
        <w:rPr>
          <w:rStyle w:val="FootnoteReference"/>
        </w:rPr>
        <w:footnoteReference w:id="88"/>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 elle pèse toujours pour les deux tiers du revenu de retraite, mais elle est désormais épaulée par un tiers capitalisé qui amortit le choc démographique et finance, accessoirement, l’économie française elle-même. Le déficit COR projeté à -45 Md€/an en 2070 dans le scénario statu quo est réduit à -1,6 Md€/an dans le scénario D — quasiment résorbé.</w:t>
      </w:r>
    </w:p>
    <w:p>
      <w:pPr>
        <w:pStyle w:val="BodyText"/>
      </w:pPr>
      <w:r>
        <w:t xml:space="preserve">Comparaison internationale, pour situer l’ordre de grandeur. L’Australie, en 2025, affiche un encours de l’ordre de 160 % du PIB après trente-trois ans à 12 % de cotisation. Le Canada CPPIB gère ~25 % du PIB canadien après vingt-huit ans. Les Pays-Bas dépassent 200 %. La France à 69 % en 2052 ne rattrape pas le sommet. Elle comble la moitié de son retard, et c’est exactement ce que vingt-cinq ans permettent de faire — ni plus, ni moins.</w:t>
      </w:r>
    </w:p>
    <w:p>
      <w:r>
        <w:pict>
          <v:rect style="width:0;height:1.5pt" o:hralign="center" o:hrstd="t" o:hr="t"/>
        </w:pict>
      </w:r>
    </w:p>
    <w:bookmarkEnd w:id="89"/>
    <w:bookmarkEnd w:id="90"/>
    <w:bookmarkStart w:id="91" w:name="conclusion-choisir-enfin"/>
    <w:p>
      <w:pPr>
        <w:pStyle w:val="Heading2"/>
      </w:pPr>
      <w:r>
        <w:t xml:space="preserve">Conclusion — Choisir, enfin</w:t>
      </w:r>
    </w:p>
    <w:p>
      <w:pPr>
        <w:pStyle w:val="FirstParagraph"/>
      </w:pPr>
      <w:r>
        <w:t xml:space="preserve">Trois sections, douze propositions, deux voies. Le travail théorique du livre est, à ce stade, achevé.</w:t>
      </w:r>
    </w:p>
    <w:p>
      <w:pPr>
        <w:pStyle w:val="BodyText"/>
      </w:pPr>
      <w:r>
        <w:t xml:space="preserve">Les enjeux structurels convergent vers un seul cheminement raisonnable. La méthode politique admet deux modulations — la concertation longue à la suédoise, la rapidité négociée à l’australienne — qui partagent un socle institutionnel commun de cinq fondations non négociables. Le calendrier opérationnel se déploie en quatre phases sur vingt-cinq ans, articulant douze propositions concrètes qui transforment le possible en réel.</w:t>
      </w:r>
    </w:p>
    <w:p>
      <w:pPr>
        <w:pStyle w:val="BodyText"/>
      </w:pPr>
      <w:r>
        <w:t xml:space="preserve">Le choix politique fondamental est binaire.</w:t>
      </w:r>
      <w:r>
        <w:t xml:space="preserve"> </w:t>
      </w:r>
      <w:r>
        <w:rPr>
          <w:b/>
          <w:bCs/>
        </w:rPr>
        <w:t xml:space="preserve">Voie A</w:t>
      </w:r>
      <w:r>
        <w:t xml:space="preserve">, la concertation longue : Commission indépendante mandatée en 2027, accord pluripartite signé en 2028, loi-cadre à majorité qualifiée, garantie de rendement publique, cotisation patronale montée sur quinze ans. Durabilité maximale, démarrage plus lent.</w:t>
      </w:r>
      <w:r>
        <w:t xml:space="preserve"> </w:t>
      </w:r>
      <w:r>
        <w:rPr>
          <w:b/>
          <w:bCs/>
        </w:rPr>
        <w:t xml:space="preserve">Voie B</w:t>
      </w:r>
      <w:r>
        <w:t xml:space="preserve">, la rapidité négociée : auto-enrolment dès 2028, cotisation patronale gravée par paliers annuels, eurobonds dédiés pour lisser la bosse, pacte syndical CFDT-CFE-CGC au cœur du dispositif. Calendrier précis, démarrage immédiat, mais fragilité plus grande à l’alternance si le pacte se délite.</w:t>
      </w:r>
    </w:p>
    <w:p>
      <w:pPr>
        <w:pStyle w:val="BodyText"/>
      </w:pPr>
      <w:r>
        <w:t xml:space="preserve">Mais la France</w:t>
      </w:r>
      <w:r>
        <w:t xml:space="preserve"> </w:t>
      </w:r>
      <w:r>
        <w:rPr>
          <w:b/>
          <w:bCs/>
        </w:rPr>
        <w:t xml:space="preserve">doit choisir</w:t>
      </w:r>
      <w:r>
        <w:t xml:space="preserve">. La pire option est l’immobilisme — celui qui depuis trente ans laisse le déficit COR grossir vers les 45 Md€/an en 2070 et plus de 36 Md€ de dividendes du CAC 40 partir chaque année vers les retraites des autres. La deuxième pire est le décret-loi à la chilienne, sans concertation, sans pacte — celle qui a échoué là où elle a été tentée, et que la loi 21735 chilienne de janvier 2025 vient de défaire à 110 voix contre 38.</w:t>
      </w:r>
    </w:p>
    <w:p>
      <w:pPr>
        <w:pStyle w:val="BodyText"/>
      </w:pPr>
      <w:r>
        <w:t xml:space="preserve">Reste à désamorcer les cinq mensonges qui, depuis trente ans, ont empêché ce choix d’être posé. C’est l’objet du dernier chapitre.</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Pour la Suède : Bo Könberg, Edward Palmer, Annika Sundén, « The 1994 Swedish Pension Reform »,</w:t>
      </w:r>
      <w:r>
        <w:t xml:space="preserve"> </w:t>
      </w:r>
      <w:r>
        <w:rPr>
          <w:i/>
          <w:iCs/>
        </w:rPr>
        <w:t xml:space="preserve">International Social Security Review</w:t>
      </w:r>
      <w:r>
        <w:t xml:space="preserve">, vol. 59, 2006. Pour l’Australie :</w:t>
      </w:r>
      <w:r>
        <w:t xml:space="preserve"> </w:t>
      </w:r>
      <w:r>
        <w:rPr>
          <w:i/>
          <w:iCs/>
        </w:rPr>
        <w:t xml:space="preserve">Superannuation Guarantee (Administration) Act 1992</w:t>
      </w:r>
      <w:r>
        <w:t xml:space="preserve">,</w:t>
      </w:r>
      <w:r>
        <w:t xml:space="preserve"> </w:t>
      </w:r>
      <w:r>
        <w:rPr>
          <w:i/>
          <w:iCs/>
        </w:rPr>
        <w:t xml:space="preserve">Royal Assent</w:t>
      </w:r>
      <w:r>
        <w:t xml:space="preserve"> </w:t>
      </w:r>
      <w:r>
        <w:t xml:space="preserve">du 21 août 1992 ; ATO,</w:t>
      </w:r>
      <w:r>
        <w:t xml:space="preserve"> </w:t>
      </w:r>
      <w:r>
        <w:rPr>
          <w:i/>
          <w:iCs/>
        </w:rPr>
        <w:t xml:space="preserve">Key Superannuation Rates and Thresholds</w:t>
      </w:r>
      <w:r>
        <w:t xml:space="preserve">, 2025 (palier de 12 % atteint en juillet 2025). Pour le Royaume-Uni :</w:t>
      </w:r>
      <w:r>
        <w:t xml:space="preserve"> </w:t>
      </w:r>
      <w:r>
        <w:rPr>
          <w:i/>
          <w:iCs/>
        </w:rPr>
        <w:t xml:space="preserve">Pensions Act 2008</w:t>
      </w:r>
      <w:r>
        <w:t xml:space="preserve"> </w:t>
      </w:r>
      <w:r>
        <w:t xml:space="preserve">; The Pensions Regulator,</w:t>
      </w:r>
      <w:r>
        <w:t xml:space="preserve"> </w:t>
      </w:r>
      <w:r>
        <w:rPr>
          <w:i/>
          <w:iCs/>
        </w:rPr>
        <w:t xml:space="preserve">Workplace Pensions: Annual Report 2024</w:t>
      </w:r>
      <w:r>
        <w:t xml:space="preserve">. Pour le Canada : Office of the Superintendent of Financial Institutions,</w:t>
      </w:r>
      <w:r>
        <w:t xml:space="preserve"> </w:t>
      </w:r>
      <w:r>
        <w:rPr>
          <w:i/>
          <w:iCs/>
        </w:rPr>
        <w:t xml:space="preserve">Actuarial Report on the Canada Pension Plan</w:t>
      </w:r>
      <w:r>
        <w:t xml:space="preserve">, 2024.</w:t>
      </w:r>
    </w:p>
  </w:footnote>
  <w:footnote w:id="10">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janvier 2026. Indicateur conjoncturel de fécondité : 1,56 enfant par femme en 2025, en recul continu depuis le pic de 2,03 en 2010, plus bas niveau enregistré depuis 1915 hors guerres.</w:t>
      </w:r>
    </w:p>
  </w:footnote>
  <w:footnote w:id="11">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Ratio cotisants/retraités tous régimes : 1,79 en 2024, projection à 1,41 en 2070 dans le scénario central.</w:t>
      </w:r>
    </w:p>
  </w:footnote>
  <w:footnote w:id="12">
    <w:p>
      <w:pPr>
        <w:pStyle w:val="FootnoteText"/>
      </w:pPr>
      <w:r>
        <w:rPr>
          <w:rStyle w:val="FootnoteReference"/>
        </w:rPr>
        <w:footnoteRef/>
      </w:r>
      <w:r>
        <w:t xml:space="preserve"> </w:t>
      </w:r>
      <w:r>
        <w:t xml:space="preserve">ATO,</w:t>
      </w:r>
      <w:r>
        <w:t xml:space="preserve"> </w:t>
      </w:r>
      <w:r>
        <w:rPr>
          <w:i/>
          <w:iCs/>
        </w:rPr>
        <w:t xml:space="preserve">Key Superannuation Rates</w:t>
      </w:r>
      <w:r>
        <w:t xml:space="preserve">, historique 1992-2025. Gel à 9 % sous Howard 2002-2007, regel à 9,25 % sous Abbott 2014. Reprise sous Albanese en 2021, atteinte de 12 % en juillet 2025.</w:t>
      </w:r>
    </w:p>
  </w:footnote>
  <w:footnote w:id="14">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2025. Encours fin 2024 : 20,4 Md€, en baisse depuis le pic de 36 Md€ en 2010. Rendement réel net 2024 : +6,46 %. Rendement annualisé 2003-2024 : 4,1 %.</w:t>
      </w:r>
    </w:p>
  </w:footnote>
  <w:footnote w:id="15">
    <w:p>
      <w:pPr>
        <w:pStyle w:val="FootnoteText"/>
      </w:pPr>
      <w:r>
        <w:rPr>
          <w:rStyle w:val="FootnoteReference"/>
        </w:rPr>
        <w:footnoteRef/>
      </w:r>
      <w:r>
        <w:t xml:space="preserve"> </w:t>
      </w:r>
      <w:r>
        <w:t xml:space="preserve">France Stratégie,</w:t>
      </w:r>
      <w:r>
        <w:t xml:space="preserve"> </w:t>
      </w:r>
      <w:r>
        <w:rPr>
          <w:i/>
          <w:iCs/>
        </w:rPr>
        <w:t xml:space="preserve">Eurobonds retraite : faisabilité et modalités</w:t>
      </w:r>
      <w:r>
        <w:t xml:space="preserve">,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16">
    <w:p>
      <w:pPr>
        <w:pStyle w:val="FootnoteText"/>
      </w:pPr>
      <w:r>
        <w:rPr>
          <w:rStyle w:val="FootnoteReference"/>
        </w:rPr>
        <w:footnoteRef/>
      </w:r>
      <w:r>
        <w:t xml:space="preserve"> </w:t>
      </w:r>
      <w:r>
        <w:t xml:space="preserve">FIPECO,</w:t>
      </w:r>
      <w:r>
        <w:t xml:space="preserve"> </w:t>
      </w:r>
      <w:r>
        <w:rPr>
          <w:i/>
          <w:iCs/>
        </w:rPr>
        <w:t xml:space="preserve">La CSG, son montant et son affectation</w:t>
      </w:r>
      <w:r>
        <w:t xml:space="preserve">, 2025 ; DG Trésor,</w:t>
      </w:r>
      <w:r>
        <w:t xml:space="preserve"> </w:t>
      </w:r>
      <w:r>
        <w:rPr>
          <w:i/>
          <w:iCs/>
        </w:rPr>
        <w:t xml:space="preserve">Rapport économique, social et financier 2025</w:t>
      </w:r>
      <w:r>
        <w:t xml:space="preserve">. Rendement d’un point de CSG 2024 : 16-17 Md€ sur la masse globale des revenus assujettis.</w:t>
      </w:r>
    </w:p>
  </w:footnote>
  <w:footnote w:id="17">
    <w:p>
      <w:pPr>
        <w:pStyle w:val="FootnoteText"/>
      </w:pPr>
      <w:r>
        <w:rPr>
          <w:rStyle w:val="FootnoteReference"/>
        </w:rPr>
        <w:footnoteRef/>
      </w:r>
      <w:r>
        <w:t xml:space="preserve"> </w:t>
      </w:r>
      <w:r>
        <w:t xml:space="preserve">INSEE,</w:t>
      </w:r>
      <w:r>
        <w:t xml:space="preserve"> </w:t>
      </w:r>
      <w:r>
        <w:rPr>
          <w:i/>
          <w:iCs/>
        </w:rPr>
        <w:t xml:space="preserve">Comptes nationaux 2025</w:t>
      </w:r>
      <w:r>
        <w:t xml:space="preserve">. Masse salariale brute du secteur privé France 2027 estimée à ~1 100 Md€ constants 2026. Une cotisation patronale nouvelle de 1 % rapporte donc à pleine charge ~11 Md€/an, 2 % ~22 Md€/an.</w:t>
      </w:r>
    </w:p>
  </w:footnote>
  <w:footnote w:id="18">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déficit du système de retraites -5 Md€ en 2025, -6,6 Md€ en 2030, -45 Md€ en 2070, soit -1,4 % du PIB à cet horizon.</w:t>
      </w:r>
    </w:p>
  </w:footnote>
  <w:footnote w:id="19">
    <w:p>
      <w:pPr>
        <w:pStyle w:val="FootnoteText"/>
      </w:pPr>
      <w:r>
        <w:rPr>
          <w:rStyle w:val="FootnoteReference"/>
        </w:rPr>
        <w:footnoteRef/>
      </w:r>
      <w:r>
        <w:t xml:space="preserve"> </w:t>
      </w:r>
      <w:r>
        <w:t xml:space="preserve">Commission européenne,</w:t>
      </w:r>
      <w:r>
        <w:t xml:space="preserve"> </w:t>
      </w:r>
      <w:r>
        <w:rPr>
          <w:i/>
          <w:iCs/>
        </w:rPr>
        <w:t xml:space="preserve">2024 Ageing Report: Economic and Budgetary Projections for the EU Member States (2022-2070)</w:t>
      </w:r>
      <w:r>
        <w:t xml:space="preserve">, mai 2024. Passif implicite des retraites France évalué à environ 417 % du PIB en 2021 sous taux d’actualisation de 1 %. Méthode comparée dans Jean-Marc Daniel,</w:t>
      </w:r>
      <w:r>
        <w:t xml:space="preserve"> </w:t>
      </w:r>
      <w:r>
        <w:rPr>
          <w:i/>
          <w:iCs/>
        </w:rPr>
        <w:t xml:space="preserve">Les comptes publics de la France</w:t>
      </w:r>
      <w:r>
        <w:t xml:space="preserve">, La Documentation française, 2023.</w:t>
      </w:r>
    </w:p>
  </w:footnote>
  <w:footnote w:id="21">
    <w:p>
      <w:pPr>
        <w:pStyle w:val="FootnoteText"/>
      </w:pPr>
      <w:r>
        <w:rPr>
          <w:rStyle w:val="FootnoteReference"/>
        </w:rPr>
        <w:footnoteRef/>
      </w:r>
      <w:r>
        <w:t xml:space="preserve"> </w:t>
      </w:r>
      <w:r>
        <w:t xml:space="preserve">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w:t>
      </w:r>
      <w:r>
        <w:t xml:space="preserve"> </w:t>
      </w:r>
      <w:r>
        <w:rPr>
          <w:i/>
          <w:iCs/>
        </w:rPr>
        <w:t xml:space="preserve">Poland: Pension Reform and Future Pension Adequacy</w:t>
      </w:r>
      <w:r>
        <w:t xml:space="preserve">, 2017.</w:t>
      </w:r>
    </w:p>
  </w:footnote>
  <w:footnote w:id="22">
    <w:p>
      <w:pPr>
        <w:pStyle w:val="FootnoteText"/>
      </w:pPr>
      <w:r>
        <w:rPr>
          <w:rStyle w:val="FootnoteReference"/>
        </w:rPr>
        <w:footnoteRef/>
      </w:r>
      <w:r>
        <w:t xml:space="preserve"> </w:t>
      </w:r>
      <w:r>
        <w:t xml:space="preserve">NEST Corporation,</w:t>
      </w:r>
      <w:r>
        <w:t xml:space="preserve"> </w:t>
      </w:r>
      <w:r>
        <w:rPr>
          <w:i/>
          <w:iCs/>
        </w:rPr>
        <w:t xml:space="preserve">Annual Report and Accounts 2024-25</w:t>
      </w:r>
      <w:r>
        <w:t xml:space="preserve">, 2025. NEST gère 49,7 Md£ d’actifs au 31 mars 2025, pour ~13 millions de membres, couverture estimée 80 % des éligibles.</w:t>
      </w:r>
      <w:r>
        <w:t xml:space="preserve"> </w:t>
      </w:r>
      <w:r>
        <w:rPr>
          <w:i/>
          <w:iCs/>
        </w:rPr>
        <w:t xml:space="preserve">Pensions Act 2008</w:t>
      </w:r>
      <w:r>
        <w:t xml:space="preserve">, staging octobre 2012 (&gt; 50 000 salariés) à avril 2018 (TPE), taux porté à 8 % en avril 2019.</w:t>
      </w:r>
    </w:p>
  </w:footnote>
  <w:footnote w:id="23">
    <w:p>
      <w:pPr>
        <w:pStyle w:val="FootnoteText"/>
      </w:pPr>
      <w:r>
        <w:rPr>
          <w:rStyle w:val="FootnoteReference"/>
        </w:rPr>
        <w:footnoteRef/>
      </w:r>
      <w:r>
        <w:t xml:space="preserve"> </w:t>
      </w:r>
      <w:r>
        <w:t xml:space="preserve">BMAS,</w:t>
      </w:r>
      <w:r>
        <w:t xml:space="preserve"> </w:t>
      </w:r>
      <w:r>
        <w:rPr>
          <w:i/>
          <w:iCs/>
        </w:rPr>
        <w:t xml:space="preserve">Alterssicherung in Deutschland 2024</w:t>
      </w:r>
      <w:r>
        <w:t xml:space="preserve">, 2024. ~9,7 millions d’actifs détenaient un contrat Riester en cours en 2024, sur un pic de 16,5 millions de contrats cumulés émis depuis 2002. Coût budgétaire annuel des subventions Riester : ~4 Md€/an, taux d’adoption &lt; 30 % du public cible.</w:t>
      </w:r>
    </w:p>
  </w:footnote>
  <w:footnote w:id="24">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Plus de 11 millions de PER détenus fin 2024 (loi PACTE 2019-486 du 22 mai 2019). Encours total ~110 Md€, encours moyen ~3 400 €. Cour des comptes,</w:t>
      </w:r>
      <w:r>
        <w:t xml:space="preserve"> </w:t>
      </w:r>
      <w:r>
        <w:rPr>
          <w:i/>
          <w:iCs/>
        </w:rPr>
        <w:t xml:space="preserve">Le système de retraite par capitalisation en France</w:t>
      </w:r>
      <w:r>
        <w:t xml:space="preserve">, rapport public thématique, février 2024 — concentration des versements PER sur les déciles supérieurs.</w:t>
      </w:r>
    </w:p>
  </w:footnote>
  <w:footnote w:id="26">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Échantillon représentatif d’environ 1 000 personnes interrogées en ligne. Voir aussi Cercle de l’Épargne / Amphitéa,</w:t>
      </w:r>
      <w:r>
        <w:t xml:space="preserve"> </w:t>
      </w:r>
      <w:r>
        <w:rPr>
          <w:i/>
          <w:iCs/>
        </w:rPr>
        <w:t xml:space="preserve">Les Français, l’épargne et la retraite 2025</w:t>
      </w:r>
      <w:r>
        <w:t xml:space="preserve">, IFOP, 1 000 répondants, 25-26 mars 2025 : 62 % des non-retraités estiment qu’il faut commencer à épargner avant 35 ans, 48 % chez les 18-24 ans.</w:t>
      </w:r>
    </w:p>
  </w:footnote>
  <w:footnote w:id="27">
    <w:p>
      <w:pPr>
        <w:pStyle w:val="FootnoteText"/>
      </w:pPr>
      <w:r>
        <w:rPr>
          <w:rStyle w:val="FootnoteReference"/>
        </w:rPr>
        <w:footnoteRef/>
      </w:r>
      <w:r>
        <w:t xml:space="preserve"> </w:t>
      </w:r>
      <w:r>
        <w:t xml:space="preserve">Autorité des marchés financiers,</w:t>
      </w:r>
      <w:r>
        <w:t xml:space="preserve"> </w:t>
      </w:r>
      <w:r>
        <w:rPr>
          <w:i/>
          <w:iCs/>
        </w:rPr>
        <w:t xml:space="preserve">Baromètre 2024 de l’épargne et de l’investissement</w:t>
      </w:r>
      <w:r>
        <w:t xml:space="preserve">, octobre 2024, 2 044 répondants.</w:t>
      </w:r>
    </w:p>
  </w:footnote>
  <w:footnote w:id="28">
    <w:p>
      <w:pPr>
        <w:pStyle w:val="FootnoteText"/>
      </w:pPr>
      <w:r>
        <w:rPr>
          <w:rStyle w:val="FootnoteReference"/>
        </w:rPr>
        <w:footnoteRef/>
      </w:r>
      <w:r>
        <w:t xml:space="preserve"> </w:t>
      </w:r>
      <w:r>
        <w:t xml:space="preserve">Positions publiques documentées dans Bertrand Martinot,</w:t>
      </w:r>
      <w:r>
        <w:t xml:space="preserve"> </w:t>
      </w:r>
      <w:r>
        <w:rPr>
          <w:i/>
          <w:iCs/>
        </w:rPr>
        <w:t xml:space="preserve">La capitalisation : un moyen de sortir par le haut de la crise des retraites ?</w:t>
      </w:r>
      <w:r>
        <w:t xml:space="preserve">, Fondation pour l’innovation politique, octobre 2024, annexe 3. Position CFDT : Marylise Léon, entretien</w:t>
      </w:r>
      <w:r>
        <w:t xml:space="preserve"> </w:t>
      </w:r>
      <w:r>
        <w:rPr>
          <w:i/>
          <w:iCs/>
        </w:rPr>
        <w:t xml:space="preserve">Les Échos</w:t>
      </w:r>
      <w:r>
        <w:t xml:space="preserve">, 12 mars 2025. Position CFE-CGC : Christelle Thieffine, février 2025.</w:t>
      </w:r>
    </w:p>
  </w:footnote>
  <w:footnote w:id="29">
    <w:p>
      <w:pPr>
        <w:pStyle w:val="FootnoteText"/>
      </w:pPr>
      <w:r>
        <w:rPr>
          <w:rStyle w:val="FootnoteReference"/>
        </w:rPr>
        <w:footnoteRef/>
      </w:r>
      <w:r>
        <w:t xml:space="preserve"> </w:t>
      </w:r>
      <w:r>
        <w:t xml:space="preserve">Loi n° 97-277 du 25 mars 1997, dite « loi Thomas ». Portée par le député Jean-Pierre Thomas (RPR), votée sous le gouvernement Juppé. Abrogée par la loi n° 2002-73 du 17 janvier 2002 (loi de modernisation sociale).</w:t>
      </w:r>
    </w:p>
  </w:footnote>
  <w:footnote w:id="30">
    <w:p>
      <w:pPr>
        <w:pStyle w:val="FootnoteText"/>
      </w:pPr>
      <w:r>
        <w:rPr>
          <w:rStyle w:val="FootnoteReference"/>
        </w:rPr>
        <w:footnoteRef/>
      </w:r>
      <w:r>
        <w:t xml:space="preserve"> </w:t>
      </w:r>
      <w:r>
        <w:t xml:space="preserve">Jean-Paul Delevoye,</w:t>
      </w:r>
      <w:r>
        <w:t xml:space="preserve"> </w:t>
      </w:r>
      <w:r>
        <w:rPr>
          <w:i/>
          <w:iCs/>
        </w:rPr>
        <w:t xml:space="preserve">Pour un système universel de retraite</w:t>
      </w:r>
      <w:r>
        <w:t xml:space="preserve">, rapport au Premier ministre, juillet 2019. Démission du Haut-commissaire le 16 décembre 2019. Grèves cumulées les plus longues depuis 1995 (45 jours à la RATP).</w:t>
      </w:r>
    </w:p>
  </w:footnote>
  <w:footnote w:id="31">
    <w:p>
      <w:pPr>
        <w:pStyle w:val="FootnoteText"/>
      </w:pPr>
      <w:r>
        <w:rPr>
          <w:rStyle w:val="FootnoteReference"/>
        </w:rPr>
        <w:footnoteRef/>
      </w:r>
      <w:r>
        <w:t xml:space="preserve"> </w:t>
      </w:r>
      <w:r>
        <w:t xml:space="preserve">Loi n° 2023-270 du 14 avril 2023 de financement rectificative de la sécurité sociale, validée par DC 2023-849. LFSS 2026 suspendant l’application du recul de l’âge aux générations nées avant le 1ᵉʳ janvier 1969.</w:t>
      </w:r>
    </w:p>
  </w:footnote>
  <w:footnote w:id="33">
    <w:p>
      <w:pPr>
        <w:pStyle w:val="FootnoteText"/>
      </w:pPr>
      <w:r>
        <w:rPr>
          <w:rStyle w:val="FootnoteReference"/>
        </w:rPr>
        <w:footnoteRef/>
      </w:r>
      <w:r>
        <w:t xml:space="preserve"> </w:t>
      </w:r>
      <w:r>
        <w:t xml:space="preserve">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34">
    <w:p>
      <w:pPr>
        <w:pStyle w:val="FootnoteText"/>
      </w:pPr>
      <w:r>
        <w:rPr>
          <w:rStyle w:val="FootnoteReference"/>
        </w:rPr>
        <w:footnoteRef/>
      </w:r>
      <w:r>
        <w:t xml:space="preserve"> </w:t>
      </w:r>
      <w:r>
        <w:t xml:space="preserve">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35">
    <w:p>
      <w:pPr>
        <w:pStyle w:val="FootnoteText"/>
      </w:pPr>
      <w:r>
        <w:rPr>
          <w:rStyle w:val="FootnoteReference"/>
        </w:rPr>
        <w:footnoteRef/>
      </w:r>
      <w:r>
        <w:t xml:space="preserve"> </w:t>
      </w:r>
      <w:r>
        <w:t xml:space="preserve">CEDH,</w:t>
      </w:r>
      <w:r>
        <w:t xml:space="preserve"> </w:t>
      </w:r>
      <w:r>
        <w:rPr>
          <w:i/>
          <w:iCs/>
        </w:rPr>
        <w:t xml:space="preserve">Apostolakis c. Grèce</w:t>
      </w:r>
      <w:r>
        <w:t xml:space="preserve">, requête 39574/07, arrêt du 22 octobre 2009. Fonctionnaire grec</w:t>
      </w:r>
      <w:r>
        <w:t xml:space="preserve"> </w:t>
      </w:r>
      <w:r>
        <w:rPr>
          <w:b/>
          <w:bCs/>
        </w:rPr>
        <w:t xml:space="preserve">condamné pénalement</w:t>
      </w:r>
      <w:r>
        <w:t xml:space="preserve"> </w:t>
      </w:r>
      <w:r>
        <w:t xml:space="preserve">dont les droits à pension et la couverture sociale ont été intégralement supprimés. Violation de l’article 1 du protocole 1.</w:t>
      </w:r>
    </w:p>
  </w:footnote>
  <w:footnote w:id="36">
    <w:p>
      <w:pPr>
        <w:pStyle w:val="FootnoteText"/>
      </w:pPr>
      <w:r>
        <w:rPr>
          <w:rStyle w:val="FootnoteReference"/>
        </w:rPr>
        <w:footnoteRef/>
      </w:r>
      <w:r>
        <w:t xml:space="preserve"> </w:t>
      </w:r>
      <w:r>
        <w:t xml:space="preserve">CEDH,</w:t>
      </w:r>
      <w:r>
        <w:t xml:space="preserve"> </w:t>
      </w:r>
      <w:r>
        <w:rPr>
          <w:i/>
          <w:iCs/>
        </w:rPr>
        <w:t xml:space="preserve">Béláné Nagy c. Hongrie</w:t>
      </w:r>
      <w:r>
        <w:t xml:space="preserve">, Grande Chambre, requête n° 53080/13, arrêt du 13 décembre 2016. Une pension versée pendant plusieurs années crée une expectative légitime, dont la suppression rétroactive constitue une violation de l’article 1 du protocole 1.</w:t>
      </w:r>
    </w:p>
  </w:footnote>
  <w:footnote w:id="37">
    <w:p>
      <w:pPr>
        <w:pStyle w:val="FootnoteText"/>
      </w:pPr>
      <w:r>
        <w:rPr>
          <w:rStyle w:val="FootnoteReference"/>
        </w:rPr>
        <w:footnoteRef/>
      </w:r>
      <w:r>
        <w:t xml:space="preserve"> </w:t>
      </w:r>
      <w:r>
        <w:t xml:space="preserve">CEDH,</w:t>
      </w:r>
      <w:r>
        <w:t xml:space="preserve"> </w:t>
      </w:r>
      <w:r>
        <w:rPr>
          <w:i/>
          <w:iCs/>
        </w:rPr>
        <w:t xml:space="preserve">Stec et autres c. Royaume-Uni</w:t>
      </w:r>
      <w:r>
        <w:t xml:space="preserve">, Grande Chambre, requêtes 65731/01 et 65900/01, arrêt du 12 avril 2006. Les différences de traitement fondées sur l’âge sont admises si elles poursuivent un but légitime et reposent sur une justification objective et raisonnable.</w:t>
      </w:r>
    </w:p>
  </w:footnote>
  <w:footnote w:id="38">
    <w:p>
      <w:pPr>
        <w:pStyle w:val="FootnoteText"/>
      </w:pPr>
      <w:r>
        <w:rPr>
          <w:rStyle w:val="FootnoteReference"/>
        </w:rPr>
        <w:footnoteRef/>
      </w:r>
      <w:r>
        <w:t xml:space="preserve"> </w:t>
      </w:r>
      <w:r>
        <w:t xml:space="preserve">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41">
    <w:p>
      <w:pPr>
        <w:pStyle w:val="FootnoteText"/>
      </w:pPr>
      <w:r>
        <w:rPr>
          <w:rStyle w:val="FootnoteReference"/>
        </w:rPr>
        <w:footnoteRef/>
      </w:r>
      <w:r>
        <w:t xml:space="preserve"> </w:t>
      </w:r>
      <w:r>
        <w:t xml:space="preserve">Pensionsmyndigheten,</w:t>
      </w:r>
      <w:r>
        <w:t xml:space="preserve"> </w:t>
      </w:r>
      <w:r>
        <w:rPr>
          <w:i/>
          <w:iCs/>
        </w:rPr>
        <w:t xml:space="preserve">Pensionsöverenskommelsen 1994</w:t>
      </w:r>
      <w:r>
        <w:t xml:space="preserve">, archives. Vote de principe au Riksdag le 8 juin 1994. Cinq formations signataires : Sociaux-démocrates, Modérés, Parti du Centre, Libéraux, Démocrates-chrétiens — soit ~85 % du Parlement. Modifications ultérieures soumises à un</w:t>
      </w:r>
      <w:r>
        <w:t xml:space="preserve"> </w:t>
      </w:r>
      <w:r>
        <w:rPr>
          <w:i/>
          <w:iCs/>
        </w:rPr>
        <w:t xml:space="preserve">Pensionsgruppen</w:t>
      </w:r>
      <w:r>
        <w:t xml:space="preserve"> </w:t>
      </w:r>
      <w:r>
        <w:t xml:space="preserve">garant du consensus.</w:t>
      </w:r>
    </w:p>
  </w:footnote>
  <w:footnote w:id="42">
    <w:p>
      <w:pPr>
        <w:pStyle w:val="FootnoteText"/>
      </w:pPr>
      <w:r>
        <w:rPr>
          <w:rStyle w:val="FootnoteReference"/>
        </w:rPr>
        <w:footnoteRef/>
      </w:r>
      <w:r>
        <w:t xml:space="preserve"> </w:t>
      </w:r>
      <w:r>
        <w:t xml:space="preserve">Adair Turner, John Hills, Jeannie Drake,</w:t>
      </w:r>
      <w:r>
        <w:t xml:space="preserve"> </w:t>
      </w:r>
      <w:r>
        <w:rPr>
          <w:i/>
          <w:iCs/>
        </w:rPr>
        <w:t xml:space="preserve">Pensions: Challenges and Choices</w:t>
      </w:r>
      <w:r>
        <w:t xml:space="preserve"> </w:t>
      </w:r>
      <w:r>
        <w:t xml:space="preserve">(octobre 2004),</w:t>
      </w:r>
      <w:r>
        <w:t xml:space="preserve"> </w:t>
      </w:r>
      <w:r>
        <w:rPr>
          <w:i/>
          <w:iCs/>
        </w:rPr>
        <w:t xml:space="preserve">A New Pension Settlement for the Twenty-First Century</w:t>
      </w:r>
      <w:r>
        <w:t xml:space="preserve"> </w:t>
      </w:r>
      <w:r>
        <w:t xml:space="preserve">(novembre 2005),</w:t>
      </w:r>
      <w:r>
        <w:t xml:space="preserve"> </w:t>
      </w:r>
      <w:r>
        <w:rPr>
          <w:i/>
          <w:iCs/>
        </w:rPr>
        <w:t xml:space="preserve">Implementing an Integrated Package of Pension Reforms</w:t>
      </w:r>
      <w:r>
        <w:t xml:space="preserve"> </w:t>
      </w:r>
      <w:r>
        <w:t xml:space="preserve">(avril 2006).</w:t>
      </w:r>
      <w:r>
        <w:t xml:space="preserve"> </w:t>
      </w:r>
      <w:r>
        <w:rPr>
          <w:i/>
          <w:iCs/>
        </w:rPr>
        <w:t xml:space="preserve">Pensions Act 2008</w:t>
      </w:r>
      <w:r>
        <w:t xml:space="preserve"> </w:t>
      </w:r>
      <w:r>
        <w:t xml:space="preserve">voté avec soutien des trois grandes formations.</w:t>
      </w:r>
    </w:p>
  </w:footnote>
  <w:footnote w:id="43">
    <w:p>
      <w:pPr>
        <w:pStyle w:val="FootnoteText"/>
      </w:pPr>
      <w:r>
        <w:rPr>
          <w:rStyle w:val="FootnoteReference"/>
        </w:rPr>
        <w:footnoteRef/>
      </w:r>
      <w:r>
        <w:t xml:space="preserve"> </w:t>
      </w:r>
      <w:r>
        <w:t xml:space="preserve">Pensionsmyndigheten,</w:t>
      </w:r>
      <w:r>
        <w:t xml:space="preserve"> </w:t>
      </w:r>
      <w:r>
        <w:rPr>
          <w:i/>
          <w:iCs/>
        </w:rPr>
        <w:t xml:space="preserve">Orange Report 2024: Annual Report of the Swedish Pension System</w:t>
      </w:r>
      <w:r>
        <w:t xml:space="preserve">, 2025. Cotisation retraite totale Suède stabilisée à 18,5 % depuis 1999 sans modification du principe central. Le</w:t>
      </w:r>
      <w:r>
        <w:t xml:space="preserve"> </w:t>
      </w:r>
      <w:r>
        <w:rPr>
          <w:i/>
          <w:iCs/>
        </w:rPr>
        <w:t xml:space="preserve">Pensionsgruppen</w:t>
      </w:r>
      <w:r>
        <w:t xml:space="preserve"> </w:t>
      </w:r>
      <w:r>
        <w:t xml:space="preserve">parlementaire continue de se réunir et de valider à l’unanimité les ajustements paramétriques.</w:t>
      </w:r>
    </w:p>
  </w:footnote>
  <w:footnote w:id="44">
    <w:p>
      <w:pPr>
        <w:pStyle w:val="FootnoteText"/>
      </w:pPr>
      <w:r>
        <w:rPr>
          <w:rStyle w:val="FootnoteReference"/>
        </w:rPr>
        <w:footnoteRef/>
      </w:r>
      <w:r>
        <w:t xml:space="preserve"> </w:t>
      </w:r>
      <w:r>
        <w:t xml:space="preserve">De Nederlandsche Bank,</w:t>
      </w:r>
      <w:r>
        <w:t xml:space="preserve"> </w:t>
      </w:r>
      <w:r>
        <w:rPr>
          <w:i/>
          <w:iCs/>
        </w:rPr>
        <w:t xml:space="preserve">Annual Report 2024</w:t>
      </w:r>
      <w:r>
        <w:t xml:space="preserve">, 2025 ;</w:t>
      </w:r>
      <w:r>
        <w:t xml:space="preserve"> </w:t>
      </w:r>
      <w:r>
        <w:rPr>
          <w:i/>
          <w:iCs/>
        </w:rPr>
        <w:t xml:space="preserve">Wet toekomst pensioenen</w:t>
      </w:r>
      <w:r>
        <w:t xml:space="preserve"> </w:t>
      </w:r>
      <w:r>
        <w:t xml:space="preserve">adoptée définitivement par la</w:t>
      </w:r>
      <w:r>
        <w:t xml:space="preserve"> </w:t>
      </w:r>
      <w:r>
        <w:rPr>
          <w:i/>
          <w:iCs/>
        </w:rPr>
        <w:t xml:space="preserve">Eerste Kamer</w:t>
      </w:r>
      <w:r>
        <w:t xml:space="preserve"> </w:t>
      </w:r>
      <w:r>
        <w:t xml:space="preserve">le 30 mai 2023 (46 voix contre 27), entrée en vigueur le 1ᵉʳ juillet 2023, deadline de bascule des fonds professionnels au 1ᵉʳ janvier 2028.</w:t>
      </w:r>
    </w:p>
  </w:footnote>
  <w:footnote w:id="46">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 John Edwards,</w:t>
      </w:r>
      <w:r>
        <w:t xml:space="preserve"> </w:t>
      </w:r>
      <w:r>
        <w:rPr>
          <w:i/>
          <w:iCs/>
        </w:rPr>
        <w:t xml:space="preserve">Keating: The Inside Story</w:t>
      </w:r>
      <w:r>
        <w:t xml:space="preserve">, Viking, 1996.</w:t>
      </w:r>
      <w:r>
        <w:t xml:space="preserve"> </w:t>
      </w:r>
      <w:r>
        <w:rPr>
          <w:i/>
          <w:iCs/>
        </w:rPr>
        <w:t xml:space="preserve">Prices and Incomes Accord Mark II</w:t>
      </w:r>
      <w:r>
        <w:t xml:space="preserve"> </w:t>
      </w:r>
      <w:r>
        <w:t xml:space="preserve">signé en septembre 1985 entre le gouvernement Hawke et l’ACTU (Bill Kelty, secrétaire général).</w:t>
      </w:r>
    </w:p>
  </w:footnote>
  <w:footnote w:id="47">
    <w:p>
      <w:pPr>
        <w:pStyle w:val="FootnoteText"/>
      </w:pPr>
      <w:r>
        <w:rPr>
          <w:rStyle w:val="FootnoteReference"/>
        </w:rPr>
        <w:footnoteRef/>
      </w:r>
      <w:r>
        <w:t xml:space="preserve"> </w:t>
      </w:r>
      <w:r>
        <w:t xml:space="preserve">Office of the Superintendent of Financial Institutions,</w:t>
      </w:r>
      <w:r>
        <w:t xml:space="preserve"> </w:t>
      </w:r>
      <w:r>
        <w:rPr>
          <w:i/>
          <w:iCs/>
        </w:rPr>
        <w:t xml:space="preserve">Actuarial Report on the Canada Pension Plan</w:t>
      </w:r>
      <w:r>
        <w:t xml:space="preserve">, 2024. Accord fédéral-provinces ratifié en 1996,</w:t>
      </w:r>
      <w:r>
        <w:t xml:space="preserve"> </w:t>
      </w:r>
      <w:r>
        <w:rPr>
          <w:i/>
          <w:iCs/>
        </w:rPr>
        <w:t xml:space="preserve">Canada Pension Plan Investment Board Act</w:t>
      </w:r>
      <w:r>
        <w:t xml:space="preserve"> </w:t>
      </w:r>
      <w:r>
        <w:t xml:space="preserve">adoptée en décembre 1997. Taux paritaire combiné porté de 5,6 % en 1996 à 9,9 % en 2003 par paliers paramétriques.</w:t>
      </w:r>
    </w:p>
  </w:footnote>
  <w:footnote w:id="48">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Coût budgétaire direct du</w:t>
      </w:r>
      <w:r>
        <w:t xml:space="preserve"> </w:t>
      </w:r>
      <w:r>
        <w:rPr>
          <w:i/>
          <w:iCs/>
        </w:rPr>
        <w:t xml:space="preserve">Superannuation Guarantee</w:t>
      </w:r>
      <w:r>
        <w:t xml:space="preserve"> </w:t>
      </w:r>
      <w:r>
        <w:t xml:space="preserve">pour le Commonwealth australien depuis 1992 : ~0,1 % du PIB, lié aux</w:t>
      </w:r>
      <w:r>
        <w:t xml:space="preserve"> </w:t>
      </w:r>
      <w:r>
        <w:rPr>
          <w:i/>
          <w:iCs/>
        </w:rPr>
        <w:t xml:space="preserve">concessional contributions</w:t>
      </w:r>
      <w:r>
        <w:t xml:space="preserve">. Le mécanisme repose intégralement sur la cotisation patronale, absorbée via la modération salariale négociée dans l’Accord Hawke-Kelty Mark II de 1985.</w:t>
      </w:r>
    </w:p>
  </w:footnote>
  <w:footnote w:id="50">
    <w:p>
      <w:pPr>
        <w:pStyle w:val="FootnoteText"/>
      </w:pPr>
      <w:r>
        <w:rPr>
          <w:rStyle w:val="FootnoteReference"/>
        </w:rPr>
        <w:footnoteRef/>
      </w:r>
      <w:r>
        <w:t xml:space="preserve"> </w:t>
      </w:r>
      <w:r>
        <w:t xml:space="preserve">Congreso Nacional de Chile,</w:t>
      </w:r>
      <w:r>
        <w:t xml:space="preserve"> </w:t>
      </w:r>
      <w:r>
        <w:rPr>
          <w:i/>
          <w:iCs/>
        </w:rPr>
        <w:t xml:space="preserve">Resultado votación en sala — Proyecto de Ley de Reforma Previsional</w:t>
      </w:r>
      <w:r>
        <w:t xml:space="preserve">, 29 janvier 2025 ; Loi n° 21735,</w:t>
      </w:r>
      <w:r>
        <w:t xml:space="preserve"> </w:t>
      </w:r>
      <w:r>
        <w:rPr>
          <w:i/>
          <w:iCs/>
        </w:rPr>
        <w:t xml:space="preserve">Diario Oficial</w:t>
      </w:r>
      <w:r>
        <w:t xml:space="preserve">, mars 2025. Décomposition de la cotisation patronale de 8,5 % introduite progressivement à horizon 2035 : 4,5 % vers compte individuel AFP, 1,5 % FAPP prêt remboursable, 2,5 % FAPP solidaire intergénérationnel.</w:t>
      </w:r>
    </w:p>
  </w:footnote>
  <w:footnote w:id="53">
    <w:p>
      <w:pPr>
        <w:pStyle w:val="FootnoteText"/>
      </w:pPr>
      <w:r>
        <w:rPr>
          <w:rStyle w:val="FootnoteReference"/>
        </w:rPr>
        <w:footnoteRef/>
      </w:r>
      <w:r>
        <w:t xml:space="preserve"> </w:t>
      </w:r>
      <w:r>
        <w:t xml:space="preserve">Caisse de dépôt et placement du Québec,</w:t>
      </w:r>
      <w:r>
        <w:t xml:space="preserve"> </w:t>
      </w:r>
      <w:r>
        <w:rPr>
          <w:i/>
          <w:iCs/>
        </w:rPr>
        <w:t xml:space="preserve">Rapport annuel 2024</w:t>
      </w:r>
      <w:r>
        <w:t xml:space="preserve">, 2025 (https://www.cdpq.com). Encours net : 473 Md CAD$ au 31 décembre 2024. AGIRC-ARRCO,</w:t>
      </w:r>
      <w:r>
        <w:t xml:space="preserve"> </w:t>
      </w:r>
      <w:r>
        <w:rPr>
          <w:i/>
          <w:iCs/>
        </w:rPr>
        <w:t xml:space="preserve">Rapport annuel 2024</w:t>
      </w:r>
      <w:r>
        <w:t xml:space="preserve">, 2025 : 27 millions de cotisants actifs, 14 millions de retraités. Modèle CDPQ : direction des investissements indépendante, conseil mixte, mandat public clair.</w:t>
      </w:r>
    </w:p>
  </w:footnote>
  <w:footnote w:id="54">
    <w:p>
      <w:pPr>
        <w:pStyle w:val="FootnoteText"/>
      </w:pPr>
      <w:r>
        <w:rPr>
          <w:rStyle w:val="FootnoteReference"/>
        </w:rPr>
        <w:footnoteRef/>
      </w:r>
      <w:r>
        <w:t xml:space="preserve"> </w:t>
      </w:r>
      <w:r>
        <w:t xml:space="preserve">ABP,</w:t>
      </w:r>
      <w:r>
        <w:t xml:space="preserve"> </w:t>
      </w:r>
      <w:r>
        <w:rPr>
          <w:i/>
          <w:iCs/>
        </w:rPr>
        <w:t xml:space="preserve">Annual Report 2024</w:t>
      </w:r>
      <w:r>
        <w:t xml:space="preserve">, 2025 : ~540 Md€ d’encours, gouvernance paritaire, fonds professionnel néerlandais le plus important. AGIRC-ARRCO,</w:t>
      </w:r>
      <w:r>
        <w:t xml:space="preserve"> </w:t>
      </w:r>
      <w:r>
        <w:rPr>
          <w:i/>
          <w:iCs/>
        </w:rPr>
        <w:t xml:space="preserve">Rapport annuel 2024</w:t>
      </w:r>
      <w:r>
        <w:t xml:space="preserve">, 2025 : architecture paritaire stabilisée depuis 1947 (AGIRC) et 1961 (ARRCO), fusionnés en 2019, sans rupture institutionnelle malgré les alternances politiques.</w:t>
      </w:r>
    </w:p>
  </w:footnote>
  <w:footnote w:id="55">
    <w:p>
      <w:pPr>
        <w:pStyle w:val="FootnoteText"/>
      </w:pPr>
      <w:r>
        <w:rPr>
          <w:rStyle w:val="FootnoteReference"/>
        </w:rPr>
        <w:footnoteRef/>
      </w:r>
      <w:r>
        <w:t xml:space="preserve"> </w:t>
      </w:r>
      <w:r>
        <w:t xml:space="preserve">The Pensions Regulator,</w:t>
      </w:r>
      <w:r>
        <w:t xml:space="preserve"> </w:t>
      </w:r>
      <w:r>
        <w:rPr>
          <w:i/>
          <w:iCs/>
        </w:rPr>
        <w:t xml:space="preserve">Annual Report and Accounts 2024-25</w:t>
      </w:r>
      <w:r>
        <w:t xml:space="preserve">, 2025. Budget annuel ~100 M£, financé en partie par les cotisations des fonds régulés. Modèle d’AAI à compétence unique créé par le</w:t>
      </w:r>
      <w:r>
        <w:t xml:space="preserve"> </w:t>
      </w:r>
      <w:r>
        <w:rPr>
          <w:i/>
          <w:iCs/>
        </w:rPr>
        <w:t xml:space="preserve">Pensions Act 2004</w:t>
      </w:r>
      <w:r>
        <w:t xml:space="preserve">. APRA pour l’Australie, DNB pour les Pays-Bas : modèles équivalents.</w:t>
      </w:r>
    </w:p>
  </w:footnote>
  <w:footnote w:id="56">
    <w:p>
      <w:pPr>
        <w:pStyle w:val="FootnoteText"/>
      </w:pPr>
      <w:r>
        <w:rPr>
          <w:rStyle w:val="FootnoteReference"/>
        </w:rPr>
        <w:footnoteRef/>
      </w:r>
      <w:r>
        <w:t xml:space="preserve"> </w:t>
      </w:r>
      <w:r>
        <w:t xml:space="preserve">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57">
    <w:p>
      <w:pPr>
        <w:pStyle w:val="FootnoteText"/>
      </w:pPr>
      <w:r>
        <w:rPr>
          <w:rStyle w:val="FootnoteReference"/>
        </w:rPr>
        <w:footnoteRef/>
      </w:r>
      <w:r>
        <w:t xml:space="preserve"> </w:t>
      </w:r>
      <w:r>
        <w:t xml:space="preserve">APRA,</w:t>
      </w:r>
      <w:r>
        <w:t xml:space="preserve"> </w:t>
      </w:r>
      <w:r>
        <w:rPr>
          <w:i/>
          <w:iCs/>
        </w:rPr>
        <w:t xml:space="preserve">2025 Annual Superannuation Performance Test — MySuper Products</w:t>
      </w:r>
      <w:r>
        <w:t xml:space="preserve">, 2025. Le test compare le rendement net de chaque produit à un benchmark composite sur 8 ans. Premier test 2021 : 52 produits évalués, plusieurs en échec. Test 2025 : 0 échec sur 52 produits.</w:t>
      </w:r>
    </w:p>
  </w:footnote>
  <w:footnote w:id="58">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 — Annual Report 2024</w:t>
      </w:r>
      <w:r>
        <w:t xml:space="preserve">, mars 2025 ; Thinking Ahead Institute,</w:t>
      </w:r>
      <w:r>
        <w:t xml:space="preserve"> </w:t>
      </w:r>
      <w:r>
        <w:rPr>
          <w:i/>
          <w:iCs/>
        </w:rPr>
        <w:t xml:space="preserve">Global Pension Assets Study 2025</w:t>
      </w:r>
      <w:r>
        <w:t xml:space="preserve">, Willis Towers Watson, 2025. Ordres de grandeur d’allocation domestique : CDPQ ~25 % Québec, CPPIB ~25 % Canada, ABP exposition domestique limitée mais ciblée (notamment 5 Md€ logements locatifs sociaux néerlandais sur 2024-2030).</w:t>
      </w:r>
    </w:p>
  </w:footnote>
  <w:footnote w:id="59">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(acquisition 30 % BT Holdco/Bombardier, novembre 2015). ABP/APG,</w:t>
      </w:r>
      <w:r>
        <w:t xml:space="preserve"> </w:t>
      </w:r>
      <w:r>
        <w:rPr>
          <w:i/>
          <w:iCs/>
        </w:rPr>
        <w:t xml:space="preserve">Plan d’investissements à impact 2024-2030</w:t>
      </w:r>
      <w:r>
        <w:t xml:space="preserve">, communiqué 2024. USS,</w:t>
      </w:r>
      <w:r>
        <w:t xml:space="preserve"> </w:t>
      </w:r>
      <w:r>
        <w:rPr>
          <w:i/>
          <w:iCs/>
        </w:rPr>
        <w:t xml:space="preserve">USS invests in Heathrow Airport</w:t>
      </w:r>
      <w:r>
        <w:t xml:space="preserve">, communications 2013/2024 (acquisition 8,65 % FGP Topco, octobre 2013, vente complète décembre 2024).</w:t>
      </w:r>
    </w:p>
  </w:footnote>
  <w:footnote w:id="60">
    <w:p>
      <w:pPr>
        <w:pStyle w:val="FootnoteText"/>
      </w:pPr>
      <w:r>
        <w:rPr>
          <w:rStyle w:val="FootnoteReference"/>
        </w:rPr>
        <w:footnoteRef/>
      </w:r>
      <w:r>
        <w:t xml:space="preserve"> </w:t>
      </w:r>
      <w:r>
        <w:t xml:space="preserve">CPP Investments,</w:t>
      </w:r>
      <w:r>
        <w:t xml:space="preserve"> </w:t>
      </w:r>
      <w:r>
        <w:rPr>
          <w:i/>
          <w:iCs/>
        </w:rPr>
        <w:t xml:space="preserve">Annual Report Fiscal 2025</w:t>
      </w:r>
      <w:r>
        <w:t xml:space="preserve">, 2025 (https://www.cppinvestments.com). Actifs nets sous gestion : 714,4 Md CAD au 31 mars 2025, 780,7 Md CAD au 31 décembre 2025. Publication systématique des frais, votes ESG, rapports trimestriels.</w:t>
      </w:r>
    </w:p>
  </w:footnote>
  <w:footnote w:id="61">
    <w:p>
      <w:pPr>
        <w:pStyle w:val="FootnoteText"/>
      </w:pPr>
      <w:r>
        <w:rPr>
          <w:rStyle w:val="FootnoteReference"/>
        </w:rPr>
        <w:footnoteRef/>
      </w:r>
      <w:r>
        <w:t xml:space="preserve"> </w:t>
      </w:r>
      <w:r>
        <w:t xml:space="preserve">Cour des comptes,</w:t>
      </w:r>
      <w:r>
        <w:t xml:space="preserve"> </w:t>
      </w:r>
      <w:r>
        <w:rPr>
          <w:i/>
          <w:iCs/>
        </w:rPr>
        <w:t xml:space="preserve">Le système de retraite par capitalisation en France</w:t>
      </w:r>
      <w:r>
        <w:t xml:space="preserve">,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63">
    <w:p>
      <w:pPr>
        <w:pStyle w:val="FootnoteText"/>
      </w:pPr>
      <w:r>
        <w:rPr>
          <w:rStyle w:val="FootnoteReference"/>
        </w:rPr>
        <w:footnoteRef/>
      </w:r>
      <w:r>
        <w:t xml:space="preserve"> </w:t>
      </w:r>
      <w:r>
        <w:t xml:space="preserve">Trois rapports successifs : Adair Turner, John Hills, Jeannie Drake,</w:t>
      </w:r>
      <w:r>
        <w:t xml:space="preserve"> </w:t>
      </w:r>
      <w:r>
        <w:rPr>
          <w:i/>
          <w:iCs/>
        </w:rPr>
        <w:t xml:space="preserve">Pensions: Challenges and Choices</w:t>
      </w:r>
      <w:r>
        <w:t xml:space="preserve"> </w:t>
      </w:r>
      <w:r>
        <w:t xml:space="preserve">(octobre 2004) ;</w:t>
      </w:r>
      <w:r>
        <w:t xml:space="preserve"> </w:t>
      </w:r>
      <w:r>
        <w:rPr>
          <w:i/>
          <w:iCs/>
        </w:rPr>
        <w:t xml:space="preserve">A New Pension Settlement for the Twenty-First Century</w:t>
      </w:r>
      <w:r>
        <w:t xml:space="preserve"> </w:t>
      </w:r>
      <w:r>
        <w:t xml:space="preserve">(novembre 2005) ;</w:t>
      </w:r>
      <w:r>
        <w:t xml:space="preserve"> </w:t>
      </w:r>
      <w:r>
        <w:rPr>
          <w:i/>
          <w:iCs/>
        </w:rPr>
        <w:t xml:space="preserve">Implementing an Integrated Package of Pension Reforms</w:t>
      </w:r>
      <w:r>
        <w:t xml:space="preserve"> </w:t>
      </w:r>
      <w:r>
        <w:t xml:space="preserve">(avril 2006). Ratifiés transpartisans avant le</w:t>
      </w:r>
      <w:r>
        <w:t xml:space="preserve"> </w:t>
      </w:r>
      <w:r>
        <w:rPr>
          <w:i/>
          <w:iCs/>
        </w:rPr>
        <w:t xml:space="preserve">Pensions Act 2007</w:t>
      </w:r>
      <w:r>
        <w:t xml:space="preserve"> </w:t>
      </w:r>
      <w:r>
        <w:t xml:space="preserve">puis le</w:t>
      </w:r>
      <w:r>
        <w:t xml:space="preserve"> </w:t>
      </w:r>
      <w:r>
        <w:rPr>
          <w:i/>
          <w:iCs/>
        </w:rPr>
        <w:t xml:space="preserve">Pensions Act 2008</w:t>
      </w:r>
      <w:r>
        <w:t xml:space="preserve">.</w:t>
      </w:r>
    </w:p>
  </w:footnote>
  <w:footnote w:id="64">
    <w:p>
      <w:pPr>
        <w:pStyle w:val="FootnoteText"/>
      </w:pPr>
      <w:r>
        <w:rPr>
          <w:rStyle w:val="FootnoteReference"/>
        </w:rPr>
        <w:footnoteRef/>
      </w:r>
      <w:r>
        <w:t xml:space="preserve"> </w:t>
      </w:r>
      <w:r>
        <w:t xml:space="preserve">SER (Sociaal-Economische Raad),</w:t>
      </w:r>
      <w:r>
        <w:t xml:space="preserve"> </w:t>
      </w:r>
      <w:r>
        <w:rPr>
          <w:i/>
          <w:iCs/>
        </w:rPr>
        <w:t xml:space="preserve">Naar een toekomstbestendig pensioenstelsel</w:t>
      </w:r>
      <w:r>
        <w:t xml:space="preserve">, avis publié le 5 juin 2019, suivi du</w:t>
      </w:r>
      <w:r>
        <w:t xml:space="preserve"> </w:t>
      </w:r>
      <w:r>
        <w:rPr>
          <w:i/>
          <w:iCs/>
        </w:rPr>
        <w:t xml:space="preserve">Pensioenakkoord</w:t>
      </w:r>
      <w:r>
        <w:t xml:space="preserve"> </w:t>
      </w:r>
      <w:r>
        <w:t xml:space="preserve">signé le même jour entre gouvernement Rutte III, organisations patronales (VNO-NCW, MKB-Nederland) et syndicats (FNV, CNV, MHP). Précédent comparable au modèle Hawke-Kelty australien sur l’articulation accord paritaire / loi.</w:t>
      </w:r>
    </w:p>
  </w:footnote>
  <w:footnote w:id="65">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 Institut Montaigne,</w:t>
      </w:r>
      <w:r>
        <w:t xml:space="preserve"> </w:t>
      </w:r>
      <w:r>
        <w:rPr>
          <w:i/>
          <w:iCs/>
        </w:rPr>
        <w:t xml:space="preserve">Retraites : pour une réforme qui dure</w:t>
      </w:r>
      <w:r>
        <w:t xml:space="preserve">, janvier 2025. Les deux études convergent sur la nécessité d’une campagne de pédagogie publique préalable.</w:t>
      </w:r>
    </w:p>
  </w:footnote>
  <w:footnote w:id="70">
    <w:p>
      <w:pPr>
        <w:pStyle w:val="FootnoteText"/>
      </w:pPr>
      <w:r>
        <w:rPr>
          <w:rStyle w:val="FootnoteReference"/>
        </w:rPr>
        <w:footnoteRef/>
      </w:r>
      <w:r>
        <w:t xml:space="preserve"> </w:t>
      </w:r>
      <w:r>
        <w:t xml:space="preserve">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78">
    <w:p>
      <w:pPr>
        <w:pStyle w:val="FootnoteText"/>
      </w:pPr>
      <w:r>
        <w:rPr>
          <w:rStyle w:val="FootnoteReference"/>
        </w:rPr>
        <w:footnoteRef/>
      </w:r>
      <w:r>
        <w:t xml:space="preserve"> </w:t>
      </w:r>
      <w:r>
        <w:t xml:space="preserve">Department for Work and Pensions,</w:t>
      </w:r>
      <w:r>
        <w:t xml:space="preserve"> </w:t>
      </w:r>
      <w:r>
        <w:rPr>
          <w:i/>
          <w:iCs/>
        </w:rPr>
        <w:t xml:space="preserve">Ten Years of Automatic Enrolment in Workplace Pensions</w:t>
      </w:r>
      <w:r>
        <w:t xml:space="preserve">, octobre 2022 ; DWP,</w:t>
      </w:r>
      <w:r>
        <w:t xml:space="preserve"> </w:t>
      </w:r>
      <w:r>
        <w:rPr>
          <w:i/>
          <w:iCs/>
        </w:rPr>
        <w:t xml:space="preserve">Workplace Pension Participation and Saving Trends 2008-2023</w:t>
      </w:r>
      <w:r>
        <w:t xml:space="preserve">, 2024. Coût annuel du</w:t>
      </w:r>
      <w:r>
        <w:t xml:space="preserve"> </w:t>
      </w:r>
      <w:r>
        <w:rPr>
          <w:i/>
          <w:iCs/>
        </w:rPr>
        <w:t xml:space="preserve">tax relief</w:t>
      </w:r>
      <w:r>
        <w:t xml:space="preserve"> </w:t>
      </w:r>
      <w:r>
        <w:t xml:space="preserve">sur les contributions à l’auto-enrolment estimé entre 1,1 et 1,7 Md£/an sur 2018-2023.</w:t>
      </w:r>
    </w:p>
  </w:footnote>
  <w:footnote w:id="81">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w:t>
      </w:r>
      <w:r>
        <w:t xml:space="preserve"> </w:t>
      </w:r>
      <w:r>
        <w:rPr>
          <w:i/>
          <w:iCs/>
        </w:rPr>
        <w:t xml:space="preserve">Funding ratio</w:t>
      </w:r>
      <w:r>
        <w:t xml:space="preserve"> </w:t>
      </w:r>
      <w:r>
        <w:t xml:space="preserve">minimum imposé : 105 %. Ratio médian observé : ~125 %. Pension Protection Fund (UK),</w:t>
      </w:r>
      <w:r>
        <w:t xml:space="preserve"> </w:t>
      </w:r>
      <w:r>
        <w:rPr>
          <w:i/>
          <w:iCs/>
        </w:rPr>
        <w:t xml:space="preserve">Annual Report 2024</w:t>
      </w:r>
      <w:r>
        <w:t xml:space="preserve">, 2024 : couverture 8,8 millions de personnes dans 5 000 fonds, garantie 100 % retraités / 90 % actifs.</w:t>
      </w:r>
    </w:p>
  </w:footnote>
  <w:footnote w:id="85">
    <w:p>
      <w:pPr>
        <w:pStyle w:val="FootnoteText"/>
      </w:pPr>
      <w:r>
        <w:rPr>
          <w:rStyle w:val="FootnoteReference"/>
        </w:rPr>
        <w:footnoteRef/>
      </w:r>
      <w:r>
        <w:t xml:space="preserve"> </w:t>
      </w:r>
      <w:r>
        <w:t xml:space="preserve">Estimation OVLA sur la base de la masse de pensions versées projetée par le COR à environ 350 Md€/an en 2043 (scénario central,</w:t>
      </w:r>
      <w:r>
        <w:t xml:space="preserve"> </w:t>
      </w:r>
      <w:r>
        <w:rPr>
          <w:i/>
          <w:iCs/>
        </w:rPr>
        <w:t xml:space="preserve">Rapport annuel 2025</w:t>
      </w:r>
      <w:r>
        <w:t xml:space="preserve">). Une sous-indexation de 1 % en deçà de l’inflation représente, à cette assiette, ~3,5 Md€/an d’économie brute, dont une part redirigée vers le FFC après absorption de la dynamique propre du système.</w:t>
      </w:r>
    </w:p>
  </w:footnote>
  <w:footnote w:id="88">
    <w:p>
      <w:pPr>
        <w:pStyle w:val="FootnoteText"/>
      </w:pPr>
      <w:r>
        <w:rPr>
          <w:rStyle w:val="FootnoteReference"/>
        </w:rPr>
        <w:footnoteRef/>
      </w:r>
      <w:r>
        <w:t xml:space="preserve"> </w:t>
      </w:r>
      <w:r>
        <w:t xml:space="preserve">Modélisation Python</w:t>
      </w:r>
      <w:r>
        <w:t xml:space="preserve"> </w:t>
      </w:r>
      <w:r>
        <w:rPr>
          <w:rStyle w:val="VerbatimChar"/>
        </w:rPr>
        <w:t xml:space="preserve">ch5_modelisation.py</w:t>
      </w:r>
      <w:r>
        <w:t xml:space="preserve">, mai 2026, scénario D —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2026-05-17T12:11:06Z</dcterms:created>
  <dcterms:modified xsi:type="dcterms:W3CDTF">2026-05-17T12:11:06Z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