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Capitalisons</w:t>
      </w:r>
    </w:p>
    <w:p>
      <w:pPr>
        <w:pStyle w:val="Subtitle"/>
      </w:pPr>
      <w:r>
        <w:t xml:space="preserve">La France et son capital absent</w:t>
      </w:r>
    </w:p>
    <w:p>
      <w:pPr>
        <w:pStyle w:val="Author"/>
      </w:pPr>
      <w:r>
        <w:t xml:space="preserve">Où Va l’Argent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cinq-mensonges-qui-ont-coûté-trente-ans"/>
    <w:p>
      <w:pPr>
        <w:pStyle w:val="Heading1"/>
      </w:pPr>
      <w:r>
        <w:t xml:space="preserve">6. Cinq mensonges qui ont coûté trente ans</w:t>
      </w:r>
    </w:p>
    <w:p>
      <w:pPr>
        <w:pStyle w:val="FirstParagraph"/>
      </w:pPr>
      <w:r>
        <w:t xml:space="preserve">Le Manifeste qui précède pose un programme. Reste à désamorcer les objections qui ont empêché ce programme, depuis trente ans, de devenir une loi.</w:t>
      </w:r>
    </w:p>
    <w:p>
      <w:pPr>
        <w:pStyle w:val="BodyText"/>
      </w:pPr>
      <w:r>
        <w:t xml:space="preserve">Cinq, dit-on. À l’usage, ce sont six, et le sixième — Enron, Madoff, Detroit — vaut d’être traité à part, parce qu’il revient comme un refrain dès qu’on prononce le mot capitalisation dans un dîner français. Les six tiennent en autant de phrases que tout le monde a entendues :</w:t>
      </w:r>
      <w:r>
        <w:t xml:space="preserve"> </w:t>
      </w:r>
      <w:r>
        <w:rPr>
          <w:i/>
          <w:iCs/>
        </w:rPr>
        <w:t xml:space="preserve">La bourse, c’est le casino. Souvenez-vous d’Enron. C’est anti-social. Le double paiement est insurmontable. On a déjà essayé, le PER ne marche pas. La France n’a pas la culture financière.</w:t>
      </w:r>
    </w:p>
    <w:p>
      <w:pPr>
        <w:pStyle w:val="BodyText"/>
      </w:pPr>
      <w:r>
        <w:t xml:space="preserve">Trois mandats présidentiels que ces six phrases bloquent une réforme. Trente ans. Pendant lesquels les Pays-Bas, l’Australie, le Royaume-Uni, le Canada, la Suède, et finalement le Chili lui-même, ont changé d’avis sur la question. La France, pas encore.</w:t>
      </w:r>
    </w:p>
    <w:p>
      <w:pPr>
        <w:pStyle w:val="BodyText"/>
      </w:pPr>
      <w:r>
        <w:t xml:space="preserve">Format Q/R, donc. Six questions, six réponses serrées — trois arguments-clés par objection, chiffrés, qui suffisent à la démonter. Les démonstrations sont dans les chapitres précédents. Ici, on désamorce.</w:t>
      </w:r>
    </w:p>
    <w:p>
      <w:r>
        <w:pict>
          <v:rect style="width:0;height:1.5pt" o:hralign="center" o:hrstd="t" o:hr="t"/>
        </w:pict>
      </w:r>
    </w:p>
    <w:bookmarkStart w:id="15" w:name="X67cd6e6e988e380760e24f4add075994b478d37"/>
    <w:p>
      <w:pPr>
        <w:pStyle w:val="Heading2"/>
      </w:pPr>
      <w:r>
        <w:t xml:space="preserve">Q.1 — « La bourse, c’est le casino : et si tout s’effondre ? »</w:t>
      </w:r>
    </w:p>
    <w:p>
      <w:pPr>
        <w:pStyle w:val="FirstParagraph"/>
      </w:pPr>
      <w:r>
        <w:t xml:space="preserve">La peur est légitime au niveau du petit porteur isolé. Elle est mal calibrée appliquée à un fonds de pension public.</w:t>
      </w:r>
    </w:p>
    <w:p>
      <w:pPr>
        <w:pStyle w:val="BodyText"/>
      </w:pPr>
      <w:r>
        <w:rPr>
          <w:b/>
          <w:bCs/>
        </w:rPr>
        <w:t xml:space="preserve">Premier argument : le rendement réel sur cent vingt-cinq ans.</w:t>
      </w:r>
      <w:r>
        <w:t xml:space="preserve"> </w:t>
      </w:r>
      <w:r>
        <w:t xml:space="preserve">Le</w:t>
      </w:r>
      <w:r>
        <w:t xml:space="preserve"> </w:t>
      </w:r>
      <w:r>
        <w:rPr>
          <w:i/>
          <w:iCs/>
        </w:rPr>
        <w:t xml:space="preserve">Global Investment Returns Yearbook</w:t>
      </w:r>
      <w:r>
        <w:t xml:space="preserve"> </w:t>
      </w:r>
      <w:r>
        <w:t xml:space="preserve">d’UBS, Dimson, Marsh et Staunton, calcule les rendements réels annualisés des actions monde sur 1900-2024 :</w:t>
      </w:r>
      <w:r>
        <w:t xml:space="preserve"> </w:t>
      </w:r>
      <w:r>
        <w:rPr>
          <w:b/>
          <w:bCs/>
        </w:rPr>
        <w:t xml:space="preserve">5,2 % par an en termes réels</w:t>
      </w:r>
      <w:r>
        <w:rPr>
          <w:rStyle w:val="FootnoteReference"/>
        </w:rPr>
        <w:footnoteReference w:id="9"/>
      </w:r>
      <w:r>
        <w:t xml:space="preserve">. Obligations gouvernementales : 1,7 %. Bons du Trésor : 0,5 %. Ces chiffres incluent les deux guerres mondiales, 1929, la stagflation, 2000, 2008, 2020 et 2022. Comparez au rendement réel net moyen des fonds euros français en 2024 :</w:t>
      </w:r>
      <w:r>
        <w:t xml:space="preserve"> </w:t>
      </w:r>
      <w:r>
        <w:rPr>
          <w:b/>
          <w:bCs/>
        </w:rPr>
        <w:t xml:space="preserve">0,15 %</w:t>
      </w:r>
      <w:r>
        <w:rPr>
          <w:rStyle w:val="FootnoteReference"/>
        </w:rPr>
        <w:footnoteReference w:id="10"/>
      </w:r>
      <w:r>
        <w:t xml:space="preserve">. Soixante-dix fois moins.</w:t>
      </w:r>
    </w:p>
    <w:p>
      <w:pPr>
        <w:pStyle w:val="BodyText"/>
      </w:pPr>
      <w:r>
        <w:rPr>
          <w:b/>
          <w:bCs/>
        </w:rPr>
        <w:t xml:space="preserve">Deuxième argument : le glide path neutralise le risque de séquence.</w:t>
      </w:r>
      <w:r>
        <w:t xml:space="preserve"> </w:t>
      </w:r>
      <w:r>
        <w:t xml:space="preserve">Le risque réel n’est pas le krach. C’est le krach à 64 ans suivi d’une liquidation forcée à 65 ans. C’est précisément ce que désamorce la trajectoire glissée : à 30 ans, 100 % actions ; à 55 ans, 80/20 ; à 65 ans, 50/50 ; à 75 ans, 33/67 en faveur des obligations. AP7 Såfa en Suède, NEST Retirement Date Funds au Royaume-Uni, TSP Lifecycle aux États-Unis appliquent ce mécanisme</w:t>
      </w:r>
      <w:r>
        <w:rPr>
          <w:rStyle w:val="FootnoteReference"/>
        </w:rPr>
        <w:footnoteReference w:id="11"/>
      </w:r>
      <w:r>
        <w:t xml:space="preserve">. Un cotisant français qui aurait pris sa retraite début 2009 — au pire moment historique récent — aurait subi, dans la dernière année avant la retraite, environ 3 % de baisse de capital total. À comparer aux 56,8 % du S&amp;P 500. Le glide path absorbe l’essentiel du choc.</w:t>
      </w:r>
    </w:p>
    <w:p>
      <w:pPr>
        <w:pStyle w:val="BodyText"/>
      </w:pPr>
      <w:r>
        <w:rPr>
          <w:b/>
          <w:bCs/>
        </w:rPr>
        <w:t xml:space="preserve">Troisième argument : les garanties publiques de dernier recours.</w:t>
      </w:r>
      <w:r>
        <w:t xml:space="preserve"> </w:t>
      </w:r>
      <w:r>
        <w:t xml:space="preserve">Aux Pays-Bas, la DNB impose un</w:t>
      </w:r>
      <w:r>
        <w:t xml:space="preserve"> </w:t>
      </w:r>
      <w:r>
        <w:rPr>
          <w:i/>
          <w:iCs/>
        </w:rPr>
        <w:t xml:space="preserve">funding ratio</w:t>
      </w:r>
      <w:r>
        <w:t xml:space="preserve"> </w:t>
      </w:r>
      <w:r>
        <w:t xml:space="preserve">minimum de 105 % ; le ratio médian est de 125 %, moins de 0,5 % des fonds passent sous le seuil, aucune faillite de grand fonds depuis trente ans</w:t>
      </w:r>
      <w:r>
        <w:rPr>
          <w:rStyle w:val="FootnoteReference"/>
        </w:rPr>
        <w:footnoteReference w:id="12"/>
      </w:r>
      <w:r>
        <w:t xml:space="preserve">. Au Royaume-Uni, le</w:t>
      </w:r>
      <w:r>
        <w:t xml:space="preserve"> </w:t>
      </w:r>
      <w:r>
        <w:rPr>
          <w:i/>
          <w:iCs/>
        </w:rPr>
        <w:t xml:space="preserve">Pension Protection Fund</w:t>
      </w:r>
      <w:r>
        <w:t xml:space="preserve"> </w:t>
      </w:r>
      <w:r>
        <w:t xml:space="preserve">couvre 8,8 millions de personnes dans 5 000 fonds ; garantie 100 % aux retraités, 90 % aux actifs</w:t>
      </w:r>
      <w:r>
        <w:rPr>
          <w:rStyle w:val="FootnoteReference"/>
        </w:rPr>
        <w:footnoteReference w:id="13"/>
      </w:r>
      <w:r>
        <w:t xml:space="preserve">. En Suède, une</w:t>
      </w:r>
      <w:r>
        <w:t xml:space="preserve"> </w:t>
      </w:r>
      <w:r>
        <w:rPr>
          <w:i/>
          <w:iCs/>
        </w:rPr>
        <w:t xml:space="preserve">garantipension</w:t>
      </w:r>
      <w:r>
        <w:t xml:space="preserve"> </w:t>
      </w:r>
      <w:r>
        <w:t xml:space="preserve">à 11 988 SEK/mois assure le plancher. Et les performances elles-mêmes : le fonds souverain norvégien (GPFG) délivre</w:t>
      </w:r>
      <w:r>
        <w:t xml:space="preserve"> </w:t>
      </w:r>
      <w:r>
        <w:rPr>
          <w:b/>
          <w:bCs/>
        </w:rPr>
        <w:t xml:space="preserve">4,1 % réel net</w:t>
      </w:r>
      <w:r>
        <w:t xml:space="preserve"> </w:t>
      </w:r>
      <w:r>
        <w:t xml:space="preserve">sur 27 ans, CPPIB</w:t>
      </w:r>
      <w:r>
        <w:t xml:space="preserve"> </w:t>
      </w:r>
      <w:r>
        <w:rPr>
          <w:b/>
          <w:bCs/>
        </w:rPr>
        <w:t xml:space="preserve">8,3 % nominal net</w:t>
      </w:r>
      <w:r>
        <w:t xml:space="preserve"> </w:t>
      </w:r>
      <w:r>
        <w:t xml:space="preserve">sur dix ans, AustralianSuper</w:t>
      </w:r>
      <w:r>
        <w:t xml:space="preserve"> </w:t>
      </w:r>
      <w:r>
        <w:rPr>
          <w:b/>
          <w:bCs/>
        </w:rPr>
        <w:t xml:space="preserve">7,94 %</w:t>
      </w:r>
      <w:r>
        <w:t xml:space="preserve">, AP7 Equity</w:t>
      </w:r>
      <w:r>
        <w:t xml:space="preserve"> </w:t>
      </w:r>
      <w:r>
        <w:rPr>
          <w:b/>
          <w:bCs/>
        </w:rPr>
        <w:t xml:space="preserve">~14 % nominal</w:t>
      </w:r>
      <w:r>
        <w:t xml:space="preserve"> </w:t>
      </w:r>
      <w:r>
        <w:t xml:space="preserve">depuis 2010</w:t>
      </w:r>
      <w:r>
        <w:rPr>
          <w:rStyle w:val="FootnoteReference"/>
        </w:rPr>
        <w:footnoteReference w:id="14"/>
      </w:r>
      <w:r>
        <w:t xml:space="preserve">. Aucun n’a fait défaut. Aucun n’est revenu en arrière.</w:t>
      </w:r>
    </w:p>
    <w:p>
      <w:pPr>
        <w:pStyle w:val="BodyText"/>
      </w:pPr>
      <w:r>
        <w:t xml:space="preserve">L’objection « la bourse, c’est le casino » confond trois choses : la mésaventure d’un petit porteur, le comportement d’un krach isolé, et l’architecture d’un fonds de pension public sur quarante ans. Ce n’est pas la même chose. Ce n’est même pas comparable.</w:t>
      </w:r>
    </w:p>
    <w:bookmarkEnd w:id="15"/>
    <w:bookmarkStart w:id="20" w:name="q.2-et-enron-madoff-detroit"/>
    <w:p>
      <w:pPr>
        <w:pStyle w:val="Heading2"/>
      </w:pPr>
      <w:r>
        <w:t xml:space="preserve">Q.2 — « Et Enron, Madoff, Detroit ? »</w:t>
      </w:r>
    </w:p>
    <w:p>
      <w:pPr>
        <w:pStyle w:val="FirstParagraph"/>
      </w:pPr>
      <w:r>
        <w:t xml:space="preserve">C’est l’objection-réflexe. Trois cas, espacés sur quinze ans dans un seul pays, qu’on agite pour condamner soixante-dix ans d’histoire des fonds de pension dans le monde.</w:t>
      </w:r>
    </w:p>
    <w:p>
      <w:pPr>
        <w:pStyle w:val="BodyText"/>
      </w:pPr>
      <w:r>
        <w:rPr>
          <w:b/>
          <w:bCs/>
        </w:rPr>
        <w:t xml:space="preserve">Enron, 2001.</w:t>
      </w:r>
      <w:r>
        <w:t xml:space="preserve"> </w:t>
      </w:r>
      <w:r>
        <w:t xml:space="preserve">Fraude comptable d’une entreprise texane, plans 401(k) concentrés en actions employeur : ~1,2-1,3 Md$ de pertes pour environ 15 000 salariés</w:t>
      </w:r>
      <w:r>
        <w:rPr>
          <w:rStyle w:val="FootnoteReference"/>
        </w:rPr>
        <w:footnoteReference w:id="16"/>
      </w:r>
      <w:r>
        <w:t xml:space="preserve">. Ce qui a permis Enron est-il possible dans un fonds public moderne ? Non. Un fonds public détient 1 500 à 3 000 lignes en direct ; il est soumis à un régulateur indépendant (DNB, TPR, APRA, OSFI) ; sa gouvernance est paritaire ou indépendante ; et le</w:t>
      </w:r>
      <w:r>
        <w:t xml:space="preserve"> </w:t>
      </w:r>
      <w:r>
        <w:rPr>
          <w:i/>
          <w:iCs/>
        </w:rPr>
        <w:t xml:space="preserve">Pension Protection Act</w:t>
      </w:r>
      <w:r>
        <w:t xml:space="preserve"> </w:t>
      </w:r>
      <w:r>
        <w:t xml:space="preserve">de 2006, voté précisément après Enron, a imposé la diversification dans les 401(k) eux-mêmes. La leçon a été apprise. L’architecture moderne — qui n’avait jamais permis cela — l’interdit explicitement depuis vingt ans.</w:t>
      </w:r>
    </w:p>
    <w:p>
      <w:pPr>
        <w:pStyle w:val="BodyText"/>
      </w:pPr>
      <w:r>
        <w:rPr>
          <w:b/>
          <w:bCs/>
        </w:rPr>
        <w:t xml:space="preserve">Madoff, 2008.</w:t>
      </w:r>
      <w:r>
        <w:t xml:space="preserve"> </w:t>
      </w:r>
      <w:r>
        <w:t xml:space="preserve">Ponzi de 18 Md$ de cash réellement investis</w:t>
      </w:r>
      <w:r>
        <w:rPr>
          <w:rStyle w:val="FootnoteReference"/>
        </w:rPr>
        <w:footnoteReference w:id="17"/>
      </w:r>
      <w:r>
        <w:t xml:space="preserve">. Un fonds régulé par ERISA ou IORP II l’aurait-il pu ? Non : audit indépendant obligatoire (Madoff utilisait un cabinet de trois personnes),</w:t>
      </w:r>
      <w:r>
        <w:t xml:space="preserve"> </w:t>
      </w:r>
      <w:r>
        <w:rPr>
          <w:i/>
          <w:iCs/>
        </w:rPr>
        <w:t xml:space="preserve">mark-to-market</w:t>
      </w:r>
      <w:r>
        <w:t xml:space="preserve"> </w:t>
      </w:r>
      <w:r>
        <w:t xml:space="preserve">quotidien (Madoff lissait artificiellement les rendements), ségrégation comptable des actifs (Madoff confondait clients et firme), supervision prudentielle continue (Madoff y échappait). Aucun fonds de pension public n’a fait faillite à cause de Madoff. C’était un</w:t>
      </w:r>
      <w:r>
        <w:t xml:space="preserve"> </w:t>
      </w:r>
      <w:r>
        <w:rPr>
          <w:i/>
          <w:iCs/>
        </w:rPr>
        <w:t xml:space="preserve">hedge fund</w:t>
      </w:r>
      <w:r>
        <w:t xml:space="preserve"> </w:t>
      </w:r>
      <w:r>
        <w:t xml:space="preserve">privé vendu à une clientèle ultra-aisée.</w:t>
      </w:r>
    </w:p>
    <w:p>
      <w:pPr>
        <w:pStyle w:val="BodyText"/>
      </w:pPr>
      <w:r>
        <w:rPr>
          <w:b/>
          <w:bCs/>
        </w:rPr>
        <w:t xml:space="preserve">Detroit, 2013.</w:t>
      </w:r>
      <w:r>
        <w:t xml:space="preserve"> </w:t>
      </w:r>
      <w:r>
        <w:t xml:space="preserve">Faillite municipale, 3,5 Md$ de pensions non financées, réductions de 4 à 17 %</w:t>
      </w:r>
      <w:r>
        <w:rPr>
          <w:rStyle w:val="FootnoteReference"/>
        </w:rPr>
        <w:footnoteReference w:id="18"/>
      </w:r>
      <w:r>
        <w:t xml:space="preserve">. La cause structurelle n’est pas la capitalisation. C’est l’effondrement démographique d’une ville (1,8 million d’habitants en 1950, 700 000 en 2010) couplé à</w:t>
      </w:r>
      <w:r>
        <w:t xml:space="preserve"> </w:t>
      </w:r>
      <w:r>
        <w:rPr>
          <w:b/>
          <w:bCs/>
        </w:rPr>
        <w:t xml:space="preserve">l’absence de funding ratio minimum légal</w:t>
      </w:r>
      <w:r>
        <w:t xml:space="preserve"> </w:t>
      </w:r>
      <w:r>
        <w:t xml:space="preserve">et à</w:t>
      </w:r>
      <w:r>
        <w:t xml:space="preserve"> </w:t>
      </w:r>
      <w:r>
        <w:rPr>
          <w:b/>
          <w:bCs/>
        </w:rPr>
        <w:t xml:space="preserve">l’absence de filet de dernier recours</w:t>
      </w:r>
      <w:r>
        <w:t xml:space="preserve">. Si Detroit avait été un fonds néerlandais, la DNB aurait imposé un plan de redressement vingt ans avant 2013. Si Detroit avait été un fonds britannique, le PPF aurait pris les retraités à 100 %. Detroit est un échec de gouvernance prudentielle, pas un échec de la capitalisation.</w:t>
      </w:r>
    </w:p>
    <w:p>
      <w:pPr>
        <w:pStyle w:val="BodyText"/>
      </w:pPr>
      <w:r>
        <w:rPr>
          <w:b/>
          <w:bCs/>
        </w:rPr>
        <w:t xml:space="preserve">Le constat qu’on n’agite jamais.</w:t>
      </w:r>
      <w:r>
        <w:t xml:space="preserve"> </w:t>
      </w:r>
      <w:r>
        <w:t xml:space="preserve">Aucun fonds public moderne respectant les règles OCDE n’a fait défaut depuis trente ans. Pas un. ABP existe depuis 1922, AP-fonds suédois depuis 1955, CalPERS depuis 1932, CPPIB depuis 1999, AustralianSuper depuis 1990. Tous ont traversé 2000, 2008, 2020 et 2022. Tous ont continué à payer.</w:t>
      </w:r>
    </w:p>
    <w:p>
      <w:pPr>
        <w:pStyle w:val="BodyText"/>
      </w:pPr>
      <w:r>
        <w:t xml:space="preserve">Et l’inversion à laquelle on échappe rarement : le</w:t>
      </w:r>
      <w:r>
        <w:t xml:space="preserve"> </w:t>
      </w:r>
      <w:r>
        <w:rPr>
          <w:i/>
          <w:iCs/>
        </w:rPr>
        <w:t xml:space="preserve">Mercer CFA Global Pension Index 2025</w:t>
      </w:r>
      <w:r>
        <w:t xml:space="preserve"> </w:t>
      </w:r>
      <w:r>
        <w:t xml:space="preserve">classe la France en grade B, score global</w:t>
      </w:r>
      <w:r>
        <w:t xml:space="preserve"> </w:t>
      </w:r>
      <w:r>
        <w:rPr>
          <w:b/>
          <w:bCs/>
        </w:rPr>
        <w:t xml:space="preserve">70,3</w:t>
      </w:r>
      <w:r>
        <w:t xml:space="preserve">. Mais derrière ce moyenne, deux sous-indices très différents :</w:t>
      </w:r>
      <w:r>
        <w:t xml:space="preserve"> </w:t>
      </w:r>
      <w:r>
        <w:rPr>
          <w:b/>
          <w:bCs/>
        </w:rPr>
        <w:t xml:space="preserve">adéquation 85,2</w:t>
      </w:r>
      <w:r>
        <w:t xml:space="preserve"> </w:t>
      </w:r>
      <w:r>
        <w:t xml:space="preserve">(pensions généreuses) et</w:t>
      </w:r>
      <w:r>
        <w:t xml:space="preserve"> </w:t>
      </w:r>
      <w:r>
        <w:rPr>
          <w:b/>
          <w:bCs/>
        </w:rPr>
        <w:t xml:space="preserve">viabilité 48,6</w:t>
      </w:r>
      <w:r>
        <w:t xml:space="preserve"> </w:t>
      </w:r>
      <w:r>
        <w:t xml:space="preserve">(le système ne tient pas)</w:t>
      </w:r>
      <w:r>
        <w:rPr>
          <w:rStyle w:val="FootnoteReference"/>
        </w:rPr>
        <w:footnoteReference w:id="19"/>
      </w:r>
      <w:r>
        <w:t xml:space="preserve">. Quasiment deux fois moins. La France est notée structurellement plus fragile que la Grèce sur la viabilité. Le risque ne vient pas de Wall Street. Il vient de Paris.</w:t>
      </w:r>
    </w:p>
    <w:bookmarkEnd w:id="20"/>
    <w:bookmarkStart w:id="25" w:name="Xa18fa248f03a3c6b6fb736c6758fdc5a04f2a2a"/>
    <w:p>
      <w:pPr>
        <w:pStyle w:val="Heading2"/>
      </w:pPr>
      <w:r>
        <w:t xml:space="preserve">Q.3 — « C’est anti-social : ça profite aux riches »</w:t>
      </w:r>
    </w:p>
    <w:p>
      <w:pPr>
        <w:pStyle w:val="FirstParagraph"/>
      </w:pPr>
      <w:r>
        <w:t xml:space="preserve">L’objection a une noblesse — celle d’Henri Sterdyniak, qui la porte depuis trente ans. Elle est cohérente</w:t>
      </w:r>
      <w:r>
        <w:t xml:space="preserve"> </w:t>
      </w:r>
      <w:r>
        <w:rPr>
          <w:i/>
          <w:iCs/>
        </w:rPr>
        <w:t xml:space="preserve">pour un certain type de capitalisation</w:t>
      </w:r>
      <w:r>
        <w:t xml:space="preserve"> </w:t>
      </w:r>
      <w:r>
        <w:t xml:space="preserve">: la capitalisation pure, sans cotisation patronale, sans plancher universel, sans paritarisme. Précisément celle du Chili d’avant 2025, et celle du PER français. Mais ce n’est</w:t>
      </w:r>
      <w:r>
        <w:t xml:space="preserve"> </w:t>
      </w:r>
      <w:r>
        <w:rPr>
          <w:i/>
          <w:iCs/>
        </w:rPr>
        <w:t xml:space="preserve">pas</w:t>
      </w:r>
      <w:r>
        <w:t xml:space="preserve"> </w:t>
      </w:r>
      <w:r>
        <w:t xml:space="preserve">celle des Pays-Bas, de l’Australie, du Royaume-Uni, de la Suède.</w:t>
      </w:r>
    </w:p>
    <w:p>
      <w:pPr>
        <w:pStyle w:val="BodyText"/>
      </w:pPr>
      <w:r>
        <w:rPr>
          <w:b/>
          <w:bCs/>
        </w:rPr>
        <w:t xml:space="preserve">Premier argument : l’obligation patronale renverse l’objection.</w:t>
      </w:r>
      <w:r>
        <w:t xml:space="preserve"> </w:t>
      </w:r>
      <w:r>
        <w:t xml:space="preserve">Une capitalisation obligatoire à cotisation patronale couvre 100 % des salariés, du SMIC au cadre dirigeant. C’est statistiquement plus égalitaire que le PER actuel, dont 70 % des versements proviennent des trois déciles de revenu les plus élevés</w:t>
      </w:r>
      <w:r>
        <w:rPr>
          <w:rStyle w:val="FootnoteReference"/>
        </w:rPr>
        <w:footnoteReference w:id="21"/>
      </w:r>
      <w:r>
        <w:t xml:space="preserve">. La capitalisation universelle n’est pas un produit pour cadres : c’est un produit pour tout le monde, financé en partie par l’employeur. C’est l’inverse du PER.</w:t>
      </w:r>
    </w:p>
    <w:p>
      <w:pPr>
        <w:pStyle w:val="BodyText"/>
      </w:pPr>
      <w:r>
        <w:rPr>
          <w:b/>
          <w:bCs/>
        </w:rPr>
        <w:t xml:space="preserve">Deuxième argument : les femmes y gagnent plus, pas moins.</w:t>
      </w:r>
      <w:r>
        <w:t xml:space="preserve"> </w:t>
      </w:r>
      <w:r>
        <w:t xml:space="preserve">Le</w:t>
      </w:r>
      <w:r>
        <w:t xml:space="preserve"> </w:t>
      </w:r>
      <w:r>
        <w:rPr>
          <w:i/>
          <w:iCs/>
        </w:rPr>
        <w:t xml:space="preserve">Mercer Gender Pension Index 2025</w:t>
      </w:r>
      <w:r>
        <w:t xml:space="preserve"> </w:t>
      </w:r>
      <w:r>
        <w:t xml:space="preserve">mesure l’écart femmes-hommes : 17 % aux Pays-Bas, 25 % en Suède et Australie (en baisse), 28-30 % en France selon la DREES</w:t>
      </w:r>
      <w:r>
        <w:rPr>
          <w:rStyle w:val="FootnoteReference"/>
        </w:rPr>
        <w:footnoteReference w:id="22"/>
      </w:r>
      <w:r>
        <w:t xml:space="preserve">. Les pays à pilier capitalisé obligatoire permettent à la cotisation patronale de continuer pendant les congés parentaux. En France, la répartition pénalise les carrières interrompues. L’objection « anti-redistributive » se retourne sur sa version la plus visible — la pension des femmes — dès qu’on regarde les chiffres.</w:t>
      </w:r>
    </w:p>
    <w:p>
      <w:pPr>
        <w:pStyle w:val="BodyText"/>
      </w:pPr>
      <w:r>
        <w:rPr>
          <w:b/>
          <w:bCs/>
        </w:rPr>
        <w:t xml:space="preserve">Troisième argument : le rapport P90/P10, plus égalitaire aux Pays-Bas.</w:t>
      </w:r>
      <w:r>
        <w:t xml:space="preserve"> </w:t>
      </w:r>
      <w:r>
        <w:t xml:space="preserve">Le rapport entre la pension du premier décile et celle du neuvième décile :</w:t>
      </w:r>
      <w:r>
        <w:t xml:space="preserve"> </w:t>
      </w:r>
      <w:r>
        <w:rPr>
          <w:b/>
          <w:bCs/>
        </w:rPr>
        <w:t xml:space="preserve">France ≈ 4,2 ; Pays-Bas ≈ 3,1</w:t>
      </w:r>
      <w:r>
        <w:rPr>
          <w:rStyle w:val="FootnoteReference"/>
        </w:rPr>
        <w:footnoteReference w:id="23"/>
      </w:r>
      <w:r>
        <w:t xml:space="preserve">. Le pilier deux paritaire universel néerlandais couvre 85 % des salariés à un taux de remplacement de 70-80 %, indépendamment du niveau de revenu. Le système français — répartition pure plus PER optionnel — laisse au contraire les hauts revenus accumuler un capital fiscalement subventionné que les bas revenus n’utilisent pas. Le PER français</w:t>
      </w:r>
      <w:r>
        <w:t xml:space="preserve"> </w:t>
      </w:r>
      <w:r>
        <w:rPr>
          <w:i/>
          <w:iCs/>
        </w:rPr>
        <w:t xml:space="preserve">augmente</w:t>
      </w:r>
      <w:r>
        <w:t xml:space="preserve"> </w:t>
      </w:r>
      <w:r>
        <w:t xml:space="preserve">les inégalités de pension. La capitalisation obligatoire universelle les</w:t>
      </w:r>
      <w:r>
        <w:t xml:space="preserve"> </w:t>
      </w:r>
      <w:r>
        <w:rPr>
          <w:i/>
          <w:iCs/>
        </w:rPr>
        <w:t xml:space="preserve">réduit</w:t>
      </w:r>
      <w:r>
        <w:t xml:space="preserve">.</w:t>
      </w:r>
    </w:p>
    <w:p>
      <w:pPr>
        <w:pStyle w:val="BodyText"/>
      </w:pPr>
      <w:r>
        <w:t xml:space="preserve">Sterdyniak pose la question de l’égalité de mécanisme. Les Hollandais et les Suédois ont, eux, posé celle du résultat. Et le sondage Odoxa-Groupama de novembre 2025 — 57 % des Français favorables au système mixte, 22 % à la capitalisation seule contre 20 % à la répartition seule</w:t>
      </w:r>
      <w:r>
        <w:rPr>
          <w:rStyle w:val="FootnoteReference"/>
        </w:rPr>
        <w:footnoteReference w:id="24"/>
      </w:r>
      <w:r>
        <w:t xml:space="preserve"> </w:t>
      </w:r>
      <w:r>
        <w:t xml:space="preserve">— n’est pas le sondage de la France des privilégiés. C’est celui de la France entière.</w:t>
      </w:r>
    </w:p>
    <w:bookmarkEnd w:id="25"/>
    <w:bookmarkStart w:id="33" w:name="q.4-le-double-paiement-est-insurmontable"/>
    <w:p>
      <w:pPr>
        <w:pStyle w:val="Heading2"/>
      </w:pPr>
      <w:r>
        <w:t xml:space="preserve">Q.4 — « Le double paiement est insurmontable »</w:t>
      </w:r>
    </w:p>
    <w:p>
      <w:pPr>
        <w:pStyle w:val="FirstParagraph"/>
      </w:pPr>
      <w:r>
        <w:t xml:space="preserve">Voici l’objection pivot. Celle qui a tué Thomas 1997, Delevoye 2019, et la version structurelle de Borne 2023.</w:t>
      </w:r>
    </w:p>
    <w:p>
      <w:pPr>
        <w:pStyle w:val="BodyText"/>
      </w:pPr>
      <w:r>
        <w:t xml:space="preserve">Reconnaissons d’abord ce qui est vrai. Dans toute transition d’un système de répartition pure vers un système mixte, les actifs financent simultanément les retraités d’aujourd’hui — promesse non renégociable — et une fraction de leur propre retraite future. La charge totale est, par construction, supérieure à la charge initiale. C’est une équation arithmétique. Le débat ne porte donc pas sur l’existence du double paiement, mais sur</w:t>
      </w:r>
      <w:r>
        <w:t xml:space="preserve"> </w:t>
      </w:r>
      <w:r>
        <w:rPr>
          <w:b/>
          <w:bCs/>
        </w:rPr>
        <w:t xml:space="preserve">qui</w:t>
      </w:r>
      <w:r>
        <w:t xml:space="preserve"> </w:t>
      </w:r>
      <w:r>
        <w:t xml:space="preserve">l’absorbe, et</w:t>
      </w:r>
      <w:r>
        <w:t xml:space="preserve"> </w:t>
      </w:r>
      <w:r>
        <w:rPr>
          <w:b/>
          <w:bCs/>
        </w:rPr>
        <w:t xml:space="preserve">comment</w:t>
      </w:r>
      <w:r>
        <w:t xml:space="preserve">.</w:t>
      </w:r>
    </w:p>
    <w:p>
      <w:pPr>
        <w:pStyle w:val="BodyText"/>
      </w:pPr>
      <w:r>
        <w:rPr>
          <w:b/>
          <w:bCs/>
        </w:rPr>
        <w:t xml:space="preserve">Premier argument : aucun pays comparable n’a effectivement payé un double paiement intégral par l’impôt.</w:t>
      </w:r>
      <w:r>
        <w:t xml:space="preserve"> </w:t>
      </w:r>
      <w:r>
        <w:t xml:space="preserve">C’est le constat empirique le plus dirimant. Australie 1992 : cotisation patronale 3 → 12 %, modération salariale négociée dans l’Accord Hawke-Kelty Mark II, coût pour l’État ≈ 0</w:t>
      </w:r>
      <w:r>
        <w:rPr>
          <w:rStyle w:val="FootnoteReference"/>
        </w:rPr>
        <w:footnoteReference w:id="26"/>
      </w:r>
      <w:r>
        <w:t xml:space="preserve">. Suède 1998 : recyclage de 2,5 points sur les 18,5 % de cotisation existante vers PPM, total inchangé, pas de double paiement net</w:t>
      </w:r>
      <w:r>
        <w:rPr>
          <w:rStyle w:val="FootnoteReference"/>
        </w:rPr>
        <w:footnoteReference w:id="27"/>
      </w:r>
      <w:r>
        <w:t xml:space="preserve">. Royaume-Uni 2012-2019 : auto-enrolment 2 → 8 %, mix 5 % salarié + 3 % employeur + tax relief, ~1-2 Md£/an seulement pour l’État. Canada 2019-2023 : hausse paritaire 9,9 → 11,9 % sur six ans, 50/50, coût pour l’État zéro. Pays-Bas 2019-2028 : conversion DB→DC sur les réserves existantes des fonds (1 850 Md€), pas un euro de l’État.</w:t>
      </w:r>
    </w:p>
    <w:p>
      <w:pPr>
        <w:pStyle w:val="BodyText"/>
      </w:pPr>
      <w:r>
        <w:t xml:space="preserve">Une seule ligne fait exception : le Chili, qui a financé ses</w:t>
      </w:r>
      <w:r>
        <w:t xml:space="preserve"> </w:t>
      </w:r>
      <w:r>
        <w:rPr>
          <w:i/>
          <w:iCs/>
        </w:rPr>
        <w:t xml:space="preserve">bonos de reconocimiento</w:t>
      </w:r>
      <w:r>
        <w:t xml:space="preserve"> </w:t>
      </w:r>
      <w:r>
        <w:t xml:space="preserve">par l’impôt général à hauteur de</w:t>
      </w:r>
      <w:r>
        <w:t xml:space="preserve"> </w:t>
      </w:r>
      <w:r>
        <w:rPr>
          <w:b/>
          <w:bCs/>
        </w:rPr>
        <w:t xml:space="preserve">30 % du PIB cumulé</w:t>
      </w:r>
      <w:r>
        <w:t xml:space="preserve"> </w:t>
      </w:r>
      <w:r>
        <w:t xml:space="preserve">sur trente ans</w:t>
      </w:r>
      <w:r>
        <w:rPr>
          <w:rStyle w:val="FootnoteReference"/>
        </w:rPr>
        <w:footnoteReference w:id="28"/>
      </w:r>
      <w:r>
        <w:t xml:space="preserve">. C’est précisément ce qui en fait le contre-exemple absolu — et la raison pour laquelle le Chili a dû tout réformer en janvier 2025.</w:t>
      </w:r>
    </w:p>
    <w:p>
      <w:pPr>
        <w:pStyle w:val="BodyText"/>
      </w:pPr>
      <w:r>
        <w:rPr>
          <w:b/>
          <w:bCs/>
        </w:rPr>
        <w:t xml:space="preserve">Deuxième argument : la France dispose de six leviers, et ne demande à aucun d’absorber seul la transition.</w:t>
      </w:r>
      <w:r>
        <w:t xml:space="preserve"> </w:t>
      </w:r>
      <w:r>
        <w:t xml:space="preserve">Les six leviers ont été documentés au chapitre 5. Synthèse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Levier</w:t>
            </w:r>
          </w:p>
        </w:tc>
        <w:tc>
          <w:tcPr/>
          <w:p>
            <w:pPr>
              <w:pStyle w:val="Compact"/>
            </w:pPr>
            <w:r>
              <w:t xml:space="preserve">Montant mobilisable</w:t>
            </w:r>
          </w:p>
        </w:tc>
      </w:tr>
      <w:tr>
        <w:tc>
          <w:tcPr/>
          <w:p>
            <w:pPr>
              <w:pStyle w:val="Compact"/>
            </w:pPr>
            <w:r>
              <w:t xml:space="preserve">FRR — dotation unique</w:t>
            </w:r>
          </w:p>
        </w:tc>
        <w:tc>
          <w:tcPr/>
          <w:p>
            <w:pPr>
              <w:pStyle w:val="Compact"/>
            </w:pPr>
            <w:r>
              <w:t xml:space="preserve">20,4 Md€</w:t>
            </w:r>
            <w:r>
              <w:rPr>
                <w:rStyle w:val="FootnoteReference"/>
              </w:rPr>
              <w:footnoteReference w:id="29"/>
            </w:r>
          </w:p>
        </w:tc>
      </w:tr>
      <w:tr>
        <w:tc>
          <w:tcPr/>
          <w:p>
            <w:pPr>
              <w:pStyle w:val="Compact"/>
            </w:pPr>
            <w:r>
              <w:t xml:space="preserve">Eurobonds retraite dédiés</w:t>
            </w:r>
          </w:p>
        </w:tc>
        <w:tc>
          <w:tcPr/>
          <w:p>
            <w:pPr>
              <w:pStyle w:val="Compact"/>
            </w:pPr>
            <w:r>
              <w:t xml:space="preserve">50-150 Md€ amorçage, ~2 Md€/an d’intérêts</w:t>
            </w:r>
          </w:p>
        </w:tc>
      </w:tr>
      <w:tr>
        <w:tc>
          <w:tcPr/>
          <w:p>
            <w:pPr>
              <w:pStyle w:val="Compact"/>
            </w:pPr>
            <w:r>
              <w:t xml:space="preserve">CSG (1 point)</w:t>
            </w:r>
          </w:p>
        </w:tc>
        <w:tc>
          <w:tcPr/>
          <w:p>
            <w:pPr>
              <w:pStyle w:val="Compact"/>
            </w:pPr>
            <w:r>
              <w:t xml:space="preserve">16-17 Md€/an pérenne</w:t>
            </w:r>
          </w:p>
        </w:tc>
      </w:tr>
      <w:tr>
        <w:tc>
          <w:tcPr/>
          <w:p>
            <w:pPr>
              <w:pStyle w:val="Compact"/>
            </w:pPr>
            <w:r>
              <w:t xml:space="preserve">Redéploiement AGIRC-ARRCO (1 point)</w:t>
            </w:r>
          </w:p>
        </w:tc>
        <w:tc>
          <w:tcPr/>
          <w:p>
            <w:pPr>
              <w:pStyle w:val="Compact"/>
            </w:pPr>
            <w:r>
              <w:t xml:space="preserve">8-10 Md€/an</w:t>
            </w:r>
          </w:p>
        </w:tc>
      </w:tr>
      <w:tr>
        <w:tc>
          <w:tcPr/>
          <w:p>
            <w:pPr>
              <w:pStyle w:val="Compact"/>
            </w:pPr>
            <w:r>
              <w:t xml:space="preserve">Cotisation patronale nouvelle (2 points)</w:t>
            </w:r>
          </w:p>
        </w:tc>
        <w:tc>
          <w:tcPr/>
          <w:p>
            <w:pPr>
              <w:pStyle w:val="Compact"/>
            </w:pPr>
            <w:r>
              <w:t xml:space="preserve">~22 Md€/an</w:t>
            </w:r>
            <w:r>
              <w:rPr>
                <w:rStyle w:val="FootnoteReference"/>
              </w:rPr>
              <w:footnoteReference w:id="30"/>
            </w:r>
          </w:p>
        </w:tc>
      </w:tr>
      <w:tr>
        <w:tc>
          <w:tcPr/>
          <w:p>
            <w:pPr>
              <w:pStyle w:val="Compact"/>
            </w:pPr>
            <w:r>
              <w:t xml:space="preserve">Sous-indexation pensions (-1 pt sous inflation)</w:t>
            </w:r>
          </w:p>
        </w:tc>
        <w:tc>
          <w:tcPr/>
          <w:p>
            <w:pPr>
              <w:pStyle w:val="Compact"/>
            </w:pPr>
            <w:r>
              <w:t xml:space="preserve">~1,4 Md€/an d’économie</w:t>
            </w:r>
          </w:p>
        </w:tc>
      </w:tr>
    </w:tbl>
    <w:p>
      <w:pPr>
        <w:pStyle w:val="BodyText"/>
      </w:pPr>
      <w:r>
        <w:t xml:space="preserve">Aucun, pris isolément, ne ferme l’équation. C’est précisément le sens du tableau. Combinaison réaliste pour la France :</w:t>
      </w:r>
      <w:r>
        <w:t xml:space="preserve"> </w:t>
      </w:r>
      <w:r>
        <w:rPr>
          <w:b/>
          <w:bCs/>
        </w:rPr>
        <w:t xml:space="preserve">FRR + cotisation patronale 2 % + eurobonds limités</w:t>
      </w:r>
      <w:r>
        <w:t xml:space="preserve">. Total ≈ 22 Md€/an de flux pérennes plus deux dotations en capital. Charge nette pour l’État ≈</w:t>
      </w:r>
      <w:r>
        <w:t xml:space="preserve"> </w:t>
      </w:r>
      <w:r>
        <w:rPr>
          <w:b/>
          <w:bCs/>
        </w:rPr>
        <w:t xml:space="preserve">3 à 4 Md€/an, soit 0,1 % du PIB</w:t>
      </w:r>
      <w:r>
        <w:t xml:space="preserve">. Le détail des douze propositions qui précèdent.</w:t>
      </w:r>
    </w:p>
    <w:p>
      <w:pPr>
        <w:pStyle w:val="BodyText"/>
      </w:pPr>
      <w:r>
        <w:rPr>
          <w:b/>
          <w:bCs/>
        </w:rPr>
        <w:t xml:space="preserve">Troisième argument : le coût de l’inaction est dix fois supérieur.</w:t>
      </w:r>
      <w:r>
        <w:t xml:space="preserve"> </w:t>
      </w:r>
      <w:r>
        <w:t xml:space="preserve">Le COR projette un déficit du système de</w:t>
      </w:r>
      <w:r>
        <w:t xml:space="preserve"> </w:t>
      </w:r>
      <w:r>
        <w:rPr>
          <w:b/>
          <w:bCs/>
        </w:rPr>
        <w:t xml:space="preserve">45 Md€/an en 2070</w:t>
      </w:r>
      <w:r>
        <w:t xml:space="preserve">, soit −1,4 % du PIB</w:t>
      </w:r>
      <w:r>
        <w:rPr>
          <w:rStyle w:val="FootnoteReference"/>
        </w:rPr>
        <w:footnoteReference w:id="31"/>
      </w:r>
      <w:r>
        <w:t xml:space="preserve">. La Commission européenne évalue le passif implicite français à</w:t>
      </w:r>
      <w:r>
        <w:t xml:space="preserve"> </w:t>
      </w:r>
      <w:r>
        <w:rPr>
          <w:b/>
          <w:bCs/>
        </w:rPr>
        <w:t xml:space="preserve">417 % du PIB</w:t>
      </w:r>
      <w:r>
        <w:rPr>
          <w:rStyle w:val="FootnoteReference"/>
        </w:rPr>
        <w:footnoteReference w:id="32"/>
      </w:r>
      <w:r>
        <w:t xml:space="preserve">. Le coût de la transition à l’horizon 2052, dans le scénario D du chapitre 5, est de ~88 Md€ cumulés. Le coût de l’inaction sur le même horizon, rien qu’en soldes COR projetés linéairement : au minimum</w:t>
      </w:r>
      <w:r>
        <w:t xml:space="preserve"> </w:t>
      </w:r>
      <w:r>
        <w:rPr>
          <w:b/>
          <w:bCs/>
        </w:rPr>
        <w:t xml:space="preserve">800 Md€ cumulés</w:t>
      </w:r>
      <w:r>
        <w:t xml:space="preserve">. Dix fois plus. L’argument du double paiement, retourné, devient : le double paiement de l’inaction sera, à coup sûr, plusieurs fois plus lourd que celui de la transition.</w:t>
      </w:r>
    </w:p>
    <w:p>
      <w:pPr>
        <w:pStyle w:val="BodyText"/>
      </w:pPr>
      <w:r>
        <w:t xml:space="preserve">Et la cohorte « sacrifiée », celle qui paierait en double ? Dans le scénario D, elle paie 0,5 à 4 points de cotisation patronale nouvelle de plus, étalés sur sept à dix ans. En contrepartie, elle accumule en moyenne 119 000 euros de capital propre par actif en 2052, qui produiront environ 228 000 euros de pension supplémentaire sur vingt ans. La cohorte « sacrifiée » est en fait la première bénéficiaire. La cohorte vraiment sacrifiée, dans le statu quo, c’est celle qui paie sans rien recevoir — c’est-à-dire, sans réforme,</w:t>
      </w:r>
      <w:r>
        <w:t xml:space="preserve"> </w:t>
      </w:r>
      <w:r>
        <w:rPr>
          <w:i/>
          <w:iCs/>
        </w:rPr>
        <w:t xml:space="preserve">toutes</w:t>
      </w:r>
      <w:r>
        <w:t xml:space="preserve"> </w:t>
      </w:r>
      <w:r>
        <w:t xml:space="preserve">les cohortes nées après 1985.</w:t>
      </w:r>
    </w:p>
    <w:p>
      <w:pPr>
        <w:pStyle w:val="BodyText"/>
      </w:pPr>
      <w:r>
        <w:t xml:space="preserve">La Suède l’a accepté en 1994, en pleine crise budgétaire. L’Australie en 1985. Le Royaume-Uni en 2008. Le Canada en 2016. Aucun de ces pays n’avait, à l’époque, l’épaisseur budgétaire que la France a aujourd’hui. L’objection « insurmontable » n’est ni technique ni juridique. Elle est</w:t>
      </w:r>
      <w:r>
        <w:t xml:space="preserve"> </w:t>
      </w:r>
      <w:r>
        <w:rPr>
          <w:i/>
          <w:iCs/>
        </w:rPr>
        <w:t xml:space="preserve">politique</w:t>
      </w:r>
      <w:r>
        <w:t xml:space="preserve">.</w:t>
      </w:r>
    </w:p>
    <w:bookmarkEnd w:id="33"/>
    <w:bookmarkStart w:id="35" w:name="X7b637a3d3f3af368bc7e1a939050506db24d630"/>
    <w:p>
      <w:pPr>
        <w:pStyle w:val="Heading2"/>
      </w:pPr>
      <w:r>
        <w:t xml:space="preserve">Q.5 — « On a déjà essayé : le PER, ça ne marche pas »</w:t>
      </w:r>
    </w:p>
    <w:p>
      <w:pPr>
        <w:pStyle w:val="FirstParagraph"/>
      </w:pPr>
      <w:r>
        <w:t xml:space="preserve">L’argument utilise un échec partiel pour disqualifier un projet plus large. Comme si l’on disait :</w:t>
      </w:r>
      <w:r>
        <w:t xml:space="preserve"> </w:t>
      </w:r>
      <w:r>
        <w:rPr>
          <w:i/>
          <w:iCs/>
        </w:rPr>
        <w:t xml:space="preserve">« la voiture électrique, ça ne marche pas — regardez la Citroën C-Zéro »</w:t>
      </w:r>
      <w:r>
        <w:t xml:space="preserve">.</w:t>
      </w:r>
    </w:p>
    <w:p>
      <w:pPr>
        <w:pStyle w:val="BodyText"/>
      </w:pPr>
      <w:r>
        <w:rPr>
          <w:b/>
          <w:bCs/>
        </w:rPr>
        <w:t xml:space="preserve">Premier argument : le PER n’est pas un fonds de pension, c’est un compte d’épargne fiscal.</w:t>
      </w:r>
      <w:r>
        <w:t xml:space="preserve"> </w:t>
      </w:r>
      <w:r>
        <w:t xml:space="preserve">Créé par la loi PACTE de mai 2019, il compte 11,2 millions de souscripteurs et 118,9 Md€ d’encours fin T3 2024, soit</w:t>
      </w:r>
      <w:r>
        <w:t xml:space="preserve"> </w:t>
      </w:r>
      <w:r>
        <w:rPr>
          <w:b/>
          <w:bCs/>
        </w:rPr>
        <w:t xml:space="preserve">10 600 euros par titulaire</w:t>
      </w:r>
      <w:r>
        <w:t xml:space="preserve"> </w:t>
      </w:r>
      <w:r>
        <w:t xml:space="preserve">— résiduel à l’échelle d’une carrière</w:t>
      </w:r>
      <w:r>
        <w:rPr>
          <w:rStyle w:val="FootnoteReference"/>
        </w:rPr>
        <w:footnoteReference w:id="34"/>
      </w:r>
      <w:r>
        <w:t xml:space="preserve">. À titre de comparaison, un ménage australien à 50 ans détient plus de 150 000 AUD dans son fonds de pension obligatoire. Le PER est l’équivalent du</w:t>
      </w:r>
      <w:r>
        <w:t xml:space="preserve"> </w:t>
      </w:r>
      <w:r>
        <w:rPr>
          <w:i/>
          <w:iCs/>
        </w:rPr>
        <w:t xml:space="preserve">Roth IRA</w:t>
      </w:r>
      <w:r>
        <w:t xml:space="preserve"> </w:t>
      </w:r>
      <w:r>
        <w:t xml:space="preserve">américain ou du</w:t>
      </w:r>
      <w:r>
        <w:t xml:space="preserve"> </w:t>
      </w:r>
      <w:r>
        <w:rPr>
          <w:i/>
          <w:iCs/>
        </w:rPr>
        <w:t xml:space="preserve">SIPP</w:t>
      </w:r>
      <w:r>
        <w:t xml:space="preserve"> </w:t>
      </w:r>
      <w:r>
        <w:t xml:space="preserve">britannique. Ce n’est</w:t>
      </w:r>
      <w:r>
        <w:t xml:space="preserve"> </w:t>
      </w:r>
      <w:r>
        <w:rPr>
          <w:i/>
          <w:iCs/>
        </w:rPr>
        <w:t xml:space="preserve">pas</w:t>
      </w:r>
      <w:r>
        <w:t xml:space="preserve"> </w:t>
      </w:r>
      <w:r>
        <w:t xml:space="preserve">l’équivalent du NEST, de l’ABP, d’AustralianSuper.</w:t>
      </w:r>
    </w:p>
    <w:p>
      <w:pPr>
        <w:pStyle w:val="BodyText"/>
      </w:pPr>
      <w:r>
        <w:rPr>
          <w:b/>
          <w:bCs/>
        </w:rPr>
        <w:t xml:space="preserve">Deuxième argument : volontaire versus obligatoire, et les conséquences statistiques qui en découlent.</w:t>
      </w:r>
      <w:r>
        <w:t xml:space="preserve"> </w:t>
      </w:r>
      <w:r>
        <w:t xml:space="preserve">Un produit volontaire ne touche que les déjà-épargnants, qui sont les déciles supérieurs de revenu. Un produit obligatoire — ou en auto-enrolment avec opt-out — couvre tout le monde : 80 à 92 % de taux de participation observés. Cette différence n’est pas quantitative. Elle est qualitative.</w:t>
      </w:r>
    </w:p>
    <w:p>
      <w:pPr>
        <w:pStyle w:val="BodyText"/>
      </w:pPr>
      <w:r>
        <w:rPr>
          <w:b/>
          <w:bCs/>
        </w:rPr>
        <w:t xml:space="preserve">Troisième argument : la gouvernance et les frais.</w:t>
      </w:r>
      <w:r>
        <w:t xml:space="preserve"> </w:t>
      </w:r>
      <w:r>
        <w:t xml:space="preserve">Le PER est distribué par des banques et assureurs commerciaux ; frais cumulés 1,5 à 3 % par an. Un fonds de pension public est gouverné par un conseil tripartite (État, syndicats, patronat) avec direction des investissements indépendante. Frais cibles : AP7 Suède 0,05 %, NEST UK 0,3-0,5 %. Sur quarante ans de carrière, l’écart de frais représente plusieurs dizaines de pour cent du capital final accumulé. C’est l’écart entre un produit financier et une</w:t>
      </w:r>
      <w:r>
        <w:t xml:space="preserve"> </w:t>
      </w:r>
      <w:r>
        <w:rPr>
          <w:i/>
          <w:iCs/>
        </w:rPr>
        <w:t xml:space="preserve">infrastructure</w:t>
      </w:r>
      <w:r>
        <w:t xml:space="preserve">.</w:t>
      </w:r>
    </w:p>
    <w:p>
      <w:pPr>
        <w:pStyle w:val="BodyText"/>
      </w:pPr>
      <w:r>
        <w:t xml:space="preserve">Dire « on a essayé le PER, ça ne marche pas » revient à dire « on a essayé l’eau gazeuse, ça ne désaltère pas » alors qu’on aurait pu boire un litre d’eau plate. Le PER reste utile en pilier 3 volontaire individuel. Mais le pilier 2 — capitalisation obligatoire, paritaire, fléchée, gouvernée — reste intégralement à inventer.</w:t>
      </w:r>
    </w:p>
    <w:bookmarkEnd w:id="35"/>
    <w:bookmarkStart w:id="37" w:name="X1153f31c0b9823952796530e214bd0e79abf818"/>
    <w:p>
      <w:pPr>
        <w:pStyle w:val="Heading2"/>
      </w:pPr>
      <w:r>
        <w:t xml:space="preserve">Q.6 — « La France n’a pas la culture financière »</w:t>
      </w:r>
    </w:p>
    <w:p>
      <w:pPr>
        <w:pStyle w:val="FirstParagraph"/>
      </w:pPr>
      <w:r>
        <w:t xml:space="preserve">C’est la plus défaitiste des objections. Elle reconnaît implicitement les vertus du système qu’elle refuse, et se replie sur une excuse sociologique.</w:t>
      </w:r>
    </w:p>
    <w:p>
      <w:pPr>
        <w:pStyle w:val="BodyText"/>
      </w:pPr>
      <w:r>
        <w:rPr>
          <w:b/>
          <w:bCs/>
        </w:rPr>
        <w:t xml:space="preserve">Premier argument : la culture financière française a été</w:t>
      </w:r>
      <w:r>
        <w:rPr>
          <w:b/>
          <w:bCs/>
        </w:rPr>
        <w:t xml:space="preserve"> </w:t>
      </w:r>
      <w:r>
        <w:rPr>
          <w:b/>
          <w:bCs/>
          <w:i/>
          <w:iCs/>
        </w:rPr>
        <w:t xml:space="preserve">retirée</w:t>
      </w:r>
      <w:r>
        <w:rPr>
          <w:b/>
          <w:bCs/>
        </w:rPr>
        <w:t xml:space="preserve">, pas absente.</w:t>
      </w:r>
      <w:r>
        <w:t xml:space="preserve"> </w:t>
      </w:r>
      <w:r>
        <w:t xml:space="preserve">Avant 1945, la France était l’un des pays d’investisseurs particuliers les plus actifs d’Europe : actions Suez, Saint-Gobain, Compagnie des Indes, Chemins de fer du Nord, Banque de France, et bien sûr l’emprunt russe. Cette culture a été cassée par deux guerres, deux inflations massives (1920-1928, 1944-1958), les nationalisations, et l’instauration en 1945 d’une Sécurité sociale qui a</w:t>
      </w:r>
      <w:r>
        <w:t xml:space="preserve"> </w:t>
      </w:r>
      <w:r>
        <w:rPr>
          <w:i/>
          <w:iCs/>
        </w:rPr>
        <w:t xml:space="preserve">remplacé</w:t>
      </w:r>
      <w:r>
        <w:t xml:space="preserve"> </w:t>
      </w:r>
      <w:r>
        <w:t xml:space="preserve">l’épargne individuelle par la solidarité contributive. Quatre-vingt-un ans plus tard, on s’étonne qu’elle ait moins l’habitude d’investir.</w:t>
      </w:r>
    </w:p>
    <w:p>
      <w:pPr>
        <w:pStyle w:val="BodyText"/>
      </w:pPr>
      <w:r>
        <w:rPr>
          <w:b/>
          <w:bCs/>
        </w:rPr>
        <w:t xml:space="preserve">Deuxième argument : la Suède de 1990 ressemblait à la France de 1990.</w:t>
      </w:r>
      <w:r>
        <w:t xml:space="preserve"> </w:t>
      </w:r>
      <w:r>
        <w:t xml:space="preserve">Même profil d’épargne, mêmes dépôts bancaires dominants, exposition aux actions inférieure à 10 % du patrimoine financier. En 2024, le ménage suédois détient 35-40 % en actions, contre ~23 % pour le français. La différence ne tient pas à un don suédois mystérieux : elle tient à l’architecture. La mise en place du PPM en 1999 a</w:t>
      </w:r>
      <w:r>
        <w:t xml:space="preserve"> </w:t>
      </w:r>
      <w:r>
        <w:rPr>
          <w:i/>
          <w:iCs/>
        </w:rPr>
        <w:t xml:space="preserve">fabriqué</w:t>
      </w:r>
      <w:r>
        <w:t xml:space="preserve"> </w:t>
      </w:r>
      <w:r>
        <w:t xml:space="preserve">une culture financière qui n’existait pas. La culture n’a pas précédé l’instrument ; elle l’a suivi. Et le PEA français suit la même trajectoire : 1,8 million de titulaires en 1995, plus de 7 millions aujourd’hui</w:t>
      </w:r>
      <w:r>
        <w:rPr>
          <w:rStyle w:val="FootnoteReference"/>
        </w:rPr>
        <w:footnoteReference w:id="36"/>
      </w:r>
      <w:r>
        <w:t xml:space="preserve"> </w:t>
      </w:r>
      <w:r>
        <w:t xml:space="preserve">— 12,5 % des ménages détiennent désormais des actions en direct, contre 6,9 % en 2020.</w:t>
      </w:r>
    </w:p>
    <w:p>
      <w:pPr>
        <w:pStyle w:val="BodyText"/>
      </w:pPr>
      <w:r>
        <w:rPr>
          <w:b/>
          <w:bCs/>
        </w:rPr>
        <w:t xml:space="preserve">Troisième argument : la capitalisation moderne ne demande aucune culture financière.</w:t>
      </w:r>
      <w:r>
        <w:t xml:space="preserve"> </w:t>
      </w:r>
      <w:r>
        <w:t xml:space="preserve">Personne, en Suède, n’est savant. Personne, en Australie, ne l’est. Tous bénéficient d’un fonds par défaut bien conçu — AP7 Såfa, MySuper, NEST — qui gère pour eux, avec glide path automatique, frais ultra-bas et transparence radicale. La culture requise est</w:t>
      </w:r>
      <w:r>
        <w:t xml:space="preserve"> </w:t>
      </w:r>
      <w:r>
        <w:rPr>
          <w:i/>
          <w:iCs/>
        </w:rPr>
        <w:t xml:space="preserve">nulle</w:t>
      </w:r>
      <w:r>
        <w:t xml:space="preserve">. Il suffit de ne pas opt-outer. C’est l’inverse du PER, qui exige de chaque épargnant qu’il choisisse parmi des dizaines de supports et qu’il comprenne la fiscalité.</w:t>
      </w:r>
      <w:r>
        <w:t xml:space="preserve"> </w:t>
      </w:r>
      <w:r>
        <w:rPr>
          <w:i/>
          <w:iCs/>
        </w:rPr>
        <w:t xml:space="preserve">Ça</w:t>
      </w:r>
      <w:r>
        <w:t xml:space="preserve">, c’est culturellement exigeant. Un fonds par défaut, non.</w:t>
      </w:r>
    </w:p>
    <w:p>
      <w:pPr>
        <w:pStyle w:val="BodyText"/>
      </w:pPr>
      <w:r>
        <w:t xml:space="preserve">L’argument se retourne en miroir.</w:t>
      </w:r>
      <w:r>
        <w:t xml:space="preserve"> </w:t>
      </w:r>
      <w:r>
        <w:rPr>
          <w:i/>
          <w:iCs/>
        </w:rPr>
        <w:t xml:space="preserve">On ne peut pas demander aux Français de gérer leur retraite eux-mêmes.</w:t>
      </w:r>
      <w:r>
        <w:t xml:space="preserve"> </w:t>
      </w:r>
      <w:r>
        <w:t xml:space="preserve">Exact. C’est précisément pourquoi il faut un fonds par défaut public, transparent et bien géré, qui le fasse à leur place. C’est l’architecture qui fait le travail. Pas la culture.</w:t>
      </w:r>
    </w:p>
    <w:p>
      <w:r>
        <w:pict>
          <v:rect style="width:0;height:1.5pt" o:hralign="center" o:hrstd="t" o:hr="t"/>
        </w:pict>
      </w:r>
    </w:p>
    <w:bookmarkEnd w:id="37"/>
    <w:bookmarkStart w:id="38" w:name="conclusion-la-fenêtre-est-ouverte"/>
    <w:p>
      <w:pPr>
        <w:pStyle w:val="Heading2"/>
      </w:pPr>
      <w:r>
        <w:t xml:space="preserve">Conclusion : la fenêtre est ouverte</w:t>
      </w:r>
    </w:p>
    <w:p>
      <w:pPr>
        <w:pStyle w:val="FirstParagraph"/>
      </w:pPr>
      <w:r>
        <w:t xml:space="preserve">Six objections, six réponses. Et, au-delà des six, un livre entier qui tient en quelques phrases.</w:t>
      </w:r>
    </w:p>
    <w:p>
      <w:pPr>
        <w:pStyle w:val="BodyText"/>
      </w:pPr>
      <w:r>
        <w:t xml:space="preserve">Le système actuel ne tient pas. La démographie le rattrape, les réformes paramétriques s’épuisent, le déficit projeté dérive de cinq milliards d’euros aujourd’hui à quarante-cinq dans trente ans, et le passif implicite atteint l’équivalent de quatre années entières de PIB national. C’est ce qu’a posé le chapitre 1.</w:t>
      </w:r>
    </w:p>
    <w:p>
      <w:pPr>
        <w:pStyle w:val="BodyText"/>
      </w:pPr>
      <w:r>
        <w:t xml:space="preserve">La capitalisation est l’outil qui manque. Pas comme substitut, comme complément. Le calcul cas-type est implacable : un actif de trente ans en 2026, qui orienterait un cinquième de sa cotisation vers un pilier capitalisé pendant ses quarante-trois années de carrière, accumulerait 216 000 euros de capital propre et toucherait 228 000 euros de pension supplémentaire sur vingt ans. C’est ce qu’a montré le chapitre 2.</w:t>
      </w:r>
    </w:p>
    <w:p>
      <w:pPr>
        <w:pStyle w:val="BodyText"/>
      </w:pPr>
      <w:r>
        <w:t xml:space="preserve">Ce n’est pas qu’un sujet de pension. La même infrastructure qui sécurise les retraites finance les entreprises françaises, les sièges sociaux, les ETI, les scale-up. Le capital absent — les six mille milliards qui dorment dans les livrets et les fonds en euros — est précisément ce qui manque pour empêcher la vague de transmissions 2025-2035 de partir intégralement aux fonds étrangers. Le même capital, deux problèmes, une réponse unique. C’est l’argument du chapitre 3.</w:t>
      </w:r>
    </w:p>
    <w:p>
      <w:pPr>
        <w:pStyle w:val="BodyText"/>
      </w:pPr>
      <w:r>
        <w:t xml:space="preserve">Les autres l’ont fait. Quatre cas — Suède, Australie, Singapour, Chili — quatre architectures différentes, quatre époques, et un même verdict : un pilier capitalisé bien construit est compatible avec la social-démocratie, avec le pragmatisme syndical, avec la continuité asiatique, et l’absence de l’un des quatre invariants — cotisation patronale, plancher universel, fonds par défaut, pacte transpartisan — produit un échec. C’est ce qu’a posé le chapitre 4.</w:t>
      </w:r>
    </w:p>
    <w:p>
      <w:pPr>
        <w:pStyle w:val="BodyText"/>
      </w:pPr>
      <w:r>
        <w:t xml:space="preserve">La transition est possible en vingt-cinq ans. Quatre scénarios crédibles, modélisés et chiffrés. Le scénario D, hybride Canada-Australie, produit 2 744 milliards d’euros d’encours en 2052, soit 69 % du PIB français — comparable à la position du Royaume-Uni aujourd’hui. Coût budgétaire pour l’État : environ 3,5 milliards d’euros par an. Coût comparé de l’inaction : dix fois plus, voire davantage. C’est ce qu’a démontré le chapitre 5.</w:t>
      </w:r>
    </w:p>
    <w:p>
      <w:pPr>
        <w:pStyle w:val="BodyText"/>
      </w:pPr>
      <w:r>
        <w:t xml:space="preserve">Douze propositions concrètes. Loi-cadre 2027, Fonds Français de Capitalisation 2028, auto-enrolment progressif, cotisation patronale graduée, redéploiement du FRR, eurobonds dédiés, gouvernance paritaire, fléchage souverain, garantie publique de rendement plancher, transparence radicale, pacte intergénérationnel, Commission indépendante mandatée dès 2026. C’est ce qu’a posé le Manifeste.</w:t>
      </w:r>
    </w:p>
    <w:p>
      <w:pPr>
        <w:pStyle w:val="BodyText"/>
      </w:pPr>
      <w:r>
        <w:t xml:space="preserve">Et six mensonges, désormais désamorcés. La bourse n’est pas un casino quand elle est encadrée par un glide path, des garanties publiques et la diversification mondiale d’un fonds public. Enron, Madoff, Detroit ne sont pas des arguments contre la capitalisation publique moderne, parce qu’aucun de ces cas n’a pu se produire dans un fonds soumis aux règles OCDE modernes. La capitalisation obligatoire universelle est</w:t>
      </w:r>
      <w:r>
        <w:t xml:space="preserve"> </w:t>
      </w:r>
      <w:r>
        <w:rPr>
          <w:i/>
          <w:iCs/>
        </w:rPr>
        <w:t xml:space="preserve">plus</w:t>
      </w:r>
      <w:r>
        <w:t xml:space="preserve"> </w:t>
      </w:r>
      <w:r>
        <w:t xml:space="preserve">sociale, pas moins, que le système actuel — pour les femmes, pour les bas revenus, pour les carrières fragmentées. Le double paiement n’est pas insurmontable : aucun pays comparable ne l’a financé par l’impôt général, et la France dispose de six leviers documentés. Le PER n’est pas un échec de la capitalisation, parce que ce n’est pas un fonds de pension structurel. Et la culture financière française n’est pas une fatalité : c’est ce que l’infrastructure crée, pas ce qu’elle suppose.</w:t>
      </w:r>
    </w:p>
    <w:p>
      <w:pPr>
        <w:pStyle w:val="BodyText"/>
      </w:pPr>
      <w:r>
        <w:t xml:space="preserve">Tout le travail théorique du livre est, ici, achevé. La fenêtre ouverte par la présidentielle de 2027 ne se rouvrira pas avant 2032 — et chaque année perdue alourdit le coût de l’inaction de plusieurs milliards d’euros et déplace de plusieurs centaines de milliers la cohorte qui aurait pu basculer dans le nouveau système. La Suède n’a pas attendu d’être en confort budgétaire pour réformer. Elle l’a fait en pleine crise. La France, en 2026, est dans une situation moins critique. Et pourtant plus paralysée.</w:t>
      </w:r>
    </w:p>
    <w:p>
      <w:pPr>
        <w:pStyle w:val="BodyText"/>
      </w:pPr>
      <w:r>
        <w:t xml:space="preserve">Trente ans. C’est ce qu’ont coûté les six mensonges qui sont l’objet de ce chapitre. Trente ans de réformes paramétriques qui s’épuisent, de générations qui paient sans recevoir l’équivalent, de capital français qui finance les retraites des autres pendant qu’il manque aux nôtres, d’entreprises familiales qui se vendent à des fonds étrangers parce qu’aucun acheteur français n’a la taille. Trente ans, c’est le mandat de toute une génération de décideurs qui ont entendu ces six phrases sans jamais vouloir les regarder en face.</w:t>
      </w:r>
    </w:p>
    <w:p>
      <w:pPr>
        <w:pStyle w:val="BodyText"/>
      </w:pPr>
      <w:r>
        <w:t xml:space="preserve">Reste à savoir si la prochaine en aura le courage.</w:t>
      </w:r>
    </w:p>
    <w:p>
      <w:pPr>
        <w:pStyle w:val="BodyText"/>
      </w:pPr>
      <w:r>
        <w:rPr>
          <w:i/>
          <w:iCs/>
        </w:rPr>
        <w:t xml:space="preserve">La fenêtre, comme on l’a vu, n’est pas grande. Mais elle est ouverte. La refermer serait, cette fois, en pleine conscience.</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UBS,</w:t>
      </w:r>
      <w:r>
        <w:t xml:space="preserve"> </w:t>
      </w:r>
      <w:r>
        <w:rPr>
          <w:i/>
          <w:iCs/>
        </w:rPr>
        <w:t xml:space="preserve">Global Investment Returns Yearbook 2025</w:t>
      </w:r>
      <w:r>
        <w:t xml:space="preserve">, février 2025 (https://www.ubs.com/global/en/family-office-uhnw/reports/global-investment-returns-yearbook.html). Rendement réel annualisé actions monde 1900-2024 : 5,2 % ; obligations gouvernementales : 1,7 % ; bons du Trésor : 0,5 %.</w:t>
      </w:r>
    </w:p>
  </w:footnote>
  <w:footnote w:id="10">
    <w:p>
      <w:pPr>
        <w:pStyle w:val="FootnoteText"/>
      </w:pPr>
      <w:r>
        <w:rPr>
          <w:rStyle w:val="FootnoteReference"/>
        </w:rPr>
        <w:footnoteRef/>
      </w:r>
      <w:r>
        <w:t xml:space="preserve"> </w:t>
      </w:r>
      <w:r>
        <w:t xml:space="preserve">ACPR,</w:t>
      </w:r>
      <w:r>
        <w:t xml:space="preserve"> </w:t>
      </w:r>
      <w:r>
        <w:rPr>
          <w:i/>
          <w:iCs/>
        </w:rPr>
        <w:t xml:space="preserve">Revalorisation 2024 des contrats d’assurance-vie</w:t>
      </w:r>
      <w:r>
        <w:t xml:space="preserve">, août 2025. Rendement moyen brut des fonds euros 2024 : 2,63 %. Inflation France 2024 : 2,0 % (INSEE). Prélèvements sociaux 17,2 %. Rendement réel net moyen ≈ 0,15 %.</w:t>
      </w:r>
    </w:p>
  </w:footnote>
  <w:footnote w:id="11">
    <w:p>
      <w:pPr>
        <w:pStyle w:val="FootnoteText"/>
      </w:pPr>
      <w:r>
        <w:rPr>
          <w:rStyle w:val="FootnoteReference"/>
        </w:rPr>
        <w:footnoteRef/>
      </w:r>
      <w:r>
        <w:t xml:space="preserve"> </w:t>
      </w:r>
      <w:r>
        <w:t xml:space="preserve">AP7,</w:t>
      </w:r>
      <w:r>
        <w:t xml:space="preserve"> </w:t>
      </w:r>
      <w:r>
        <w:rPr>
          <w:i/>
          <w:iCs/>
        </w:rPr>
        <w:t xml:space="preserve">Annual Report 2024</w:t>
      </w:r>
      <w:r>
        <w:t xml:space="preserve">, 2025 (https://www.ap7.se) ; NEST Corporation,</w:t>
      </w:r>
      <w:r>
        <w:t xml:space="preserve"> </w:t>
      </w:r>
      <w:r>
        <w:rPr>
          <w:i/>
          <w:iCs/>
        </w:rPr>
        <w:t xml:space="preserve">Annual Report and Accounts 2024-25</w:t>
      </w:r>
      <w:r>
        <w:t xml:space="preserve">, 2025 ; Thrift Savings Plan,</w:t>
      </w:r>
      <w:r>
        <w:t xml:space="preserve"> </w:t>
      </w:r>
      <w:r>
        <w:rPr>
          <w:i/>
          <w:iCs/>
        </w:rPr>
        <w:t xml:space="preserve">Lifecycle Funds</w:t>
      </w:r>
      <w:r>
        <w:t xml:space="preserve">, 2025 (https://www.tsp.gov/funds-lifecycle/). Les trois dispositifs couvrent ensemble près de 26 millions de cotisants.</w:t>
      </w:r>
    </w:p>
  </w:footnote>
  <w:footnote w:id="12">
    <w:p>
      <w:pPr>
        <w:pStyle w:val="FootnoteText"/>
      </w:pPr>
      <w:r>
        <w:rPr>
          <w:rStyle w:val="FootnoteReference"/>
        </w:rPr>
        <w:footnoteRef/>
      </w:r>
      <w:r>
        <w:t xml:space="preserve"> </w:t>
      </w:r>
      <w:r>
        <w:t xml:space="preserve">De Nederlandsche Bank,</w:t>
      </w:r>
      <w:r>
        <w:t xml:space="preserve"> </w:t>
      </w:r>
      <w:r>
        <w:rPr>
          <w:i/>
          <w:iCs/>
        </w:rPr>
        <w:t xml:space="preserve">Toezicht op pensioenfondsen 2024</w:t>
      </w:r>
      <w:r>
        <w:t xml:space="preserve">, 2025 (https://www.dnb.nl). Funding ratio minimum 105 % ; ratio médian 2023-2024 ≈ 125 % ; part sous le seuil légal &lt; 0,5 %.</w:t>
      </w:r>
    </w:p>
  </w:footnote>
  <w:footnote w:id="13">
    <w:p>
      <w:pPr>
        <w:pStyle w:val="FootnoteText"/>
      </w:pPr>
      <w:r>
        <w:rPr>
          <w:rStyle w:val="FootnoteReference"/>
        </w:rPr>
        <w:footnoteRef/>
      </w:r>
      <w:r>
        <w:t xml:space="preserve"> </w:t>
      </w:r>
      <w:r>
        <w:t xml:space="preserve">Pension Protection Fund,</w:t>
      </w:r>
      <w:r>
        <w:t xml:space="preserve"> </w:t>
      </w:r>
      <w:r>
        <w:rPr>
          <w:i/>
          <w:iCs/>
        </w:rPr>
        <w:t xml:space="preserve">Annual Report 2023-24</w:t>
      </w:r>
      <w:r>
        <w:t xml:space="preserve">, 2024 (https://www.ppf.co.uk). 8,8 millions de personnes dans ~5 000 fonds DB régulés. Actifs PPF : 31,2 Md£ au 31 mars 2024.</w:t>
      </w:r>
    </w:p>
  </w:footnote>
  <w:footnote w:id="14">
    <w:p>
      <w:pPr>
        <w:pStyle w:val="FootnoteText"/>
      </w:pPr>
      <w:r>
        <w:rPr>
          <w:rStyle w:val="FootnoteReference"/>
        </w:rPr>
        <w:footnoteRef/>
      </w:r>
      <w:r>
        <w:t xml:space="preserve"> </w:t>
      </w:r>
      <w:r>
        <w:t xml:space="preserve">Norges Bank Investment Management,</w:t>
      </w:r>
      <w:r>
        <w:t xml:space="preserve"> </w:t>
      </w:r>
      <w:r>
        <w:rPr>
          <w:i/>
          <w:iCs/>
        </w:rPr>
        <w:t xml:space="preserve">Government Pension Fund Global — Annual Report 2024</w:t>
      </w:r>
      <w:r>
        <w:t xml:space="preserve">, mars 2025 ; CPP Investments,</w:t>
      </w:r>
      <w:r>
        <w:t xml:space="preserve"> </w:t>
      </w:r>
      <w:r>
        <w:rPr>
          <w:i/>
          <w:iCs/>
        </w:rPr>
        <w:t xml:space="preserve">Annual Report Fiscal 2025</w:t>
      </w:r>
      <w:r>
        <w:t xml:space="preserve">, 2025 ; AustralianSuper,</w:t>
      </w:r>
      <w:r>
        <w:t xml:space="preserve"> </w:t>
      </w:r>
      <w:r>
        <w:rPr>
          <w:i/>
          <w:iCs/>
        </w:rPr>
        <w:t xml:space="preserve">Annual Report 2024-25</w:t>
      </w:r>
      <w:r>
        <w:t xml:space="preserve">, 2025 ; AP7,</w:t>
      </w:r>
      <w:r>
        <w:t xml:space="preserve"> </w:t>
      </w:r>
      <w:r>
        <w:rPr>
          <w:i/>
          <w:iCs/>
        </w:rPr>
        <w:t xml:space="preserve">Annual Report 2024</w:t>
      </w:r>
      <w:r>
        <w:t xml:space="preserve">, 2025. GPFG : 4,1 % réel net depuis 1998 ; CPPIB : 8,3 % nominal net sur 10 ans ; AustralianSuper Balanced : 7,94 % sur 10 ans ; AP7 Equity : ~14 % nominal depuis 2010.</w:t>
      </w:r>
    </w:p>
  </w:footnote>
  <w:footnote w:id="16">
    <w:p>
      <w:pPr>
        <w:pStyle w:val="FootnoteText"/>
      </w:pPr>
      <w:r>
        <w:rPr>
          <w:rStyle w:val="FootnoteReference"/>
        </w:rPr>
        <w:footnoteRef/>
      </w:r>
      <w:r>
        <w:t xml:space="preserve"> </w:t>
      </w:r>
      <w:r>
        <w:t xml:space="preserve">U.S. Senate Committee on Governmental Affairs,</w:t>
      </w:r>
      <w:r>
        <w:t xml:space="preserve"> </w:t>
      </w:r>
      <w:r>
        <w:rPr>
          <w:i/>
          <w:iCs/>
        </w:rPr>
        <w:t xml:space="preserve">Retirement Insecurity: The 401(k) Crisis at Enron Corp.</w:t>
      </w:r>
      <w:r>
        <w:t xml:space="preserve">, février 2002 ; GAO,</w:t>
      </w:r>
      <w:r>
        <w:t xml:space="preserve"> </w:t>
      </w:r>
      <w:r>
        <w:rPr>
          <w:i/>
          <w:iCs/>
        </w:rPr>
        <w:t xml:space="preserve">Enron: 401(k) Pension Plans</w:t>
      </w:r>
      <w:r>
        <w:t xml:space="preserve">, GAO-02-376, 2002. Pertes 401(k) : ~1,2-1,3 Md$ pour ~15 000 salariés concentrés en actions employeur.</w:t>
      </w:r>
    </w:p>
  </w:footnote>
  <w:footnote w:id="17">
    <w:p>
      <w:pPr>
        <w:pStyle w:val="FootnoteText"/>
      </w:pPr>
      <w:r>
        <w:rPr>
          <w:rStyle w:val="FootnoteReference"/>
        </w:rPr>
        <w:footnoteRef/>
      </w:r>
      <w:r>
        <w:t xml:space="preserve"> </w:t>
      </w:r>
      <w:r>
        <w:t xml:space="preserve">U.S. Securities and Exchange Commission,</w:t>
      </w:r>
      <w:r>
        <w:t xml:space="preserve"> </w:t>
      </w:r>
      <w:r>
        <w:rPr>
          <w:i/>
          <w:iCs/>
        </w:rPr>
        <w:t xml:space="preserve">Report of Investigation: SEC’s Madoff Investigation</w:t>
      </w:r>
      <w:r>
        <w:t xml:space="preserve">, OIG-509, août 2009. Les 65 Md$ correspondent aux relevés fictifs ; pertes en cash réellement investies estimées à ~18 Md$ par le trustee Irving Picard.</w:t>
      </w:r>
    </w:p>
  </w:footnote>
  <w:footnote w:id="18">
    <w:p>
      <w:pPr>
        <w:pStyle w:val="FootnoteText"/>
      </w:pPr>
      <w:r>
        <w:rPr>
          <w:rStyle w:val="FootnoteReference"/>
        </w:rPr>
        <w:footnoteRef/>
      </w:r>
      <w:r>
        <w:t xml:space="preserve"> </w:t>
      </w:r>
      <w:r>
        <w:t xml:space="preserve">Pew Charitable Trusts,</w:t>
      </w:r>
      <w:r>
        <w:t xml:space="preserve"> </w:t>
      </w:r>
      <w:r>
        <w:rPr>
          <w:i/>
          <w:iCs/>
        </w:rPr>
        <w:t xml:space="preserve">The Challenge of Meeting Detroit’s Pension Promises</w:t>
      </w:r>
      <w:r>
        <w:t xml:space="preserve">, mars 2018 ; ville de Detroit,</w:t>
      </w:r>
      <w:r>
        <w:t xml:space="preserve"> </w:t>
      </w:r>
      <w:r>
        <w:rPr>
          <w:i/>
          <w:iCs/>
        </w:rPr>
        <w:t xml:space="preserve">Chapter 9 Bankruptcy Filing</w:t>
      </w:r>
      <w:r>
        <w:t xml:space="preserve">, 18 juillet 2013. Dette totale 18 Md$ ; pensions non financées 3,5 Md$ ; 21 000 retraités, 15 000 actifs concernés.</w:t>
      </w:r>
    </w:p>
  </w:footnote>
  <w:footnote w:id="19">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octobre 2025. France : grade B, score global 70,3, adéquation 85,2, viabilité 48,6, intégrité 76,8. Comparaison : Pays-Bas 84,8 ; Suède 78,2 ; Australie 76,4 ; Royaume-Uni 72,2.</w:t>
      </w:r>
    </w:p>
  </w:footnote>
  <w:footnote w:id="21">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 Cour des comptes,</w:t>
      </w:r>
      <w:r>
        <w:t xml:space="preserve"> </w:t>
      </w:r>
      <w:r>
        <w:rPr>
          <w:i/>
          <w:iCs/>
        </w:rPr>
        <w:t xml:space="preserve">Le système de retraite par capitalisation en France</w:t>
      </w:r>
      <w:r>
        <w:t xml:space="preserve">, février 2024. PER : 11,2 millions de titulaires fin T3 2024, 118,9 Md€ d’encours, encours moyen ≈ 10 600 €. Concentration des versements : 70 % sur les déciles 8-10.</w:t>
      </w:r>
    </w:p>
  </w:footnote>
  <w:footnote w:id="22">
    <w:p>
      <w:pPr>
        <w:pStyle w:val="FootnoteText"/>
      </w:pPr>
      <w:r>
        <w:rPr>
          <w:rStyle w:val="FootnoteReference"/>
        </w:rPr>
        <w:footnoteRef/>
      </w:r>
      <w:r>
        <w:t xml:space="preserve"> </w:t>
      </w:r>
      <w:r>
        <w:t xml:space="preserve">Mercer CFA Institute,</w:t>
      </w:r>
      <w:r>
        <w:t xml:space="preserve"> </w:t>
      </w:r>
      <w:r>
        <w:rPr>
          <w:i/>
          <w:iCs/>
        </w:rPr>
        <w:t xml:space="preserve">Global Pension Index 2025 — Gender Pension Gap Analysis</w:t>
      </w:r>
      <w:r>
        <w:t xml:space="preserve">, octobre 2025. Pays-Bas 17 %, Suède 25 %, Australie 25 % (en baisse depuis 30 %), France 28-30 % selon DREES.</w:t>
      </w:r>
    </w:p>
  </w:footnote>
  <w:footnote w:id="23">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fiches France et Pays-Bas, novembre 2025. Ratio P90/P10 des pensions : France ≈ 4,2 ; Pays-Bas ≈ 3,1. Source complémentaire : Eurostat</w:t>
      </w:r>
      <w:r>
        <w:t xml:space="preserve"> </w:t>
      </w:r>
      <w:r>
        <w:rPr>
          <w:i/>
          <w:iCs/>
        </w:rPr>
        <w:t xml:space="preserve">EU-SILC</w:t>
      </w:r>
      <w:r>
        <w:t xml:space="preserve"> </w:t>
      </w:r>
      <w:r>
        <w:t xml:space="preserve">2023.</w:t>
      </w:r>
    </w:p>
  </w:footnote>
  <w:footnote w:id="24">
    <w:p>
      <w:pPr>
        <w:pStyle w:val="FootnoteText"/>
      </w:pPr>
      <w:r>
        <w:rPr>
          <w:rStyle w:val="FootnoteReference"/>
        </w:rPr>
        <w:footnoteRef/>
      </w:r>
      <w:r>
        <w:t xml:space="preserve"> </w:t>
      </w:r>
      <w:r>
        <w:t xml:space="preserve">Odoxa pour Groupama,</w:t>
      </w:r>
      <w:r>
        <w:t xml:space="preserve"> </w:t>
      </w:r>
      <w:r>
        <w:rPr>
          <w:i/>
          <w:iCs/>
        </w:rPr>
        <w:t xml:space="preserve">Les Français et la retraite par capitalisation</w:t>
      </w:r>
      <w:r>
        <w:t xml:space="preserve">, novembre 2025. 57 % favorables au mixte ; 22 % capitalisation seule ; 20 % répartition seule.</w:t>
      </w:r>
    </w:p>
  </w:footnote>
  <w:footnote w:id="26">
    <w:p>
      <w:pPr>
        <w:pStyle w:val="FootnoteText"/>
      </w:pPr>
      <w:r>
        <w:rPr>
          <w:rStyle w:val="FootnoteReference"/>
        </w:rPr>
        <w:footnoteRef/>
      </w:r>
      <w:r>
        <w:t xml:space="preserve"> </w:t>
      </w:r>
      <w:r>
        <w:t xml:space="preserve">ATO,</w:t>
      </w:r>
      <w:r>
        <w:t xml:space="preserve"> </w:t>
      </w:r>
      <w:r>
        <w:rPr>
          <w:i/>
          <w:iCs/>
        </w:rPr>
        <w:t xml:space="preserve">Compliance Statistics 2024-25</w:t>
      </w:r>
      <w:r>
        <w:t xml:space="preserve">, 2025 ; Paul Keating,</w:t>
      </w:r>
      <w:r>
        <w:t xml:space="preserve"> </w:t>
      </w:r>
      <w:r>
        <w:rPr>
          <w:i/>
          <w:iCs/>
        </w:rPr>
        <w:t xml:space="preserve">The Story of Modern Superannuation</w:t>
      </w:r>
      <w:r>
        <w:t xml:space="preserve">, 31 octobre 2007. Accord Prices and Incomes Mark II signé en septembre 1985 (Hawke / Kelty-ACTU). Superannuation Guarantee : 3 % en 1992, 9 % en 2002, 12 % depuis juillet 2025. Coût budgétaire direct pour le Commonwealth ≈ 0,1 % du PIB (tax relief marginal sur les</w:t>
      </w:r>
      <w:r>
        <w:t xml:space="preserve"> </w:t>
      </w:r>
      <w:r>
        <w:rPr>
          <w:i/>
          <w:iCs/>
        </w:rPr>
        <w:t xml:space="preserve">concessional contributions</w:t>
      </w:r>
      <w:r>
        <w:t xml:space="preserve">).</w:t>
      </w:r>
    </w:p>
  </w:footnote>
  <w:footnote w:id="27">
    <w:p>
      <w:pPr>
        <w:pStyle w:val="FootnoteText"/>
      </w:pPr>
      <w:r>
        <w:rPr>
          <w:rStyle w:val="FootnoteReference"/>
        </w:rPr>
        <w:footnoteRef/>
      </w:r>
      <w:r>
        <w:t xml:space="preserve"> </w:t>
      </w:r>
      <w:r>
        <w:t xml:space="preserve">Pensionsmyndigheten,</w:t>
      </w:r>
      <w:r>
        <w:t xml:space="preserve"> </w:t>
      </w:r>
      <w:r>
        <w:rPr>
          <w:i/>
          <w:iCs/>
        </w:rPr>
        <w:t xml:space="preserve">Orange Report 2024</w:t>
      </w:r>
      <w:r>
        <w:t xml:space="preserve">, 2025 ; Bo Könberg, Edward Palmer, Annika Sundén, « The 1994 Swedish Pension Reform »,</w:t>
      </w:r>
      <w:r>
        <w:t xml:space="preserve"> </w:t>
      </w:r>
      <w:r>
        <w:rPr>
          <w:i/>
          <w:iCs/>
        </w:rPr>
        <w:t xml:space="preserve">International Social Security Review</w:t>
      </w:r>
      <w:r>
        <w:t xml:space="preserve">, vol. 59, 2006. Sur les 18,5 % de cotisation totale, 16 % vers l’inkomstpension NDC, 2,5 % vers la PPM capitalisée. Total inchangé depuis 1999.</w:t>
      </w:r>
    </w:p>
  </w:footnote>
  <w:footnote w:id="28">
    <w:p>
      <w:pPr>
        <w:pStyle w:val="FootnoteText"/>
      </w:pPr>
      <w:r>
        <w:rPr>
          <w:rStyle w:val="FootnoteReference"/>
        </w:rPr>
        <w:footnoteRef/>
      </w:r>
      <w:r>
        <w:t xml:space="preserve"> </w:t>
      </w:r>
      <w:r>
        <w:t xml:space="preserve">Sebastián Edwards,</w:t>
      </w:r>
      <w:r>
        <w:t xml:space="preserve"> </w:t>
      </w:r>
      <w:r>
        <w:rPr>
          <w:i/>
          <w:iCs/>
        </w:rPr>
        <w:t xml:space="preserve">The Chile Project: The Story of the Chicago Boys and the Downfall of Neoliberalism</w:t>
      </w:r>
      <w:r>
        <w:t xml:space="preserve">, Princeton University Press, 2023, chapitres 7-9. Coût cumulé des</w:t>
      </w:r>
      <w:r>
        <w:t xml:space="preserve"> </w:t>
      </w:r>
      <w:r>
        <w:rPr>
          <w:i/>
          <w:iCs/>
        </w:rPr>
        <w:t xml:space="preserve">bonos de reconocimiento</w:t>
      </w:r>
      <w:r>
        <w:t xml:space="preserve"> </w:t>
      </w:r>
      <w:r>
        <w:t xml:space="preserve">1981-2014 : ~30 % du PIB chilien sur la période, soit ~7 % de PIB par décennie.</w:t>
      </w:r>
    </w:p>
  </w:footnote>
  <w:footnote w:id="29">
    <w:p>
      <w:pPr>
        <w:pStyle w:val="FootnoteText"/>
      </w:pPr>
      <w:r>
        <w:rPr>
          <w:rStyle w:val="FootnoteReference"/>
        </w:rPr>
        <w:footnoteRef/>
      </w:r>
      <w:r>
        <w:t xml:space="preserve"> </w:t>
      </w:r>
      <w:r>
        <w:t xml:space="preserve">Fonds de Réserve pour les Retraites,</w:t>
      </w:r>
      <w:r>
        <w:t xml:space="preserve"> </w:t>
      </w:r>
      <w:r>
        <w:rPr>
          <w:i/>
          <w:iCs/>
        </w:rPr>
        <w:t xml:space="preserve">Rapport annuel 2024</w:t>
      </w:r>
      <w:r>
        <w:t xml:space="preserve">, 2025. Encours fin 2024 : 20,4 Md€. Rendement réel net 2024 : +6,46 %.</w:t>
      </w:r>
    </w:p>
  </w:footnote>
  <w:footnote w:id="30">
    <w:p>
      <w:pPr>
        <w:pStyle w:val="FootnoteText"/>
      </w:pPr>
      <w:r>
        <w:rPr>
          <w:rStyle w:val="FootnoteReference"/>
        </w:rPr>
        <w:footnoteRef/>
      </w:r>
      <w:r>
        <w:t xml:space="preserve"> </w:t>
      </w:r>
      <w:r>
        <w:t xml:space="preserve">Calcul à partir de la masse salariale brute du secteur privé France 2027 estimée à 1 100 Md€ (INSEE,</w:t>
      </w:r>
      <w:r>
        <w:t xml:space="preserve"> </w:t>
      </w:r>
      <w:r>
        <w:rPr>
          <w:i/>
          <w:iCs/>
        </w:rPr>
        <w:t xml:space="preserve">Comptes nationaux 2025</w:t>
      </w:r>
      <w:r>
        <w:t xml:space="preserve">). Une cotisation patronale nouvelle de 2 % rapporte ~22 Md€/an à pleine charge.</w:t>
      </w:r>
    </w:p>
  </w:footnote>
  <w:footnote w:id="31">
    <w:p>
      <w:pPr>
        <w:pStyle w:val="FootnoteText"/>
      </w:pPr>
      <w:r>
        <w:rPr>
          <w:rStyle w:val="FootnoteReference"/>
        </w:rPr>
        <w:footnoteRef/>
      </w:r>
      <w:r>
        <w:t xml:space="preserve"> </w:t>
      </w:r>
      <w:r>
        <w:t xml:space="preserve">COR,</w:t>
      </w:r>
      <w:r>
        <w:t xml:space="preserve"> </w:t>
      </w:r>
      <w:r>
        <w:rPr>
          <w:i/>
          <w:iCs/>
        </w:rPr>
        <w:t xml:space="preserve">Rapport annuel 2025</w:t>
      </w:r>
      <w:r>
        <w:t xml:space="preserve">, juin 2025. Scénario central : -45 Md€ en 2070, soit -1,4 % du PIB.</w:t>
      </w:r>
    </w:p>
  </w:footnote>
  <w:footnote w:id="32">
    <w:p>
      <w:pPr>
        <w:pStyle w:val="FootnoteText"/>
      </w:pPr>
      <w:r>
        <w:rPr>
          <w:rStyle w:val="FootnoteReference"/>
        </w:rPr>
        <w:footnoteRef/>
      </w:r>
      <w:r>
        <w:t xml:space="preserve"> </w:t>
      </w:r>
      <w:r>
        <w:t xml:space="preserve">Commission européenne,</w:t>
      </w:r>
      <w:r>
        <w:t xml:space="preserve"> </w:t>
      </w:r>
      <w:r>
        <w:rPr>
          <w:i/>
          <w:iCs/>
        </w:rPr>
        <w:t xml:space="preserve">2024 Ageing Report</w:t>
      </w:r>
      <w:r>
        <w:t xml:space="preserve">, mai 2024. Passif implicite des retraites France ≈ 417 % du PIB en 2021 sous taux d’actualisation 1 %.</w:t>
      </w:r>
    </w:p>
  </w:footnote>
  <w:footnote w:id="34">
    <w:p>
      <w:pPr>
        <w:pStyle w:val="FootnoteText"/>
      </w:pPr>
      <w:r>
        <w:rPr>
          <w:rStyle w:val="FootnoteReference"/>
        </w:rPr>
        <w:footnoteRef/>
      </w:r>
      <w:r>
        <w:t xml:space="preserve"> </w:t>
      </w:r>
      <w:r>
        <w:t xml:space="preserve">France Assureurs,</w:t>
      </w:r>
      <w:r>
        <w:t xml:space="preserve"> </w:t>
      </w:r>
      <w:r>
        <w:rPr>
          <w:i/>
          <w:iCs/>
        </w:rPr>
        <w:t xml:space="preserve">Plan d’Épargne Retraite : Bilan 2024</w:t>
      </w:r>
      <w:r>
        <w:t xml:space="preserve">, mars 2025 ; Banque de France,</w:t>
      </w:r>
      <w:r>
        <w:t xml:space="preserve"> </w:t>
      </w:r>
      <w:r>
        <w:rPr>
          <w:i/>
          <w:iCs/>
        </w:rPr>
        <w:t xml:space="preserve">L’épargne financière des ménages 2024</w:t>
      </w:r>
      <w:r>
        <w:t xml:space="preserve">. PER : 11,2 millions de titulaires fin T3 2024 (loi PACTE n° 2019-486 du 22 mai 2019). Encours 118,9 Md€, encours moyen ≈ 10 600 €.</w:t>
      </w:r>
    </w:p>
  </w:footnote>
  <w:footnote w:id="36">
    <w:p>
      <w:pPr>
        <w:pStyle w:val="FootnoteText"/>
      </w:pPr>
      <w:r>
        <w:rPr>
          <w:rStyle w:val="FootnoteReference"/>
        </w:rPr>
        <w:footnoteRef/>
      </w:r>
      <w:r>
        <w:t xml:space="preserve"> </w:t>
      </w:r>
      <w:r>
        <w:t xml:space="preserve">Banque de France,</w:t>
      </w:r>
      <w:r>
        <w:t xml:space="preserve"> </w:t>
      </w:r>
      <w:r>
        <w:rPr>
          <w:i/>
          <w:iCs/>
        </w:rPr>
        <w:t xml:space="preserve">L’épargne financière des ménages 2024</w:t>
      </w:r>
      <w:r>
        <w:t xml:space="preserve">, 2025 ; AMF,</w:t>
      </w:r>
      <w:r>
        <w:t xml:space="preserve"> </w:t>
      </w:r>
      <w:r>
        <w:rPr>
          <w:i/>
          <w:iCs/>
        </w:rPr>
        <w:t xml:space="preserve">Baromètre 2024 de l’épargne et de l’investissement</w:t>
      </w:r>
      <w:r>
        <w:t xml:space="preserve">, octobre 2024. PEA : ~7 millions de titulaires fin 2024 (1,8 M en 1995). Détention d’actions cotées en direct : 12,5 % en 2024 (vs 6,9 % en 2020).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dc:language>fr-FR</dc:language>
  <cp:keywords/>
  <dcterms:created xsi:type="dcterms:W3CDTF">2026-05-17T09:11:59Z</dcterms:created>
  <dcterms:modified xsi:type="dcterms:W3CDTF">2026-05-17T09:11:59Z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