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0570A8C5"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(Dmax)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data from </w:t>
      </w:r>
      <w:r w:rsidR="00D16E6A">
        <w:rPr>
          <w:lang w:val="en-US"/>
        </w:rPr>
        <w:t xml:space="preserve">compact proteins of </w:t>
      </w:r>
      <w:r w:rsidR="007A7B7C">
        <w:rPr>
          <w:lang w:val="en-US"/>
        </w:rPr>
        <w:t>various</w:t>
      </w:r>
      <w:r w:rsidR="00D16E6A">
        <w:rPr>
          <w:lang w:val="en-US"/>
        </w:rPr>
        <w:t xml:space="preserve">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D16E6A">
        <w:rPr>
          <w:lang w:val="en-US"/>
        </w:rPr>
        <w:t xml:space="preserve">nucleic acids (DNA/RNA) and intrinsically disordered proteins. </w:t>
      </w:r>
      <w:r w:rsidR="00DA3AC0">
        <w:rPr>
          <w:lang w:val="en-US"/>
        </w:rPr>
        <w:t xml:space="preserve">The area of application of the </w:t>
      </w:r>
      <w:r w:rsidR="00AD38F7">
        <w:rPr>
          <w:lang w:val="en-US"/>
        </w:rPr>
        <w:t>neural network models</w:t>
      </w:r>
      <w:r w:rsidR="00DA3AC0">
        <w:rPr>
          <w:lang w:val="en-US"/>
        </w:rPr>
        <w:t xml:space="preserve"> is not limited by the described objects and can be easily enhanced by </w:t>
      </w:r>
      <w:r w:rsidR="00AD38F7">
        <w:rPr>
          <w:lang w:val="en-US"/>
        </w:rPr>
        <w:t xml:space="preserve">further </w:t>
      </w:r>
      <w:r w:rsidR="00DA3AC0">
        <w:rPr>
          <w:lang w:val="en-US"/>
        </w:rPr>
        <w:t xml:space="preserve">extension or augmentation of the training set. </w:t>
      </w:r>
      <w:r w:rsidR="005771CF">
        <w:rPr>
          <w:lang w:val="en-US"/>
        </w:rPr>
        <w:t xml:space="preserve">The method was rigorously tested against synthetic SAXS data and </w:t>
      </w:r>
      <w:r w:rsidR="00D16E6A">
        <w:rPr>
          <w:lang w:val="en-US"/>
        </w:rPr>
        <w:t xml:space="preserve">demonstrated higher accuracy and robustness </w:t>
      </w:r>
      <w:r w:rsidR="007A7B7C">
        <w:rPr>
          <w:lang w:val="en-US"/>
        </w:rPr>
        <w:t>against</w:t>
      </w:r>
      <w:r w:rsidR="00D16E6A">
        <w:rPr>
          <w:lang w:val="en-US"/>
        </w:rPr>
        <w:t xml:space="preserve"> 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7"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E074F5A"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basic parameters derived from</w:t>
      </w:r>
      <w:r w:rsidR="003B21EA">
        <w:t xml:space="preserve"> SAS</w:t>
      </w:r>
      <w:r>
        <w:rPr>
          <w:lang w:val="en-US"/>
        </w:rPr>
        <w:t xml:space="preserve"> </w:t>
      </w:r>
      <w:r w:rsidR="000A7EB3">
        <w:rPr>
          <w:lang w:val="en-US"/>
        </w:rPr>
        <w:t>experiment</w:t>
      </w:r>
      <w:r w:rsidR="007A7B7C">
        <w:rPr>
          <w:lang w:val="en-US"/>
        </w:rPr>
        <w:t>. H</w:t>
      </w:r>
      <w:r w:rsidR="004D383F">
        <w:rPr>
          <w:lang w:val="en-US"/>
        </w:rPr>
        <w:t>owever</w:t>
      </w:r>
      <w:r w:rsidR="00DF3B87">
        <w:rPr>
          <w:lang w:val="en-US"/>
        </w:rPr>
        <w:t>,</w:t>
      </w:r>
      <w:r w:rsidR="004D383F">
        <w:rPr>
          <w:lang w:val="en-US"/>
        </w:rPr>
        <w:t xml:space="preserve">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related to </w:t>
      </w:r>
      <w:r w:rsidR="003B21EA">
        <w:t xml:space="preserve">the </w:t>
      </w:r>
      <w:r w:rsidR="00EF7950">
        <w:rPr>
          <w:lang w:val="en-US"/>
        </w:rPr>
        <w:t xml:space="preserve">lower </w:t>
      </w:r>
      <w:r w:rsidR="003B21EA">
        <w:t xml:space="preserve">quality of experimental data. </w:t>
      </w:r>
    </w:p>
    <w:p w14:paraId="65866557" w14:textId="72A00B30"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7A7B7C">
        <w:rPr>
          <w:lang w:val="en-US"/>
        </w:rPr>
        <w:t>The application of deep NNs becomes cle</w:t>
      </w:r>
      <w:r w:rsidR="00DF3B87">
        <w:rPr>
          <w:lang w:val="en-US"/>
        </w:rPr>
        <w:t>a</w:t>
      </w:r>
      <w:r w:rsidR="007A7B7C">
        <w:rPr>
          <w:lang w:val="en-US"/>
        </w:rPr>
        <w:t>rly beneficial when the amount of data used for training is so big, that the networks may be able to recogni</w:t>
      </w:r>
      <w:r w:rsidR="00DF3B87">
        <w:rPr>
          <w:lang w:val="en-US"/>
        </w:rPr>
        <w:t>z</w:t>
      </w:r>
      <w:r w:rsidR="007A7B7C">
        <w:rPr>
          <w:lang w:val="en-US"/>
        </w:rPr>
        <w:t xml:space="preserve">e the hidden from the human eye patterns in the data. </w:t>
      </w:r>
      <w:r w:rsidR="00CA0FC4">
        <w:rPr>
          <w:lang w:val="en-US"/>
        </w:rPr>
        <w:t xml:space="preserve">The major </w:t>
      </w:r>
      <w:r w:rsidR="00CA0FC4">
        <w:rPr>
          <w:lang w:val="en-US"/>
        </w:rPr>
        <w:lastRenderedPageBreak/>
        <w:t xml:space="preserve">advantage of using supervised machine learning over the conventional methods is the possibility to </w:t>
      </w:r>
      <w:r w:rsidR="00EF7950">
        <w:rPr>
          <w:lang w:val="en-US"/>
        </w:rPr>
        <w:t xml:space="preserve">augment the training set data, thus </w:t>
      </w:r>
      <w:r w:rsidR="007A7B7C">
        <w:rPr>
          <w:lang w:val="en-US"/>
        </w:rPr>
        <w:t>easily adjust</w:t>
      </w:r>
      <w:r w:rsidR="00EF7950">
        <w:rPr>
          <w:lang w:val="en-US"/>
        </w:rPr>
        <w:t>ing</w:t>
      </w:r>
      <w:r w:rsidR="007A7B7C">
        <w:rPr>
          <w:lang w:val="en-US"/>
        </w:rPr>
        <w:t xml:space="preserve"> the area of applicability of a </w:t>
      </w:r>
      <w:r w:rsidR="00EF7950">
        <w:rPr>
          <w:lang w:val="en-US"/>
        </w:rPr>
        <w:t xml:space="preserve">given </w:t>
      </w:r>
      <w:r w:rsidR="007A7B7C">
        <w:rPr>
          <w:lang w:val="en-US"/>
        </w:rPr>
        <w:t xml:space="preserve">model. </w:t>
      </w:r>
    </w:p>
    <w:p w14:paraId="191D6EB2" w14:textId="7B059419"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robust </w:t>
      </w:r>
      <w:r w:rsidR="00EF7950">
        <w:rPr>
          <w:lang w:val="en-US"/>
        </w:rPr>
        <w:t>against experimental noise</w:t>
      </w:r>
      <w:r w:rsidR="00EF7950">
        <w:rPr>
          <w:lang w:val="en-US"/>
        </w:rPr>
        <w:t xml:space="preserve"> </w:t>
      </w:r>
      <w:r>
        <w:rPr>
          <w:lang w:val="en-US"/>
        </w:rPr>
        <w:t>NN model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find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38BFC27B"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the trained networks generally applicable. </w:t>
      </w:r>
    </w:p>
    <w:p w14:paraId="0D40A5E9" w14:textId="13AC798E" w:rsidR="00EF7950" w:rsidRDefault="00EF7950" w:rsidP="00C36BB5">
      <w:pPr>
        <w:pStyle w:val="NormalWeb"/>
        <w:rPr>
          <w:lang w:val="en-US"/>
        </w:rPr>
      </w:pPr>
      <w:r>
        <w:rPr>
          <w:lang w:val="en-US"/>
        </w:rPr>
        <w:t xml:space="preserve"> </w:t>
      </w:r>
      <w:r w:rsidR="00CF54EA">
        <w:rPr>
          <w:lang w:val="en-US"/>
        </w:rPr>
        <w:t>The presented method appears to be the only</w:t>
      </w:r>
      <w:r w:rsidR="007A7B7C">
        <w:rPr>
          <w:lang w:val="en-US"/>
        </w:rPr>
        <w:t xml:space="preserve"> one </w:t>
      </w:r>
      <w:r w:rsidR="00CF54EA">
        <w:rPr>
          <w:lang w:val="en-US"/>
        </w:rPr>
        <w:t>for concentration-independent estimation of MW for intrinsically disordered proteins</w:t>
      </w:r>
      <w:r w:rsidR="007A7B7C">
        <w:rPr>
          <w:lang w:val="en-US"/>
        </w:rPr>
        <w:t xml:space="preserve"> (IDP)</w:t>
      </w:r>
      <w:r w:rsidR="00CF54EA">
        <w:rPr>
          <w:lang w:val="en-US"/>
        </w:rPr>
        <w:t xml:space="preserve">, as well as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calculation,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7970674B" w:rsidR="007A7B7C" w:rsidRPr="007A7B7C" w:rsidRDefault="00CF54EA" w:rsidP="00C36BB5">
      <w:pPr>
        <w:pStyle w:val="NormalWeb"/>
        <w:rPr>
          <w:lang w:val="en-US"/>
        </w:rPr>
      </w:pPr>
      <w:r>
        <w:rPr>
          <w:lang w:val="en-US"/>
        </w:rPr>
        <w:t xml:space="preserve"> </w:t>
      </w:r>
      <w:r w:rsidR="007A7B7C">
        <w:rPr>
          <w:lang w:val="en-US"/>
        </w:rPr>
        <w:t xml:space="preserve">We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truncated </w:t>
      </w:r>
      <w:r w:rsidR="00DF3B87">
        <w:rPr>
          <w:lang w:val="en-US"/>
        </w:rPr>
        <w:t xml:space="preserve">over s </w:t>
      </w:r>
      <w:r w:rsidR="007A7B7C">
        <w:rPr>
          <w:lang w:val="en-US"/>
        </w:rPr>
        <w:t>data set</w:t>
      </w:r>
      <w:r w:rsidR="00EF7950">
        <w:rPr>
          <w:lang w:val="en-US"/>
        </w:rPr>
        <w:t>s</w:t>
      </w:r>
      <w:r w:rsidR="007A7B7C">
        <w:rPr>
          <w:lang w:val="en-US"/>
        </w:rPr>
        <w:t xml:space="preserve">. Finally, </w:t>
      </w:r>
      <w:r w:rsidR="00C36BB5">
        <w:rPr>
          <w:lang w:val="en-US"/>
        </w:rPr>
        <w:t xml:space="preserve">we demonstrate the </w:t>
      </w:r>
      <w:r w:rsidR="00D07035">
        <w:rPr>
          <w:lang w:val="en-US"/>
        </w:rPr>
        <w:t xml:space="preserve">higher accuracy and better </w:t>
      </w:r>
      <w:r w:rsidR="00C36BB5">
        <w:rPr>
          <w:lang w:val="en-US"/>
        </w:rPr>
        <w:t xml:space="preserve">robustness of our method </w:t>
      </w:r>
      <w:r w:rsidR="00D07035">
        <w:rPr>
          <w:lang w:val="en-US"/>
        </w:rPr>
        <w:t>against simulated experimental noise 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s to demonstrate the capabilit</w:t>
      </w:r>
      <w:r w:rsidR="001E120E">
        <w:rPr>
          <w:lang w:val="en-US"/>
        </w:rPr>
        <w:t>ies</w:t>
      </w:r>
      <w:r w:rsidR="00EF7950">
        <w:rPr>
          <w:lang w:val="en-US"/>
        </w:rPr>
        <w:t xml:space="preserve"> of NNs in the field of SAXS, whereas further </w:t>
      </w:r>
      <w:r w:rsidR="001E120E">
        <w:rPr>
          <w:lang w:val="en-US"/>
        </w:rPr>
        <w:t xml:space="preserve">improvement in accuracy, as well as applicability </w:t>
      </w:r>
      <w:r w:rsidR="00EF7950">
        <w:rPr>
          <w:lang w:val="en-US"/>
        </w:rPr>
        <w:t>extension</w:t>
      </w:r>
      <w:r w:rsidR="00DF3B87">
        <w:rPr>
          <w:lang w:val="en-US"/>
        </w:rPr>
        <w:t>,</w:t>
      </w:r>
      <w:r w:rsidR="00EF7950">
        <w:rPr>
          <w:lang w:val="en-US"/>
        </w:rPr>
        <w:t xml:space="preserve"> is possible and limited only by the cho</w:t>
      </w:r>
      <w:r w:rsidR="00DF3B87">
        <w:rPr>
          <w:lang w:val="en-US"/>
        </w:rPr>
        <w:t>ic</w:t>
      </w:r>
      <w:r w:rsidR="00EF7950">
        <w:rPr>
          <w:lang w:val="en-US"/>
        </w:rPr>
        <w:t>e of the training set.</w:t>
      </w:r>
    </w:p>
    <w:p w14:paraId="6B76ABE1" w14:textId="14407BD9" w:rsidR="00C36BB5" w:rsidRPr="00880815" w:rsidRDefault="00C36BB5" w:rsidP="00C36BB5">
      <w:pPr>
        <w:pStyle w:val="NormalWeb"/>
        <w:rPr>
          <w:lang w:val="en-US"/>
        </w:rPr>
      </w:pPr>
      <w:r>
        <w:t>The method was implemented as a publicly available web service with a graphical interface (</w:t>
      </w:r>
      <w:hyperlink r:id="rId8" w:tgtFrame="_blank" w:history="1">
        <w:r>
          <w:rPr>
            <w:rStyle w:val="Hyperlink"/>
          </w:rPr>
          <w:t>https://dara.embl-hamburg.de/gnnom.php</w:t>
        </w:r>
      </w:hyperlink>
      <w:r>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C52F2B3"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oligomeric state. However, the currently available methods are not very accurate, a usual rule of thumb is 10% or more. </w:t>
      </w:r>
      <w:r>
        <w:rPr>
          <w:lang w:val="en-US"/>
        </w:rPr>
        <w:t xml:space="preserve">To date, there are several well-established techniques for MW estimation, that nominally could be subdivided into concentration-dependent and concentration-independent methods. Former methods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r w:rsidRPr="0087362A">
        <w:rPr>
          <w:b/>
          <w:bCs/>
          <w:lang w:val="en-US"/>
        </w:rPr>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called the Porod method. It is based on the fundamental properties of the Fourier transform known as the Parseval theorem:</w:t>
      </w:r>
    </w:p>
    <w:p w14:paraId="1C909B0D" w14:textId="650F3CDB" w:rsidR="004D383F" w:rsidRDefault="0054449B"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4D383F">
        <w:rPr>
          <w:lang w:val="en-US"/>
        </w:rPr>
        <w:tab/>
      </w:r>
      <w:r w:rsidR="004D383F">
        <w:rPr>
          <w:lang w:val="en-US"/>
        </w:rPr>
        <w:tab/>
      </w:r>
      <w:r w:rsidR="004D383F">
        <w:rPr>
          <w:lang w:val="en-US"/>
        </w:rPr>
        <w:tab/>
      </w:r>
      <w:r w:rsidR="004D383F">
        <w:rPr>
          <w:lang w:val="en-US"/>
        </w:rPr>
        <w:tab/>
        <w:t>(1)</w:t>
      </w:r>
    </w:p>
    <w:p w14:paraId="149E9A2B" w14:textId="025C5EB9" w:rsidR="004D383F" w:rsidRDefault="004D383F" w:rsidP="004D383F">
      <w:pPr>
        <w:pStyle w:val="NormalWeb"/>
        <w:rPr>
          <w:lang w:val="en-US"/>
        </w:rPr>
      </w:pPr>
      <w:r>
        <w:rPr>
          <w:lang w:val="en-US"/>
        </w:rPr>
        <w:t xml:space="preserve">, where s is the scattering vector, I(s) – </w:t>
      </w:r>
      <w:r w:rsidR="00B606D3">
        <w:rPr>
          <w:lang w:val="en-US"/>
        </w:rPr>
        <w:t xml:space="preserve">the </w:t>
      </w:r>
      <w:r>
        <w:rPr>
          <w:lang w:val="en-US"/>
        </w:rPr>
        <w:t>intensity of the scattering beam, Δρ – excessive electron density</w:t>
      </w:r>
      <w:r w:rsidR="00B606D3">
        <w:rPr>
          <w:lang w:val="en-US"/>
        </w:rPr>
        <w:t>,</w:t>
      </w:r>
      <w:r>
        <w:rPr>
          <w:lang w:val="en-US"/>
        </w:rPr>
        <w:t xml:space="preserve"> and Q is the Porod invariant. In </w:t>
      </w:r>
      <w:r w:rsidR="00B606D3">
        <w:rPr>
          <w:lang w:val="en-US"/>
        </w:rPr>
        <w:t xml:space="preserve">the </w:t>
      </w:r>
      <w:r>
        <w:rPr>
          <w:lang w:val="en-US"/>
        </w:rPr>
        <w:t xml:space="preserve">case of homogeneous electron density approximation,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and given that intensity in the origin 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5DF28F84" w:rsidR="00EC6A48" w:rsidRDefault="00EC6A48" w:rsidP="00EC6A48">
      <w:pPr>
        <w:pStyle w:val="NormalWeb"/>
        <w:rPr>
          <w:lang w:val="en-US"/>
        </w:rPr>
      </w:pPr>
      <w:r>
        <w:rPr>
          <w:lang w:val="en-US"/>
        </w:rPr>
        <w:t xml:space="preserve">The MW is 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(i) integration in (1) can not be performed due to limitations in experimental s-range</w:t>
      </w:r>
      <w:r w:rsidR="0087362A">
        <w:rPr>
          <w:lang w:val="en-US"/>
        </w:rPr>
        <w:t xml:space="preserve">, 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used to extrapolate the intensities on higher angles</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B34046">
        <w:rPr>
          <w:lang w:val="en-US"/>
        </w:rPr>
        <w:t xml:space="preserve"> This method requires accurate knowledge of electron density, works only on proteins</w:t>
      </w:r>
      <w:r w:rsidR="00B606D3">
        <w:rPr>
          <w:lang w:val="en-US"/>
        </w:rPr>
        <w:t>,</w:t>
      </w:r>
      <w:r w:rsidR="00B34046">
        <w:rPr>
          <w:lang w:val="en-US"/>
        </w:rPr>
        <w:t xml:space="preserve"> and very sensitive to subtraction errors.</w:t>
      </w:r>
    </w:p>
    <w:p w14:paraId="468178B6" w14:textId="0EC7AC1E"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e further improvement 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54449B"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6D6CEE41" w:rsidR="004168CD" w:rsidRPr="004168CD" w:rsidRDefault="004168CD" w:rsidP="004168CD">
      <w:pPr>
        <w:pStyle w:val="NormalWeb"/>
        <w:rPr>
          <w:lang w:val="en-US"/>
        </w:rPr>
      </w:pPr>
      <w:r>
        <w:rPr>
          <w:lang w:val="en-US"/>
        </w:rPr>
        <w:t>With linear and angular coeff</w:t>
      </w:r>
      <w:r w:rsidR="00B606D3">
        <w:rPr>
          <w:lang w:val="en-US"/>
        </w:rPr>
        <w:t>i</w:t>
      </w:r>
      <w:r>
        <w:rPr>
          <w:lang w:val="en-US"/>
        </w:rPr>
        <w:t xml:space="preserve">cients A and B </w:t>
      </w:r>
      <w:r w:rsidR="00B606D3">
        <w:rPr>
          <w:lang w:val="en-US"/>
        </w:rPr>
        <w:t xml:space="preserve">are </w:t>
      </w:r>
      <w:r>
        <w:rPr>
          <w:lang w:val="en-US"/>
        </w:rPr>
        <w:t>determined empirically for different s</w:t>
      </w:r>
      <w:r w:rsidRPr="004168CD">
        <w:rPr>
          <w:vertAlign w:val="subscript"/>
          <w:lang w:val="en-US"/>
        </w:rPr>
        <w:t>max</w:t>
      </w:r>
      <w:r>
        <w:rPr>
          <w:lang w:val="en-US"/>
        </w:rPr>
        <w:t xml:space="preserve"> values.</w:t>
      </w:r>
      <w:r w:rsidR="00B34046">
        <w:rPr>
          <w:lang w:val="en-US"/>
        </w:rPr>
        <w:t xml:space="preserve"> </w:t>
      </w:r>
      <w:r w:rsidR="00A34AD2">
        <w:rPr>
          <w:lang w:val="en-US"/>
        </w:rPr>
        <w:t xml:space="preserve">The drawbacks </w:t>
      </w:r>
      <w:r w:rsidR="00B606D3">
        <w:rPr>
          <w:lang w:val="en-US"/>
        </w:rPr>
        <w:t>of</w:t>
      </w:r>
      <w:r w:rsidR="00A34AD2">
        <w:rPr>
          <w:lang w:val="en-US"/>
        </w:rPr>
        <w:t xml:space="preserve"> this method are essentially the same as for 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54449B"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69E22AA5"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However</w:t>
      </w:r>
      <w:r w:rsidR="00B606D3">
        <w:rPr>
          <w:lang w:val="en-US"/>
        </w:rPr>
        <w:t>,</w:t>
      </w:r>
      <w:r w:rsidR="00B34046">
        <w:rPr>
          <w:lang w:val="en-US"/>
        </w:rPr>
        <w:t xml:space="preserve"> this method is reported to be less accurate </w:t>
      </w:r>
      <w:r w:rsidR="00A34AD2">
        <w:rPr>
          <w:lang w:val="en-US"/>
        </w:rPr>
        <w:t>compared to</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047AD91B"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B606D3">
        <w:rPr>
          <w:lang w:val="en-US"/>
        </w:rPr>
        <w:t>-</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w:t>
      </w:r>
      <w:r w:rsidR="0054449B">
        <w:rPr>
          <w:lang w:val="en-US"/>
        </w:rPr>
        <w:t>k-Nearest-Neighbor</w:t>
      </w:r>
      <w:r w:rsidR="00161CE9">
        <w:rPr>
          <w:lang w:val="en-US"/>
        </w:rPr>
        <w:t xml:space="preserve"> </w:t>
      </w:r>
      <w:r w:rsidR="0054449B">
        <w:rPr>
          <w:lang w:val="en-US"/>
        </w:rPr>
        <w:t>classifier</w:t>
      </w:r>
      <w:bookmarkStart w:id="0" w:name="_GoBack"/>
      <w:bookmarkEnd w:id="0"/>
      <w:r w:rsidR="00161CE9">
        <w:rPr>
          <w:lang w:val="en-US"/>
        </w:rPr>
        <w:t xml:space="preserve">. In this method, the </w:t>
      </w:r>
      <w:r w:rsidR="00161CE9">
        <w:rPr>
          <w:lang w:val="en-US"/>
        </w:rPr>
        <w:lastRenderedPageBreak/>
        <w:t>Fisher’s truncated integral Q’ (eq.4) is calculated up to sR</w:t>
      </w:r>
      <w:r w:rsidR="00161CE9" w:rsidRPr="00161CE9">
        <w:rPr>
          <w:vertAlign w:val="subscript"/>
          <w:lang w:val="en-US"/>
        </w:rPr>
        <w:t>g</w:t>
      </w:r>
      <w:r w:rsidR="00161CE9">
        <w:rPr>
          <w:lang w:val="en-US"/>
        </w:rPr>
        <w:t xml:space="preserve"> = 3,4,5 for a huge set of simulated SAXS patterns from geometrical bodies, as well as from the PDB models. The resulting three numbers can be treated as coordinates in some 3D reference frame resulting </w:t>
      </w:r>
      <w:r w:rsidR="00B606D3">
        <w:rPr>
          <w:lang w:val="en-US"/>
        </w:rPr>
        <w:t>in</w:t>
      </w:r>
      <w:r w:rsidR="00161CE9">
        <w:rPr>
          <w:lang w:val="en-US"/>
        </w:rPr>
        <w:t xml:space="preserve"> thousands of points (mapped models). The experimental data can be mapped on the same space and since each model in this space has known MW and D</w:t>
      </w:r>
      <w:r w:rsidR="00161CE9" w:rsidRPr="00161CE9">
        <w:rPr>
          <w:vertAlign w:val="subscript"/>
          <w:lang w:val="en-US"/>
        </w:rPr>
        <w:t>max</w:t>
      </w:r>
      <w:r w:rsidR="00161CE9">
        <w:rPr>
          <w:lang w:val="en-US"/>
        </w:rPr>
        <w:t>, these values can be easily estimated as the weighted average between the nearest k-neighbours.</w:t>
      </w:r>
      <w:r w:rsidR="00077F33">
        <w:rPr>
          <w:lang w:val="en-US"/>
        </w:rPr>
        <w:t xml:space="preserve"> This approach has </w:t>
      </w:r>
      <w:r w:rsidR="00B606D3">
        <w:rPr>
          <w:lang w:val="en-US"/>
        </w:rPr>
        <w:t>the</w:t>
      </w:r>
      <w:r w:rsidR="00077F33">
        <w:rPr>
          <w:lang w:val="en-US"/>
        </w:rPr>
        <w:t xml:space="preserve"> advantage of taking into account the shape of particles </w:t>
      </w:r>
      <w:r w:rsidR="00735173">
        <w:rPr>
          <w:lang w:val="en-US"/>
        </w:rPr>
        <w:t>while computing MW and D</w:t>
      </w:r>
      <w:r w:rsidR="00735173" w:rsidRPr="00735173">
        <w:rPr>
          <w:vertAlign w:val="subscript"/>
          <w:lang w:val="en-US"/>
        </w:rPr>
        <w:t>max</w:t>
      </w:r>
      <w:r w:rsidR="00735173">
        <w:rPr>
          <w:lang w:val="en-US"/>
        </w:rPr>
        <w:t xml:space="preserve">, </w:t>
      </w:r>
      <w:r w:rsidR="00077F33">
        <w:rPr>
          <w:lang w:val="en-US"/>
        </w:rPr>
        <w:t>alongside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465C5ED7"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w:t>
      </w:r>
      <w:r w:rsidR="00B606D3">
        <w:t>se</w:t>
      </w:r>
      <w:r w:rsidR="000A7EB3" w:rsidRPr="003374B5">
        <w:t>s its credibility interval.</w:t>
      </w:r>
      <w:r w:rsidR="008B2AAA">
        <w:rPr>
          <w:lang w:val="en-US"/>
        </w:rPr>
        <w:t xml:space="preserve"> The disadvantage is similar to the Shape&amp;Size method: it works only for compact proteins.</w:t>
      </w:r>
    </w:p>
    <w:p w14:paraId="505704FE" w14:textId="41191DB0"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 xml:space="preserve">estimate the Dmax: Shape&amp;Size and </w:t>
      </w:r>
      <w:r w:rsidR="00B606D3">
        <w:rPr>
          <w:lang w:val="en-US"/>
        </w:rPr>
        <w:t xml:space="preserve">through 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 xml:space="preserve">the spherically averaged Fourier transform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70650140"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 a guess on the D</w:t>
      </w:r>
      <w:r w:rsidR="00880815" w:rsidRPr="00B606D3">
        <w:rPr>
          <w:vertAlign w:val="subscript"/>
          <w:lang w:val="en-US"/>
        </w:rPr>
        <w:t>max</w:t>
      </w:r>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w:t>
      </w:r>
      <w:r w:rsidR="00B606D3">
        <w:rPr>
          <w:lang w:val="en-US"/>
        </w:rPr>
        <w:t>, small deviations of D</w:t>
      </w:r>
      <w:r w:rsidR="00B606D3" w:rsidRPr="00F32A05">
        <w:rPr>
          <w:vertAlign w:val="subscript"/>
          <w:lang w:val="en-US"/>
        </w:rPr>
        <w:t>max</w:t>
      </w:r>
      <w:r w:rsidR="00B606D3">
        <w:rPr>
          <w:lang w:val="en-US"/>
        </w:rPr>
        <w:t xml:space="preserve"> </w:t>
      </w:r>
      <w:r w:rsidR="00B606D3">
        <w:rPr>
          <w:lang w:val="en-US"/>
        </w:rPr>
        <w:t xml:space="preserve">are acceptable and do not change the final solution, </w:t>
      </w:r>
      <w:r w:rsidR="00B606D3">
        <w:rPr>
          <w:lang w:val="en-US"/>
        </w:rPr>
        <w:t xml:space="preserve"> thus precise estimation of D</w:t>
      </w:r>
      <w:r w:rsidR="00B606D3" w:rsidRPr="00F32A05">
        <w:rPr>
          <w:vertAlign w:val="subscript"/>
          <w:lang w:val="en-US"/>
        </w:rPr>
        <w:t>max</w:t>
      </w:r>
      <w:r w:rsidR="00B606D3">
        <w:rPr>
          <w:lang w:val="en-US"/>
        </w:rPr>
        <w:t xml:space="preserve"> is left to the discretion of a </w:t>
      </w:r>
      <w:r w:rsidR="00B606D3">
        <w:rPr>
          <w:lang w:val="en-US"/>
        </w:rPr>
        <w:t>user.</w:t>
      </w:r>
    </w:p>
    <w:p w14:paraId="1FDB551D" w14:textId="43BB3671" w:rsidR="00816DA2" w:rsidRDefault="003B21EA" w:rsidP="002C102E">
      <w:pPr>
        <w:pStyle w:val="Heading1"/>
        <w:rPr>
          <w:rStyle w:val="Emphasis"/>
        </w:rPr>
      </w:pPr>
      <w:r>
        <w:rPr>
          <w:rStyle w:val="Emphasis"/>
        </w:rPr>
        <w:t>Methods</w:t>
      </w:r>
    </w:p>
    <w:p w14:paraId="0D6CC2F2" w14:textId="2E76CB2F" w:rsidR="00D50857" w:rsidRDefault="00D50857" w:rsidP="00D50857">
      <w:pPr>
        <w:pStyle w:val="NormalWeb"/>
        <w:rPr>
          <w:lang w:val="en-US"/>
        </w:rPr>
      </w:pPr>
      <w:r w:rsidRPr="002C102E">
        <w:rPr>
          <w:rStyle w:val="Heading2Char"/>
        </w:rPr>
        <w:t>Neural network</w:t>
      </w:r>
      <w:r w:rsidR="00132F0F">
        <w:rPr>
          <w:rStyle w:val="Heading2Char"/>
          <w:lang w:val="en-US"/>
        </w:rPr>
        <w:t>s</w:t>
      </w:r>
      <w:r w:rsidRPr="002C102E">
        <w:rPr>
          <w:rStyle w:val="Heading2Char"/>
        </w:rPr>
        <w:t xml:space="preserve"> architecture</w:t>
      </w:r>
      <w:r w:rsidRPr="00BE7317">
        <w:rPr>
          <w:b/>
          <w:bCs/>
          <w:lang w:val="en-US"/>
        </w:rPr>
        <w:t>.</w:t>
      </w:r>
      <w:r>
        <w:rPr>
          <w:lang w:val="en-US"/>
        </w:rPr>
        <w:t xml:space="preserve"> We exploited interconnected neural networks (perceptrons) with </w:t>
      </w:r>
      <w:r w:rsidR="00A51B4D">
        <w:rPr>
          <w:lang w:val="en-US"/>
        </w:rPr>
        <w:t>three</w:t>
      </w:r>
      <w:r>
        <w:rPr>
          <w:lang w:val="en-US"/>
        </w:rPr>
        <w:t xml:space="preserve"> hidden layer</w:t>
      </w:r>
      <w:r w:rsidR="00A51B4D">
        <w:rPr>
          <w:lang w:val="en-US"/>
        </w:rPr>
        <w:t>s</w:t>
      </w:r>
      <w:r>
        <w:rPr>
          <w:lang w:val="en-US"/>
        </w:rPr>
        <w:t xml:space="preserve"> for predicting </w:t>
      </w:r>
      <w:r w:rsidR="00A51B4D">
        <w:rPr>
          <w:lang w:val="en-US"/>
        </w:rPr>
        <w:t>MW and D</w:t>
      </w:r>
      <w:r w:rsidR="00A51B4D" w:rsidRPr="00A51B4D">
        <w:rPr>
          <w:vertAlign w:val="subscript"/>
          <w:lang w:val="en-US"/>
        </w:rPr>
        <w:t>max</w:t>
      </w:r>
      <w:r w:rsidR="00A51B4D">
        <w:rPr>
          <w:lang w:val="en-US"/>
        </w:rPr>
        <w:t xml:space="preserve"> (fig.1 demonstrates training procedure for the former case)</w:t>
      </w:r>
      <w:r>
        <w:rPr>
          <w:lang w:val="en-US"/>
        </w:rPr>
        <w:t>. Since the expected output of the NNs is a number and not a discrete value, we encounter a classical regression task for machine learning.</w:t>
      </w:r>
      <w:r w:rsidR="00A51B4D">
        <w:rPr>
          <w:lang w:val="en-US"/>
        </w:rPr>
        <w:t xml:space="preserve"> We used Keras and Tensorflow modules in the python framework.</w:t>
      </w:r>
      <w:r>
        <w:rPr>
          <w:lang w:val="en-US"/>
        </w:rPr>
        <w:t xml:space="preserve"> </w:t>
      </w:r>
    </w:p>
    <w:p w14:paraId="207F7C8F" w14:textId="77777777" w:rsidR="00D50857" w:rsidRDefault="00D50857" w:rsidP="00D50857">
      <w:pPr>
        <w:pStyle w:val="NormalWeb"/>
        <w:jc w:val="center"/>
        <w:rPr>
          <w:noProof/>
          <w:lang w:val="en-US"/>
        </w:rPr>
      </w:pPr>
    </w:p>
    <w:p w14:paraId="55DA3619" w14:textId="7E3AD706" w:rsidR="00D50857" w:rsidRDefault="00D50857" w:rsidP="00D50857">
      <w:pPr>
        <w:pStyle w:val="NormalWeb"/>
        <w:jc w:val="center"/>
        <w:rPr>
          <w:lang w:val="en-US"/>
        </w:rPr>
      </w:pPr>
      <w:r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745"/>
                    </a:xfrm>
                    <a:prstGeom prst="rect">
                      <a:avLst/>
                    </a:prstGeom>
                  </pic:spPr>
                </pic:pic>
              </a:graphicData>
            </a:graphic>
          </wp:inline>
        </w:drawing>
      </w:r>
    </w:p>
    <w:p w14:paraId="2F5A3952" w14:textId="0CD19ACF"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rchitectures of neural networks </w:t>
      </w:r>
      <w:r>
        <w:rPr>
          <w:sz w:val="22"/>
          <w:szCs w:val="22"/>
          <w:lang w:val="en-US"/>
        </w:rPr>
        <w:t>used for primary SAXS data analysis.</w:t>
      </w:r>
    </w:p>
    <w:p w14:paraId="3355C945" w14:textId="0562D724" w:rsidR="00D50857" w:rsidRPr="00BE7317" w:rsidRDefault="00A51B4D" w:rsidP="00D50857">
      <w:pPr>
        <w:pStyle w:val="NormalWeb"/>
        <w:rPr>
          <w:lang w:val="en-US"/>
        </w:rPr>
      </w:pPr>
      <w:r>
        <w:rPr>
          <w:lang w:val="en-US"/>
        </w:rPr>
        <w:t xml:space="preserve">  </w:t>
      </w:r>
      <w:r w:rsidR="00D50857">
        <w:rPr>
          <w:lang w:val="en-US"/>
        </w:rPr>
        <w:t xml:space="preserve">According to the Universal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D50857">
        <w:rPr>
          <w:lang w:val="en-US"/>
        </w:rPr>
        <w:t xml:space="preserve">, a feed-forward artificial </w:t>
      </w:r>
      <w:r>
        <w:rPr>
          <w:lang w:val="en-US"/>
        </w:rPr>
        <w:t>NN</w:t>
      </w:r>
      <w:r w:rsidR="00D50857">
        <w:rPr>
          <w:lang w:val="en-US"/>
        </w:rPr>
        <w:t xml:space="preserve"> with a single hidden layer containing a finite number of neurons can approximate any continuous function, under mild assumption on the 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 xml:space="preserve">that NNs utilizing the rectified Linear Unit (ReLU) activation function with a width (number of neurons in one layer) of n+1 is 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Therefore, in the context of SAS with an angular range s</w:t>
      </w:r>
      <w:r w:rsidR="00D50857" w:rsidRPr="000843D3">
        <w:rPr>
          <w:vertAlign w:val="subscript"/>
          <w:lang w:val="en-US"/>
        </w:rPr>
        <w:t>max</w:t>
      </w:r>
      <w:r w:rsidR="00D50857">
        <w:rPr>
          <w:lang w:val="en-US"/>
        </w:rPr>
        <w:t xml:space="preserve"> &lt; 5 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002458BC" w14:textId="10F1791D" w:rsidR="00D50857" w:rsidRPr="00A26A50" w:rsidRDefault="00A51B4D" w:rsidP="00880815">
      <w:pPr>
        <w:pStyle w:val="NormalWeb"/>
        <w:rPr>
          <w:lang w:val="en-US"/>
        </w:rPr>
      </w:pPr>
      <w:r>
        <w:rPr>
          <w:lang w:val="en-US"/>
        </w:rPr>
        <w:t xml:space="preserve">  However, even though this model was able to work quite well on our data set, we have found that using an excessive architecture with 3 hidden layers and 80 units led to faster convergence and slightly better prediction results.</w:t>
      </w:r>
      <w:r w:rsidR="00F21C69">
        <w:rPr>
          <w:lang w:val="en-US"/>
        </w:rPr>
        <w:t xml:space="preserve"> During extensive testing, we have also found, that using hyperbolic tangent as an activation function </w:t>
      </w:r>
      <w:r w:rsidR="00F21C69">
        <w:rPr>
          <w:lang w:val="en-US"/>
        </w:rPr>
        <w:t xml:space="preserve">instead of ReLU </w:t>
      </w:r>
      <w:r w:rsidR="00F21C69">
        <w:rPr>
          <w:lang w:val="en-US"/>
        </w:rPr>
        <w:t>also marginally improved the results.</w:t>
      </w:r>
      <w:r w:rsidR="00375F1D">
        <w:rPr>
          <w:lang w:val="en-US"/>
        </w:rPr>
        <w:t xml:space="preserve"> The layers were initialized by the ‘he-uniform’ random function, the output bias was initialized as an averaged MW or D</w:t>
      </w:r>
      <w:r w:rsidR="00375F1D" w:rsidRPr="00375F1D">
        <w:rPr>
          <w:vertAlign w:val="subscript"/>
          <w:lang w:val="en-US"/>
        </w:rPr>
        <w:t>max</w:t>
      </w:r>
      <w:r w:rsidR="00375F1D">
        <w:rPr>
          <w:lang w:val="en-US"/>
        </w:rPr>
        <w:t xml:space="preserve"> over the whole training set.</w:t>
      </w:r>
    </w:p>
    <w:p w14:paraId="74A3F5F4" w14:textId="4B4CC615" w:rsidR="00122AC4" w:rsidRDefault="00BE7317" w:rsidP="00880815">
      <w:pPr>
        <w:pStyle w:val="NormalWeb"/>
        <w:rPr>
          <w:lang w:val="en-US"/>
        </w:rPr>
      </w:pPr>
      <w:r w:rsidRPr="002C102E">
        <w:rPr>
          <w:rStyle w:val="Heading2Char"/>
        </w:rPr>
        <w:t>Training set.</w:t>
      </w:r>
      <w:r>
        <w:rPr>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r w:rsidR="00132F0F">
        <w:rPr>
          <w:lang w:val="en-US"/>
        </w:rPr>
        <w:t>for simulation</w:t>
      </w:r>
      <w:r w:rsidR="00132F0F">
        <w:rPr>
          <w:lang w:val="en-US"/>
        </w:rPr>
        <w:t xml:space="preserve"> </w:t>
      </w:r>
      <w:r>
        <w:rPr>
          <w:lang w:val="en-US"/>
        </w:rPr>
        <w:t>(</w:t>
      </w:r>
      <w:hyperlink r:id="rId10"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132F0F">
        <w:rPr>
          <w:lang w:val="en-US"/>
        </w:rPr>
        <w:t xml:space="preserve">an </w:t>
      </w:r>
      <w:r w:rsidR="006529DA">
        <w:rPr>
          <w:lang w:val="en-US"/>
        </w:rPr>
        <w:t>unbiased training set, ideally evenly distributed over the parameter</w:t>
      </w:r>
      <w:r w:rsidR="008624BF">
        <w:rPr>
          <w:lang w:val="en-US"/>
        </w:rPr>
        <w:t>s</w:t>
      </w:r>
      <w:r w:rsidR="006529DA">
        <w:rPr>
          <w:lang w:val="en-US"/>
        </w:rPr>
        <w:t xml:space="preserve"> for prediction. </w:t>
      </w:r>
      <w:r w:rsidR="00132F0F">
        <w:rPr>
          <w:lang w:val="en-US"/>
        </w:rPr>
        <w:t>However, a</w:t>
      </w:r>
      <w:r w:rsidR="00122AC4">
        <w:rPr>
          <w:lang w:val="en-US"/>
        </w:rPr>
        <w:t xml:space="preserve">s is seen from the histogram in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02BA3D21" w:rsidR="005409E5" w:rsidRDefault="008624BF"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33725"/>
                    </a:xfrm>
                    <a:prstGeom prst="rect">
                      <a:avLst/>
                    </a:prstGeom>
                  </pic:spPr>
                </pic:pic>
              </a:graphicData>
            </a:graphic>
          </wp:inline>
        </w:drawing>
      </w:r>
    </w:p>
    <w:p w14:paraId="70E47943" w14:textId="77777777" w:rsidR="00132F0F" w:rsidRDefault="00132F0F" w:rsidP="00880815">
      <w:pPr>
        <w:pStyle w:val="NormalWeb"/>
        <w:rPr>
          <w:noProof/>
        </w:rPr>
      </w:pPr>
    </w:p>
    <w:p w14:paraId="3DC7DB34" w14:textId="2CB9D9C7" w:rsidR="00132F0F" w:rsidRDefault="00132F0F" w:rsidP="00880815">
      <w:pPr>
        <w:pStyle w:val="NormalWeb"/>
        <w:rPr>
          <w:lang w:val="en-US"/>
        </w:rPr>
      </w:pPr>
      <w:r>
        <w:rPr>
          <w:noProof/>
        </w:rPr>
        <w:drawing>
          <wp:inline distT="0" distB="0" distL="0" distR="0" wp14:anchorId="4ECA37E6" wp14:editId="48304920">
            <wp:extent cx="5825220" cy="3332839"/>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00" r="46460"/>
                    <a:stretch/>
                  </pic:blipFill>
                  <pic:spPr bwMode="auto">
                    <a:xfrm>
                      <a:off x="0" y="0"/>
                      <a:ext cx="5880592" cy="3364519"/>
                    </a:xfrm>
                    <a:prstGeom prst="rect">
                      <a:avLst/>
                    </a:prstGeom>
                    <a:noFill/>
                    <a:ln>
                      <a:noFill/>
                    </a:ln>
                    <a:extLst>
                      <a:ext uri="{53640926-AAD7-44D8-BBD7-CCE9431645EC}">
                        <a14:shadowObscured xmlns:a14="http://schemas.microsoft.com/office/drawing/2010/main"/>
                      </a:ext>
                    </a:extLst>
                  </pic:spPr>
                </pic:pic>
              </a:graphicData>
            </a:graphic>
          </wp:inline>
        </w:drawing>
      </w:r>
    </w:p>
    <w:p w14:paraId="270364AA" w14:textId="5B40F87A" w:rsidR="00122AC4" w:rsidRPr="00A727C9" w:rsidRDefault="00122AC4" w:rsidP="00A727C9">
      <w:pPr>
        <w:pStyle w:val="NormalWeb"/>
        <w:jc w:val="center"/>
        <w:rPr>
          <w:sz w:val="22"/>
          <w:szCs w:val="22"/>
          <w:lang w:val="en-US"/>
        </w:rPr>
      </w:pPr>
      <w:r w:rsidRPr="00A727C9">
        <w:rPr>
          <w:sz w:val="22"/>
          <w:szCs w:val="22"/>
          <w:lang w:val="en-US"/>
        </w:rPr>
        <w:t>Fig.</w:t>
      </w:r>
      <w:r w:rsidR="00B9008E">
        <w:rPr>
          <w:sz w:val="22"/>
          <w:szCs w:val="22"/>
          <w:lang w:val="en-US"/>
        </w:rPr>
        <w:t>2</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00132F0F">
        <w:rPr>
          <w:sz w:val="22"/>
          <w:szCs w:val="22"/>
          <w:lang w:val="en-US"/>
        </w:rPr>
        <w:t xml:space="preserve"> (c) MW vs Rg heat map for the chosen training set</w:t>
      </w:r>
      <w:r w:rsidRPr="00A727C9">
        <w:rPr>
          <w:sz w:val="22"/>
          <w:szCs w:val="22"/>
          <w:lang w:val="en-US"/>
        </w:rPr>
        <w:t>.</w:t>
      </w:r>
    </w:p>
    <w:p w14:paraId="6649297C" w14:textId="6DA065DF" w:rsidR="00F85837"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t>
      </w:r>
      <w:r w:rsidR="00B9008E">
        <w:rPr>
          <w:lang w:val="en-US"/>
        </w:rPr>
        <w:t xml:space="preserve">in PDB </w:t>
      </w:r>
      <w:r>
        <w:rPr>
          <w:lang w:val="en-US"/>
        </w:rPr>
        <w:t xml:space="preserve">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r w:rsidR="00643E3F">
        <w:rPr>
          <w:lang w:val="en-US"/>
        </w:rPr>
        <w:t>bia</w:t>
      </w:r>
      <w:r w:rsidR="00163184">
        <w:rPr>
          <w:lang w:val="en-US"/>
        </w:rPr>
        <w:t>s</w:t>
      </w:r>
      <w:r w:rsidR="00643E3F">
        <w:rPr>
          <w:lang w:val="en-US"/>
        </w:rPr>
        <w:t xml:space="preserve">sed towards </w:t>
      </w:r>
      <w:r>
        <w:rPr>
          <w:lang w:val="en-US"/>
        </w:rPr>
        <w:t xml:space="preserve">small and globular </w:t>
      </w:r>
      <w:r w:rsidR="006C3333">
        <w:rPr>
          <w:lang w:val="en-US"/>
        </w:rPr>
        <w:t xml:space="preserve">proteins </w:t>
      </w:r>
      <w:r w:rsidR="00643E3F">
        <w:rPr>
          <w:lang w:val="en-US"/>
        </w:rPr>
        <w:t xml:space="preserve">due </w:t>
      </w:r>
      <w:r>
        <w:rPr>
          <w:lang w:val="en-US"/>
        </w:rPr>
        <w:t xml:space="preserve">to </w:t>
      </w:r>
      <w:r w:rsidR="00643E3F">
        <w:rPr>
          <w:lang w:val="en-US"/>
        </w:rPr>
        <w:t>their ability to</w:t>
      </w:r>
      <w:r>
        <w:rPr>
          <w:lang w:val="en-US"/>
        </w:rPr>
        <w:t xml:space="preserve"> form crystal</w:t>
      </w:r>
      <w:r w:rsidR="00B9008E">
        <w:rPr>
          <w:lang w:val="en-US"/>
        </w:rPr>
        <w:t>s</w:t>
      </w:r>
      <w:r>
        <w:rPr>
          <w:lang w:val="en-US"/>
        </w:rPr>
        <w:t xml:space="preserve">. </w:t>
      </w:r>
      <w:r w:rsidR="00163184">
        <w:rPr>
          <w:lang w:val="en-US"/>
        </w:rPr>
        <w:t>Preliminary c</w:t>
      </w:r>
      <w:r w:rsidR="00D11EDF">
        <w:rPr>
          <w:lang w:val="en-US"/>
        </w:rPr>
        <w:t>omputer 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works well</w:t>
      </w:r>
      <w:r w:rsidR="004F2EA5">
        <w:rPr>
          <w:lang w:val="en-US"/>
        </w:rPr>
        <w:t xml:space="preserve"> for the small</w:t>
      </w:r>
      <w:r w:rsidR="00B9008E">
        <w:rPr>
          <w:lang w:val="en-US"/>
        </w:rPr>
        <w:t>er compact</w:t>
      </w:r>
      <w:r w:rsidR="004F2EA5">
        <w:rPr>
          <w:lang w:val="en-US"/>
        </w:rPr>
        <w:t xml:space="preserve">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w:t>
      </w:r>
      <w:r w:rsidR="00C63365">
        <w:rPr>
          <w:lang w:val="en-US"/>
        </w:rPr>
        <w:lastRenderedPageBreak/>
        <w:t>successful 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 near-random sample of parameter values from a </w:t>
      </w:r>
      <w:r w:rsidR="00C12BAB">
        <w:rPr>
          <w:lang w:val="en-US"/>
        </w:rPr>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w:t>
      </w:r>
      <w:r w:rsidR="00B9008E">
        <w:rPr>
          <w:lang w:val="en-US"/>
        </w:rPr>
        <w:t>~7000</w:t>
      </w:r>
      <w:r w:rsidR="00BE7317">
        <w:rPr>
          <w:lang w:val="en-US"/>
        </w:rPr>
        <w:t xml:space="preserve">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r w:rsidR="00B9008E">
        <w:rPr>
          <w:lang w:val="en-US"/>
        </w:rPr>
        <w:t>Then the data were randomly distributed to 80% training, 10% validation, and 10% test sets.</w:t>
      </w:r>
    </w:p>
    <w:p w14:paraId="155D7F6E" w14:textId="4C5B0423"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B9008E">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1A0C4B">
        <w:rPr>
          <w:lang w:val="en-US"/>
        </w:rPr>
        <w:t xml:space="preserve">. </w:t>
      </w:r>
      <w:r w:rsidR="00B9008E">
        <w:rPr>
          <w:lang w:val="en-US"/>
        </w:rPr>
        <w:t xml:space="preserve">The SAXS curves were normalized on the I(0) = 1 and augmented with the experimental noise, simulated at 7 different protein concentrations c = 0.25, 05, 1, 2, 4, 8, 16 mg/ml. </w:t>
      </w:r>
      <w:r w:rsidR="002607F1">
        <w:rPr>
          <w:lang w:val="en-US"/>
        </w:rPr>
        <w:t>The simulated noise corresponds to the p12 instrumentation with 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5660F30E" w14:textId="2CC8B4DA" w:rsidR="00C71AA0" w:rsidRDefault="002C102E" w:rsidP="002C102E">
      <w:pPr>
        <w:pStyle w:val="Heading1"/>
        <w:rPr>
          <w:lang w:val="en-US"/>
        </w:rPr>
      </w:pPr>
      <w:r>
        <w:rPr>
          <w:lang w:val="en-US"/>
        </w:rPr>
        <w:t>Results and discussion</w:t>
      </w:r>
    </w:p>
    <w:p w14:paraId="58C76875" w14:textId="25858A32" w:rsidR="006252E4" w:rsidRDefault="006252E4" w:rsidP="00880815">
      <w:pPr>
        <w:pStyle w:val="NormalWeb"/>
        <w:rPr>
          <w:lang w:val="en-US"/>
        </w:rPr>
      </w:pPr>
      <w:r>
        <w:rPr>
          <w:lang w:val="en-US"/>
        </w:rPr>
        <w:t>Comparison of accuracy of predicted SAXS parameters with the other available methods.</w:t>
      </w:r>
    </w:p>
    <w:p w14:paraId="61623DFE" w14:textId="0C81CBFD" w:rsidR="006103E8" w:rsidRDefault="006103E8" w:rsidP="00880815">
      <w:pPr>
        <w:pStyle w:val="NormalWeb"/>
        <w:rPr>
          <w:lang w:val="en-US"/>
        </w:rPr>
      </w:pPr>
      <w:r w:rsidRPr="006103E8">
        <w:rPr>
          <w:lang w:val="en-US"/>
        </w:rPr>
        <w:drawing>
          <wp:inline distT="0" distB="0" distL="0" distR="0" wp14:anchorId="0C830360" wp14:editId="4D0323D0">
            <wp:extent cx="5940425" cy="29781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78150"/>
                    </a:xfrm>
                    <a:prstGeom prst="rect">
                      <a:avLst/>
                    </a:prstGeom>
                  </pic:spPr>
                </pic:pic>
              </a:graphicData>
            </a:graphic>
          </wp:inline>
        </w:drawing>
      </w:r>
    </w:p>
    <w:p w14:paraId="6A7B7230" w14:textId="7E1DB81D" w:rsidR="006103E8" w:rsidRDefault="006103E8" w:rsidP="00880815">
      <w:pPr>
        <w:pStyle w:val="NormalWeb"/>
        <w:rPr>
          <w:lang w:val="en-US"/>
        </w:rPr>
      </w:pPr>
      <w:r w:rsidRPr="006103E8">
        <w:rPr>
          <w:lang w:val="en-US"/>
        </w:rPr>
        <w:lastRenderedPageBreak/>
        <w:drawing>
          <wp:inline distT="0" distB="0" distL="0" distR="0" wp14:anchorId="552D2559" wp14:editId="1AC1941E">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56255"/>
                    </a:xfrm>
                    <a:prstGeom prst="rect">
                      <a:avLst/>
                    </a:prstGeom>
                  </pic:spPr>
                </pic:pic>
              </a:graphicData>
            </a:graphic>
          </wp:inline>
        </w:drawing>
      </w:r>
    </w:p>
    <w:p w14:paraId="59B1015F" w14:textId="4AEE66E2" w:rsidR="0054449B" w:rsidRDefault="0054449B" w:rsidP="00880815">
      <w:pPr>
        <w:pStyle w:val="NormalWeb"/>
        <w:rPr>
          <w:lang w:val="en-US"/>
        </w:rPr>
      </w:pPr>
      <w:r>
        <w:rPr>
          <w:noProof/>
        </w:rPr>
        <w:drawing>
          <wp:inline distT="0" distB="0" distL="0" distR="0" wp14:anchorId="7A4EFBDA" wp14:editId="724F3540">
            <wp:extent cx="5940425" cy="3879850"/>
            <wp:effectExtent l="0" t="0" r="3175" b="6350"/>
            <wp:docPr id="9" name="Chart 9">
              <a:extLst xmlns:a="http://schemas.openxmlformats.org/drawingml/2006/main">
                <a:ext uri="{FF2B5EF4-FFF2-40B4-BE49-F238E27FC236}">
                  <a16:creationId xmlns:a16="http://schemas.microsoft.com/office/drawing/2014/main" id="{ABEFEF16-B094-48B1-9BF2-AAFFD7581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EDCC3C" w14:textId="1E02A64B" w:rsidR="0054449B" w:rsidRDefault="0054449B" w:rsidP="00880815">
      <w:pPr>
        <w:pStyle w:val="NormalWeb"/>
        <w:rPr>
          <w:lang w:val="en-US"/>
        </w:rPr>
      </w:pPr>
      <w:r>
        <w:rPr>
          <w:noProof/>
        </w:rPr>
        <w:lastRenderedPageBreak/>
        <w:drawing>
          <wp:inline distT="0" distB="0" distL="0" distR="0" wp14:anchorId="66B25160" wp14:editId="2D276D9D">
            <wp:extent cx="5940425" cy="3877945"/>
            <wp:effectExtent l="0" t="0" r="3175" b="8255"/>
            <wp:docPr id="10" name="Chart 10">
              <a:extLst xmlns:a="http://schemas.openxmlformats.org/drawingml/2006/main">
                <a:ext uri="{FF2B5EF4-FFF2-40B4-BE49-F238E27FC236}">
                  <a16:creationId xmlns:a16="http://schemas.microsoft.com/office/drawing/2014/main" id="{DDE451B1-0BEF-4AE5-AAA5-80925867D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01F872" w14:textId="25737735" w:rsidR="00CA3BD8" w:rsidRDefault="006252E4" w:rsidP="00880815">
      <w:pPr>
        <w:pStyle w:val="NormalWeb"/>
        <w:rPr>
          <w:lang w:val="en-US"/>
        </w:rPr>
      </w:pPr>
      <w:r>
        <w:rPr>
          <w:lang w:val="en-US"/>
        </w:rPr>
        <w:t>Fig.</w:t>
      </w:r>
      <w:r w:rsidR="00A26A50">
        <w:rPr>
          <w:lang w:val="en-US"/>
        </w:rPr>
        <w:t>3 Comparison of performances of different methods</w:t>
      </w:r>
      <w:r w:rsidR="006103E8">
        <w:rPr>
          <w:lang w:val="en-US"/>
        </w:rPr>
        <w:t xml:space="preserve"> (proteins, NAs, IDPs)</w:t>
      </w:r>
      <w:r w:rsidR="00A26A50">
        <w:rPr>
          <w:lang w:val="en-US"/>
        </w:rPr>
        <w:t>.</w:t>
      </w:r>
    </w:p>
    <w:p w14:paraId="69CF9C74" w14:textId="563A2C83" w:rsidR="0054449B" w:rsidRDefault="0054449B" w:rsidP="00880815">
      <w:pPr>
        <w:pStyle w:val="NormalWeb"/>
        <w:rPr>
          <w:lang w:val="en-US"/>
        </w:rPr>
      </w:pPr>
      <w:r>
        <w:rPr>
          <w:noProof/>
        </w:rPr>
        <w:drawing>
          <wp:inline distT="0" distB="0" distL="0" distR="0" wp14:anchorId="10CA88BE" wp14:editId="3B8F67BE">
            <wp:extent cx="5940425" cy="3879850"/>
            <wp:effectExtent l="0" t="0" r="3175" b="6350"/>
            <wp:docPr id="8" name="Chart 8">
              <a:extLst xmlns:a="http://schemas.openxmlformats.org/drawingml/2006/main">
                <a:ext uri="{FF2B5EF4-FFF2-40B4-BE49-F238E27FC236}">
                  <a16:creationId xmlns:a16="http://schemas.microsoft.com/office/drawing/2014/main" id="{2DB617B8-F63D-441A-B92C-A449F84C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91893B" w14:textId="09D93FA6" w:rsidR="0060197A" w:rsidRDefault="0060197A" w:rsidP="00880815">
      <w:pPr>
        <w:pStyle w:val="NormalWeb"/>
        <w:rPr>
          <w:lang w:val="en-US"/>
        </w:rPr>
      </w:pPr>
      <w:r>
        <w:rPr>
          <w:lang w:val="en-US"/>
        </w:rPr>
        <w:t>Fig.4 Error versus angular range for abs</w:t>
      </w:r>
    </w:p>
    <w:p w14:paraId="7FF90452" w14:textId="535707F4" w:rsidR="006252E4" w:rsidRDefault="00CA3BD8" w:rsidP="00880815">
      <w:pPr>
        <w:pStyle w:val="NormalWeb"/>
        <w:rPr>
          <w:lang w:val="en-US"/>
        </w:rPr>
      </w:pPr>
      <w:r>
        <w:rPr>
          <w:lang w:val="en-US"/>
        </w:rPr>
        <w:t>Fig.4 Web interface.</w:t>
      </w:r>
      <w:r w:rsidR="00A26A50">
        <w:rPr>
          <w:lang w:val="en-US"/>
        </w:rPr>
        <w:t xml:space="preserve"> </w:t>
      </w:r>
    </w:p>
    <w:p w14:paraId="55693C3E" w14:textId="36EF8710" w:rsidR="001F0519" w:rsidRDefault="006252E4" w:rsidP="002C102E">
      <w:pPr>
        <w:pStyle w:val="Heading1"/>
        <w:rPr>
          <w:lang w:val="en-US"/>
        </w:rPr>
      </w:pPr>
      <w:r w:rsidRPr="001F0519">
        <w:rPr>
          <w:lang w:val="en-US"/>
        </w:rPr>
        <w:lastRenderedPageBreak/>
        <w:t>Conclusion</w:t>
      </w:r>
    </w:p>
    <w:p w14:paraId="3E3E4F87" w14:textId="77777777" w:rsidR="00C771E4" w:rsidRDefault="006252E4" w:rsidP="00880815">
      <w:pPr>
        <w:pStyle w:val="NormalWeb"/>
        <w:rPr>
          <w:lang w:val="en-US"/>
        </w:rPr>
      </w:pPr>
      <w:r>
        <w:rPr>
          <w:lang w:val="en-US"/>
        </w:rPr>
        <w:t xml:space="preserve">A novel completely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18"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19"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qQUAmT40Ei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C563D"/>
    <w:rsid w:val="000C6D2A"/>
    <w:rsid w:val="000D13DC"/>
    <w:rsid w:val="000E0F0E"/>
    <w:rsid w:val="000E282E"/>
    <w:rsid w:val="00122381"/>
    <w:rsid w:val="00122AC4"/>
    <w:rsid w:val="00132F0F"/>
    <w:rsid w:val="00141FBE"/>
    <w:rsid w:val="00161CE9"/>
    <w:rsid w:val="00162B24"/>
    <w:rsid w:val="00163184"/>
    <w:rsid w:val="00163B21"/>
    <w:rsid w:val="001A0C4B"/>
    <w:rsid w:val="001A412B"/>
    <w:rsid w:val="001B0C08"/>
    <w:rsid w:val="001E120E"/>
    <w:rsid w:val="001E579E"/>
    <w:rsid w:val="001F0519"/>
    <w:rsid w:val="0021116F"/>
    <w:rsid w:val="002244AF"/>
    <w:rsid w:val="002373AB"/>
    <w:rsid w:val="00253EF3"/>
    <w:rsid w:val="002607F1"/>
    <w:rsid w:val="0026163D"/>
    <w:rsid w:val="00267DA8"/>
    <w:rsid w:val="002A59A2"/>
    <w:rsid w:val="002A7978"/>
    <w:rsid w:val="002A7CC9"/>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75F1D"/>
    <w:rsid w:val="003B21EA"/>
    <w:rsid w:val="004168CD"/>
    <w:rsid w:val="004372F5"/>
    <w:rsid w:val="00437454"/>
    <w:rsid w:val="00447045"/>
    <w:rsid w:val="00461905"/>
    <w:rsid w:val="004A791B"/>
    <w:rsid w:val="004C06B9"/>
    <w:rsid w:val="004D383F"/>
    <w:rsid w:val="004E0DA8"/>
    <w:rsid w:val="004E5B32"/>
    <w:rsid w:val="004F2EA5"/>
    <w:rsid w:val="005208A3"/>
    <w:rsid w:val="005214EC"/>
    <w:rsid w:val="005409E5"/>
    <w:rsid w:val="0054449B"/>
    <w:rsid w:val="005460D7"/>
    <w:rsid w:val="00566C92"/>
    <w:rsid w:val="00571B9C"/>
    <w:rsid w:val="005771CF"/>
    <w:rsid w:val="00587E6E"/>
    <w:rsid w:val="005B5AAE"/>
    <w:rsid w:val="005C2982"/>
    <w:rsid w:val="005C5BBB"/>
    <w:rsid w:val="005E2109"/>
    <w:rsid w:val="0060197A"/>
    <w:rsid w:val="006103E8"/>
    <w:rsid w:val="006252E4"/>
    <w:rsid w:val="00636F9C"/>
    <w:rsid w:val="00643E3F"/>
    <w:rsid w:val="006529DA"/>
    <w:rsid w:val="00660560"/>
    <w:rsid w:val="00690F97"/>
    <w:rsid w:val="006944F6"/>
    <w:rsid w:val="006A2A39"/>
    <w:rsid w:val="006B51F8"/>
    <w:rsid w:val="006C3333"/>
    <w:rsid w:val="006C6020"/>
    <w:rsid w:val="006E0B6A"/>
    <w:rsid w:val="006E2D2A"/>
    <w:rsid w:val="006E31E3"/>
    <w:rsid w:val="006E7AF1"/>
    <w:rsid w:val="00710ACD"/>
    <w:rsid w:val="00715D3C"/>
    <w:rsid w:val="00731BD6"/>
    <w:rsid w:val="00735173"/>
    <w:rsid w:val="00740202"/>
    <w:rsid w:val="00742400"/>
    <w:rsid w:val="007636CE"/>
    <w:rsid w:val="00775752"/>
    <w:rsid w:val="007862D8"/>
    <w:rsid w:val="00790DB2"/>
    <w:rsid w:val="007A7B7C"/>
    <w:rsid w:val="007B7A57"/>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92526D"/>
    <w:rsid w:val="0096674E"/>
    <w:rsid w:val="0099018B"/>
    <w:rsid w:val="009B34EB"/>
    <w:rsid w:val="009C2A38"/>
    <w:rsid w:val="009D5975"/>
    <w:rsid w:val="00A0149F"/>
    <w:rsid w:val="00A17BC8"/>
    <w:rsid w:val="00A20D1C"/>
    <w:rsid w:val="00A24AED"/>
    <w:rsid w:val="00A26A50"/>
    <w:rsid w:val="00A26F09"/>
    <w:rsid w:val="00A34AD2"/>
    <w:rsid w:val="00A4529F"/>
    <w:rsid w:val="00A51B4D"/>
    <w:rsid w:val="00A53422"/>
    <w:rsid w:val="00A727C9"/>
    <w:rsid w:val="00A73427"/>
    <w:rsid w:val="00A76677"/>
    <w:rsid w:val="00AD38F7"/>
    <w:rsid w:val="00AE3C79"/>
    <w:rsid w:val="00AF2D5E"/>
    <w:rsid w:val="00B2166F"/>
    <w:rsid w:val="00B34046"/>
    <w:rsid w:val="00B359C6"/>
    <w:rsid w:val="00B5170E"/>
    <w:rsid w:val="00B606D3"/>
    <w:rsid w:val="00B61C86"/>
    <w:rsid w:val="00B729EA"/>
    <w:rsid w:val="00B73581"/>
    <w:rsid w:val="00B9008E"/>
    <w:rsid w:val="00B94309"/>
    <w:rsid w:val="00BD589F"/>
    <w:rsid w:val="00BE2AE0"/>
    <w:rsid w:val="00BE52EC"/>
    <w:rsid w:val="00BE7317"/>
    <w:rsid w:val="00C12BAB"/>
    <w:rsid w:val="00C23573"/>
    <w:rsid w:val="00C36BB5"/>
    <w:rsid w:val="00C628A5"/>
    <w:rsid w:val="00C63365"/>
    <w:rsid w:val="00C71AA0"/>
    <w:rsid w:val="00C771E4"/>
    <w:rsid w:val="00C85AD7"/>
    <w:rsid w:val="00CA0FC4"/>
    <w:rsid w:val="00CA3BD8"/>
    <w:rsid w:val="00CF1021"/>
    <w:rsid w:val="00CF180B"/>
    <w:rsid w:val="00CF54EA"/>
    <w:rsid w:val="00CF7FDE"/>
    <w:rsid w:val="00D07035"/>
    <w:rsid w:val="00D10AD6"/>
    <w:rsid w:val="00D11EDF"/>
    <w:rsid w:val="00D16E6A"/>
    <w:rsid w:val="00D50857"/>
    <w:rsid w:val="00D64A3F"/>
    <w:rsid w:val="00D81BAE"/>
    <w:rsid w:val="00D9532B"/>
    <w:rsid w:val="00DA3AC0"/>
    <w:rsid w:val="00DA6FD1"/>
    <w:rsid w:val="00DC059F"/>
    <w:rsid w:val="00DC4DC1"/>
    <w:rsid w:val="00DE660C"/>
    <w:rsid w:val="00DF3B87"/>
    <w:rsid w:val="00DF68F4"/>
    <w:rsid w:val="00E0604F"/>
    <w:rsid w:val="00E42B96"/>
    <w:rsid w:val="00E75224"/>
    <w:rsid w:val="00E91CB8"/>
    <w:rsid w:val="00E970ED"/>
    <w:rsid w:val="00EC6A48"/>
    <w:rsid w:val="00ED2F7B"/>
    <w:rsid w:val="00EF1834"/>
    <w:rsid w:val="00EF1C02"/>
    <w:rsid w:val="00EF7950"/>
    <w:rsid w:val="00F13351"/>
    <w:rsid w:val="00F13B1F"/>
    <w:rsid w:val="00F175AF"/>
    <w:rsid w:val="00F2100A"/>
    <w:rsid w:val="00F21C69"/>
    <w:rsid w:val="00F32A05"/>
    <w:rsid w:val="00F54C07"/>
    <w:rsid w:val="00F754BB"/>
    <w:rsid w:val="00F77F05"/>
    <w:rsid w:val="00F846BB"/>
    <w:rsid w:val="00F85837"/>
    <w:rsid w:val="00FA1D59"/>
    <w:rsid w:val="00FB7C5B"/>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a.embl-hamburg.de/gnnom.php" TargetMode="External"/><Relationship Id="rId13" Type="http://schemas.openxmlformats.org/officeDocument/2006/relationships/image" Target="media/image4.png"/><Relationship Id="rId18" Type="http://schemas.openxmlformats.org/officeDocument/2006/relationships/hyperlink" Target="https://www.cell.com/structure/article-typ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ra.embl-hamburg.de/gnnom.php" TargetMode="Externa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2.png"/><Relationship Id="rId5" Type="http://schemas.openxmlformats.org/officeDocument/2006/relationships/hyperlink" Target="mailto:svergun@embl-hamburg.de" TargetMode="External"/><Relationship Id="rId15" Type="http://schemas.openxmlformats.org/officeDocument/2006/relationships/chart" Target="charts/chart1.xml"/><Relationship Id="rId10" Type="http://schemas.openxmlformats.org/officeDocument/2006/relationships/hyperlink" Target="http://www.rcsb.org" TargetMode="External"/><Relationship Id="rId19" Type="http://schemas.openxmlformats.org/officeDocument/2006/relationships/hyperlink" Target="https://www.editorialmanager.com/structure/default.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Nextcloud\NN-data\life_without_hetatoms\7k-norm-i0\angular-range-a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mw!$B$1</c:f>
              <c:strCache>
                <c:ptCount val="1"/>
                <c:pt idx="0">
                  <c:v>Volume of correlation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mw!$B$2:$B$8</c:f>
              <c:numCache>
                <c:formatCode>0.00%</c:formatCode>
                <c:ptCount val="7"/>
                <c:pt idx="0">
                  <c:v>0.1283</c:v>
                </c:pt>
                <c:pt idx="1">
                  <c:v>0.126</c:v>
                </c:pt>
                <c:pt idx="2">
                  <c:v>0.12429999999999999</c:v>
                </c:pt>
                <c:pt idx="3">
                  <c:v>0.1249</c:v>
                </c:pt>
                <c:pt idx="4">
                  <c:v>0.12479999999999999</c:v>
                </c:pt>
                <c:pt idx="5">
                  <c:v>0.12509999999999999</c:v>
                </c:pt>
                <c:pt idx="6">
                  <c:v>0.12479999999999999</c:v>
                </c:pt>
              </c:numCache>
            </c:numRef>
          </c:yVal>
          <c:smooth val="0"/>
          <c:extLst>
            <c:ext xmlns:c16="http://schemas.microsoft.com/office/drawing/2014/chart" uri="{C3380CC4-5D6E-409C-BE32-E72D297353CC}">
              <c16:uniqueId val="{00000000-78FA-4C88-ABF1-54C108BC67B9}"/>
            </c:ext>
          </c:extLst>
        </c:ser>
        <c:ser>
          <c:idx val="1"/>
          <c:order val="1"/>
          <c:tx>
            <c:strRef>
              <c:f>mw!$C$1</c:f>
              <c:strCache>
                <c:ptCount val="1"/>
                <c:pt idx="0">
                  <c:v>Porod invariant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mw!$C$2:$C$8</c:f>
              <c:numCache>
                <c:formatCode>0.00%</c:formatCode>
                <c:ptCount val="7"/>
                <c:pt idx="0">
                  <c:v>0.189</c:v>
                </c:pt>
                <c:pt idx="1">
                  <c:v>0.1807</c:v>
                </c:pt>
                <c:pt idx="2">
                  <c:v>0.1721</c:v>
                </c:pt>
                <c:pt idx="3">
                  <c:v>0.16889999999999999</c:v>
                </c:pt>
                <c:pt idx="4">
                  <c:v>0.16750000000000001</c:v>
                </c:pt>
                <c:pt idx="5">
                  <c:v>0.1694</c:v>
                </c:pt>
                <c:pt idx="6">
                  <c:v>0.16800000000000001</c:v>
                </c:pt>
              </c:numCache>
            </c:numRef>
          </c:yVal>
          <c:smooth val="0"/>
          <c:extLst>
            <c:ext xmlns:c16="http://schemas.microsoft.com/office/drawing/2014/chart" uri="{C3380CC4-5D6E-409C-BE32-E72D297353CC}">
              <c16:uniqueId val="{00000001-78FA-4C88-ABF1-54C108BC67B9}"/>
            </c:ext>
          </c:extLst>
        </c:ser>
        <c:ser>
          <c:idx val="2"/>
          <c:order val="2"/>
          <c:tx>
            <c:strRef>
              <c:f>mw!$D$1</c:f>
              <c:strCache>
                <c:ptCount val="1"/>
                <c:pt idx="0">
                  <c:v>DATCLASS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mw!$D$2:$D$8</c:f>
              <c:numCache>
                <c:formatCode>0.00%</c:formatCode>
                <c:ptCount val="7"/>
                <c:pt idx="0">
                  <c:v>0.12139999999999999</c:v>
                </c:pt>
                <c:pt idx="1">
                  <c:v>0.1053</c:v>
                </c:pt>
                <c:pt idx="2">
                  <c:v>0.1079</c:v>
                </c:pt>
                <c:pt idx="3">
                  <c:v>0.1124</c:v>
                </c:pt>
                <c:pt idx="4">
                  <c:v>0.1076</c:v>
                </c:pt>
                <c:pt idx="5">
                  <c:v>0.10929999999999999</c:v>
                </c:pt>
                <c:pt idx="6">
                  <c:v>0.1057</c:v>
                </c:pt>
              </c:numCache>
            </c:numRef>
          </c:yVal>
          <c:smooth val="0"/>
          <c:extLst>
            <c:ext xmlns:c16="http://schemas.microsoft.com/office/drawing/2014/chart" uri="{C3380CC4-5D6E-409C-BE32-E72D297353CC}">
              <c16:uniqueId val="{00000002-78FA-4C88-ABF1-54C108BC67B9}"/>
            </c:ext>
          </c:extLst>
        </c:ser>
        <c:ser>
          <c:idx val="3"/>
          <c:order val="3"/>
          <c:tx>
            <c:strRef>
              <c:f>mw!$F$1</c:f>
              <c:strCache>
                <c:ptCount val="1"/>
                <c:pt idx="0">
                  <c:v>SAXSMoW</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mw!$F$2:$F$8</c:f>
              <c:numCache>
                <c:formatCode>0.00%</c:formatCode>
                <c:ptCount val="7"/>
                <c:pt idx="0">
                  <c:v>0.19689999999999999</c:v>
                </c:pt>
                <c:pt idx="1">
                  <c:v>0.1908</c:v>
                </c:pt>
                <c:pt idx="2">
                  <c:v>0.18990000000000001</c:v>
                </c:pt>
                <c:pt idx="3">
                  <c:v>0.189</c:v>
                </c:pt>
                <c:pt idx="4">
                  <c:v>0.18940000000000001</c:v>
                </c:pt>
                <c:pt idx="5">
                  <c:v>0.1893</c:v>
                </c:pt>
                <c:pt idx="6">
                  <c:v>0.18920000000000001</c:v>
                </c:pt>
              </c:numCache>
            </c:numRef>
          </c:yVal>
          <c:smooth val="0"/>
          <c:extLst>
            <c:ext xmlns:c16="http://schemas.microsoft.com/office/drawing/2014/chart" uri="{C3380CC4-5D6E-409C-BE32-E72D297353CC}">
              <c16:uniqueId val="{00000003-78FA-4C88-ABF1-54C108BC67B9}"/>
            </c:ext>
          </c:extLst>
        </c:ser>
        <c:ser>
          <c:idx val="4"/>
          <c:order val="4"/>
          <c:tx>
            <c:strRef>
              <c:f>mw!$E$1</c:f>
              <c:strCache>
                <c:ptCount val="1"/>
                <c:pt idx="0">
                  <c:v>Bayes inference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mw!$E$2:$E$8</c:f>
              <c:numCache>
                <c:formatCode>0.00%</c:formatCode>
                <c:ptCount val="7"/>
                <c:pt idx="0">
                  <c:v>0.113</c:v>
                </c:pt>
                <c:pt idx="1">
                  <c:v>8.8300000000000003E-2</c:v>
                </c:pt>
                <c:pt idx="2">
                  <c:v>8.8700000000000001E-2</c:v>
                </c:pt>
                <c:pt idx="3">
                  <c:v>8.6300000000000002E-2</c:v>
                </c:pt>
                <c:pt idx="4">
                  <c:v>9.01E-2</c:v>
                </c:pt>
                <c:pt idx="5">
                  <c:v>0.09</c:v>
                </c:pt>
                <c:pt idx="6">
                  <c:v>8.9899999999999994E-2</c:v>
                </c:pt>
              </c:numCache>
            </c:numRef>
          </c:yVal>
          <c:smooth val="0"/>
          <c:extLst>
            <c:ext xmlns:c16="http://schemas.microsoft.com/office/drawing/2014/chart" uri="{C3380CC4-5D6E-409C-BE32-E72D297353CC}">
              <c16:uniqueId val="{00000004-78FA-4C88-ABF1-54C108BC67B9}"/>
            </c:ext>
          </c:extLst>
        </c:ser>
        <c:ser>
          <c:idx val="5"/>
          <c:order val="5"/>
          <c:tx>
            <c:strRef>
              <c:f>mw!$G$1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mw!$G$2:$G$8</c:f>
              <c:numCache>
                <c:formatCode>0.00%</c:formatCode>
                <c:ptCount val="7"/>
                <c:pt idx="0">
                  <c:v>8.5800000000000001E-2</c:v>
                </c:pt>
                <c:pt idx="1">
                  <c:v>5.91E-2</c:v>
                </c:pt>
                <c:pt idx="2">
                  <c:v>4.9399999999999999E-2</c:v>
                </c:pt>
                <c:pt idx="3">
                  <c:v>4.5900000000000003E-2</c:v>
                </c:pt>
                <c:pt idx="4">
                  <c:v>4.5100000000000001E-2</c:v>
                </c:pt>
                <c:pt idx="5">
                  <c:v>4.4900000000000002E-2</c:v>
                </c:pt>
                <c:pt idx="6">
                  <c:v>4.4900000000000002E-2</c:v>
                </c:pt>
              </c:numCache>
            </c:numRef>
          </c:yVal>
          <c:smooth val="0"/>
          <c:extLst>
            <c:ext xmlns:c16="http://schemas.microsoft.com/office/drawing/2014/chart" uri="{C3380CC4-5D6E-409C-BE32-E72D297353CC}">
              <c16:uniqueId val="{00000005-78FA-4C88-ABF1-54C108BC67B9}"/>
            </c:ext>
          </c:extLst>
        </c:ser>
        <c:dLbls>
          <c:showLegendKey val="0"/>
          <c:showVal val="0"/>
          <c:showCatName val="0"/>
          <c:showSerName val="0"/>
          <c:showPercent val="0"/>
          <c:showBubbleSize val="0"/>
        </c:dLbls>
        <c:axId val="1393752463"/>
        <c:axId val="1394374607"/>
      </c:scatterChart>
      <c:valAx>
        <c:axId val="139375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Simulated 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74607"/>
        <c:crosses val="autoZero"/>
        <c:crossBetween val="midCat"/>
      </c:valAx>
      <c:valAx>
        <c:axId val="139437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Average</a:t>
                </a:r>
                <a:r>
                  <a:rPr lang="en-US" sz="1400" i="0" baseline="0">
                    <a:effectLst/>
                  </a:rPr>
                  <a:t> relative error (MW)</a:t>
                </a:r>
                <a:endParaRPr lang="en-US" sz="1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37524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dmax!$B$1</c:f>
              <c:strCache>
                <c:ptCount val="1"/>
                <c:pt idx="0">
                  <c:v>DATGNOM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dmax!$B$2:$B$8</c:f>
              <c:numCache>
                <c:formatCode>0.00%</c:formatCode>
                <c:ptCount val="7"/>
                <c:pt idx="0">
                  <c:v>0.114</c:v>
                </c:pt>
                <c:pt idx="1">
                  <c:v>8.9399999999999993E-2</c:v>
                </c:pt>
                <c:pt idx="2">
                  <c:v>7.4499999999999997E-2</c:v>
                </c:pt>
                <c:pt idx="3">
                  <c:v>6.2100000000000002E-2</c:v>
                </c:pt>
                <c:pt idx="4">
                  <c:v>4.9799999999999997E-2</c:v>
                </c:pt>
                <c:pt idx="5">
                  <c:v>4.4200000000000003E-2</c:v>
                </c:pt>
                <c:pt idx="6">
                  <c:v>4.3999999999999997E-2</c:v>
                </c:pt>
              </c:numCache>
            </c:numRef>
          </c:yVal>
          <c:smooth val="0"/>
          <c:extLst>
            <c:ext xmlns:c16="http://schemas.microsoft.com/office/drawing/2014/chart" uri="{C3380CC4-5D6E-409C-BE32-E72D297353CC}">
              <c16:uniqueId val="{00000000-42B5-4A52-9019-4822B543CDB0}"/>
            </c:ext>
          </c:extLst>
        </c:ser>
        <c:ser>
          <c:idx val="1"/>
          <c:order val="1"/>
          <c:tx>
            <c:strRef>
              <c:f>dmax!$C$1</c:f>
              <c:strCache>
                <c:ptCount val="1"/>
                <c:pt idx="0">
                  <c:v>DATCLASS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dmax!$C$2:$C$8</c:f>
              <c:numCache>
                <c:formatCode>0.00%</c:formatCode>
                <c:ptCount val="7"/>
                <c:pt idx="0">
                  <c:v>7.6899999999999996E-2</c:v>
                </c:pt>
                <c:pt idx="1">
                  <c:v>6.4199999999999993E-2</c:v>
                </c:pt>
                <c:pt idx="2">
                  <c:v>5.5800000000000002E-2</c:v>
                </c:pt>
                <c:pt idx="3">
                  <c:v>5.4899999999999997E-2</c:v>
                </c:pt>
                <c:pt idx="4">
                  <c:v>5.2900000000000003E-2</c:v>
                </c:pt>
                <c:pt idx="5">
                  <c:v>5.2400000000000002E-2</c:v>
                </c:pt>
                <c:pt idx="6">
                  <c:v>5.28E-2</c:v>
                </c:pt>
              </c:numCache>
            </c:numRef>
          </c:yVal>
          <c:smooth val="0"/>
          <c:extLst>
            <c:ext xmlns:c16="http://schemas.microsoft.com/office/drawing/2014/chart" uri="{C3380CC4-5D6E-409C-BE32-E72D297353CC}">
              <c16:uniqueId val="{00000001-42B5-4A52-9019-4822B543CDB0}"/>
            </c:ext>
          </c:extLst>
        </c:ser>
        <c:ser>
          <c:idx val="2"/>
          <c:order val="2"/>
          <c:tx>
            <c:strRef>
              <c:f>dmax!$D$1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dmax!$D$2:$D$8</c:f>
              <c:numCache>
                <c:formatCode>0.00%</c:formatCode>
                <c:ptCount val="7"/>
                <c:pt idx="0">
                  <c:v>5.9700000000000003E-2</c:v>
                </c:pt>
                <c:pt idx="1">
                  <c:v>4.24E-2</c:v>
                </c:pt>
                <c:pt idx="2">
                  <c:v>3.61E-2</c:v>
                </c:pt>
                <c:pt idx="3">
                  <c:v>3.3799999999999997E-2</c:v>
                </c:pt>
                <c:pt idx="4">
                  <c:v>3.4000000000000002E-2</c:v>
                </c:pt>
                <c:pt idx="5">
                  <c:v>3.3700000000000001E-2</c:v>
                </c:pt>
                <c:pt idx="6">
                  <c:v>3.3700000000000001E-2</c:v>
                </c:pt>
              </c:numCache>
            </c:numRef>
          </c:yVal>
          <c:smooth val="0"/>
          <c:extLst>
            <c:ext xmlns:c16="http://schemas.microsoft.com/office/drawing/2014/chart" uri="{C3380CC4-5D6E-409C-BE32-E72D297353CC}">
              <c16:uniqueId val="{00000002-42B5-4A52-9019-4822B543CDB0}"/>
            </c:ext>
          </c:extLst>
        </c:ser>
        <c:dLbls>
          <c:showLegendKey val="0"/>
          <c:showVal val="0"/>
          <c:showCatName val="0"/>
          <c:showSerName val="0"/>
          <c:showPercent val="0"/>
          <c:showBubbleSize val="0"/>
        </c:dLbls>
        <c:axId val="1399375743"/>
        <c:axId val="1394333007"/>
      </c:scatterChart>
      <c:valAx>
        <c:axId val="139937574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Simulated concentration, mg/ml</a:t>
                </a:r>
                <a:endParaRPr lang="en-1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33007"/>
        <c:crosses val="autoZero"/>
        <c:crossBetween val="midCat"/>
      </c:valAx>
      <c:valAx>
        <c:axId val="139433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Average relative error (Dmax)</a:t>
                </a:r>
                <a:endParaRPr lang="en-1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93757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MW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Sheet1!$B$2:$B$10</c:f>
              <c:numCache>
                <c:formatCode>General</c:formatCode>
                <c:ptCount val="9"/>
                <c:pt idx="0">
                  <c:v>2.5939999999999999</c:v>
                </c:pt>
                <c:pt idx="1">
                  <c:v>2.63</c:v>
                </c:pt>
                <c:pt idx="2">
                  <c:v>2.661</c:v>
                </c:pt>
                <c:pt idx="3">
                  <c:v>3.3210000000000002</c:v>
                </c:pt>
                <c:pt idx="4">
                  <c:v>3.4350000000000001</c:v>
                </c:pt>
                <c:pt idx="5">
                  <c:v>3.7639999999999998</c:v>
                </c:pt>
                <c:pt idx="6">
                  <c:v>7.2249999999999996</c:v>
                </c:pt>
                <c:pt idx="7">
                  <c:v>11.997</c:v>
                </c:pt>
                <c:pt idx="8">
                  <c:v>20.114999999999998</c:v>
                </c:pt>
              </c:numCache>
            </c:numRef>
          </c:yVal>
          <c:smooth val="0"/>
          <c:extLst>
            <c:ext xmlns:c16="http://schemas.microsoft.com/office/drawing/2014/chart" uri="{C3380CC4-5D6E-409C-BE32-E72D297353CC}">
              <c16:uniqueId val="{00000000-288E-404B-BEC9-F6E3818B871E}"/>
            </c:ext>
          </c:extLst>
        </c:ser>
        <c:ser>
          <c:idx val="1"/>
          <c:order val="1"/>
          <c:tx>
            <c:strRef>
              <c:f>Sheet1!$C$1</c:f>
              <c:strCache>
                <c:ptCount val="1"/>
                <c:pt idx="0">
                  <c:v>Dmax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Sheet1!$C$2:$C$10</c:f>
              <c:numCache>
                <c:formatCode>General</c:formatCode>
                <c:ptCount val="9"/>
                <c:pt idx="0">
                  <c:v>3.7269999999999999</c:v>
                </c:pt>
                <c:pt idx="1">
                  <c:v>3.7040000000000002</c:v>
                </c:pt>
                <c:pt idx="2">
                  <c:v>3.778</c:v>
                </c:pt>
                <c:pt idx="3">
                  <c:v>3.6240000000000001</c:v>
                </c:pt>
                <c:pt idx="4">
                  <c:v>3.6269999999999998</c:v>
                </c:pt>
                <c:pt idx="5">
                  <c:v>3.88</c:v>
                </c:pt>
                <c:pt idx="6">
                  <c:v>4.056</c:v>
                </c:pt>
                <c:pt idx="7">
                  <c:v>4.742</c:v>
                </c:pt>
                <c:pt idx="8">
                  <c:v>6.548</c:v>
                </c:pt>
              </c:numCache>
            </c:numRef>
          </c:yVal>
          <c:smooth val="0"/>
          <c:extLst>
            <c:ext xmlns:c16="http://schemas.microsoft.com/office/drawing/2014/chart" uri="{C3380CC4-5D6E-409C-BE32-E72D297353CC}">
              <c16:uniqueId val="{00000001-288E-404B-BEC9-F6E3818B871E}"/>
            </c:ext>
          </c:extLst>
        </c:ser>
        <c:dLbls>
          <c:showLegendKey val="0"/>
          <c:showVal val="0"/>
          <c:showCatName val="0"/>
          <c:showSerName val="0"/>
          <c:showPercent val="0"/>
          <c:showBubbleSize val="0"/>
        </c:dLbls>
        <c:axId val="1834030223"/>
        <c:axId val="1834034719"/>
      </c:scatterChart>
      <c:valAx>
        <c:axId val="1834030223"/>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r>
                  <a:rPr lang="en-US" baseline="0"/>
                  <a:t>max</a:t>
                </a:r>
                <a:r>
                  <a:rPr lang="en-US"/>
                  <a:t>,</a:t>
                </a:r>
                <a:r>
                  <a:rPr lang="en-US" baseline="0"/>
                  <a:t> nm</a:t>
                </a:r>
                <a:r>
                  <a:rPr lang="en-US" baseline="30000"/>
                  <a:t>-1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4719"/>
        <c:crosses val="autoZero"/>
        <c:crossBetween val="midCat"/>
      </c:valAx>
      <c:valAx>
        <c:axId val="1834034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relative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02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39BF-73EB-4CB0-ABDF-D1A90E22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Pages>10</Pages>
  <Words>11785</Words>
  <Characters>67177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196</cp:revision>
  <dcterms:created xsi:type="dcterms:W3CDTF">2020-05-05T09:54:00Z</dcterms:created>
  <dcterms:modified xsi:type="dcterms:W3CDTF">2021-07-06T13:00:00Z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