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2"/>
          <w:szCs w:val="22"/>
          <w:color w:val="000000"/>
        </w:rPr>
        <w:t xml:space="preserve">Table 1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br/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Fixed Effects for Interoception Choice Model (Drug Interaction + Trial Control)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152"/>
        <w:gridCol w:w="1152"/>
        <w:gridCol w:w="1728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CI_95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Bisoprolol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[0.42, 0.88]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Drug: Propranolol (vs Placebo)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[0.41, 0.83]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Listen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[-0.99, -0.36]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Response BPM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[2.69, 3.39]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Trial Number (Scaled)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.001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Bisoprolol × Listen BPM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Propranolol × Listen BPM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0.58]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3.01</w:t>
            </w:r>
          </w:p>
        </w:tc>
        <w:tc>
          <w:tcPr>
            <w:tcBorders>
              <w:bottom w:val="single" w:sz="1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Note. B = unstandardized coefficient (log-odds scale); SE = standard error; CI_95 = 95% confidence interval. Predictors are standardized. Reference level for Drug is Placebo. Model: Response ~ drugs * listenBPM + responseBPM + nTrials + (RE).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2025-11-29T09:24:27Z</dcterms:modified>
  <cp:category/>
</cp:coreProperties>
</file>