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000000"/>
        </w:rPr>
        <w:t xml:space="preserve">Table 1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br/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Fixed Effects for Interoception Choice Model (Drug Interaction + Trial Control)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00"/>
        <w:gridCol w:w="1152"/>
        <w:gridCol w:w="1152"/>
        <w:gridCol w:w="1728"/>
        <w:gridCol w:w="1152"/>
        <w:gridCol w:w="1152"/>
      </w:tblGrid>
      <w:tr>
        <w:trPr>
          <w:trHeight w:val="360" w:hRule="auto"/>
          <w:tblHeader/>
        </w:trPr>
        header 1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CI_95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[0.19, 0.54]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Drug: Bisoprolol (vs Placebo)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[-0.10, 0.25]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Drug: Propranolol (vs Placebo)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[0.03, 0.37]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Listen BPM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[-0.44, -0.14]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Response BPM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[3.05, 3.68]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Trial Number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[0.21, 0.36]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Visit 2 (vs Visit 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[-0.21, 0.13]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Visit 3 (vs Visit 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[-0.36, -0.02]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Bisoprolol × Listen BPM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[-0.09, 0.27]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Propranolol × Listen BPM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[0.01, 0.37]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2.05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Note. B = unstandardized coefficient (log-odds scale); SE = standard error; CI_95 = 95% confidence interval. Predictors are standardized. Reference level for Drug is Placebo. Model: Response ~ drugs * listenBPM + responseBPM + nTrials + (RE).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2025-11-29T09:40:00Z</dcterms:modified>
  <cp:category/>
</cp:coreProperties>
</file>