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Significant Edges for Factor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Region 1</w:t>
            </w:r>
          </w:p>
        </w:tc>
        <w:tc>
          <w:tcPr>
            <w:tcW w:type="dxa" w:w="1440"/>
          </w:tcPr>
          <w:p>
            <w:r>
              <w:t>Region 2</w:t>
            </w:r>
          </w:p>
        </w:tc>
        <w:tc>
          <w:tcPr>
            <w:tcW w:type="dxa" w:w="1440"/>
          </w:tcPr>
          <w:p>
            <w:r>
              <w:t>Network 1</w:t>
            </w:r>
          </w:p>
        </w:tc>
        <w:tc>
          <w:tcPr>
            <w:tcW w:type="dxa" w:w="1440"/>
          </w:tcPr>
          <w:p>
            <w:r>
              <w:t>Network 2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Lateral Occipital Cortex Sup R</w:t>
            </w:r>
          </w:p>
        </w:tc>
        <w:tc>
          <w:tcPr>
            <w:tcW w:type="dxa" w:w="1440"/>
          </w:tcPr>
          <w:p>
            <w:r>
              <w:t>Pallidum R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Subcortical</w:t>
            </w:r>
          </w:p>
        </w:tc>
        <w:tc>
          <w:tcPr>
            <w:tcW w:type="dxa" w:w="1440"/>
          </w:tcPr>
          <w:p>
            <w:r>
              <w:t>4.732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</w:tr>
    </w:tbl>
    <w:p>
      <w:r>
        <w:t xml:space="preserve">Note. Values reflect significant edges from the permutation-based mass-univariate ordinary least squares analysis (Factor 1).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