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satisfacer las responsabilidades de </w:t>
      </w:r>
      <w:r w:rsidDel="00000000" w:rsidR="00000000" w:rsidRPr="00000000">
        <w:rPr>
          <w:b w:val="1"/>
          <w:bCs w:val="1"/>
          <w:rtl w:val="0"/>
        </w:rPr>
        <w:t xml:space="preserve">Cross-functional Communication</w:t>
      </w:r>
      <w:r w:rsidDel="00000000" w:rsidR="00000000" w:rsidRPr="00000000">
        <w:rPr>
          <w:rtl w:val="0"/>
        </w:rPr>
        <w:t xml:space="preserve"> (Alineación entre Negocio y Tecnología) y </w:t>
      </w:r>
      <w:r w:rsidDel="00000000" w:rsidR="00000000" w:rsidRPr="00000000">
        <w:rPr>
          <w:b w:val="1"/>
          <w:bCs w:val="1"/>
          <w:rtl w:val="0"/>
        </w:rPr>
        <w:t xml:space="preserve">Expectation Management</w:t>
      </w:r>
      <w:r w:rsidDel="00000000" w:rsidR="00000000" w:rsidRPr="00000000">
        <w:rPr>
          <w:rtl w:val="0"/>
        </w:rPr>
        <w:t xml:space="preserve"> (Gestión de Expectativas), actuando como el puente principal y asegurando una comunicación clara y proactiva, puedes implementar el siguiente workflow estructurado en 5 fases: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Mapeo de Stakeholders y Plan de Comunicación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Clasificación de Audiencias:</w:t>
      </w:r>
      <w:r w:rsidDel="00000000" w:rsidR="00000000" w:rsidRPr="00000000">
        <w:rPr>
          <w:rtl w:val="0"/>
        </w:rPr>
        <w:t xml:space="preserve"> Divide a los involucrados en dos grupos clave para evitar la sobrecarga de información: los </w:t>
      </w:r>
      <w:r w:rsidDel="00000000" w:rsidR="00000000" w:rsidRPr="00000000">
        <w:rPr>
          <w:b w:val="1"/>
          <w:bCs w:val="1"/>
          <w:rtl w:val="0"/>
        </w:rPr>
        <w:t xml:space="preserve">"Contribuidores"</w:t>
      </w:r>
      <w:r w:rsidDel="00000000" w:rsidR="00000000" w:rsidRPr="00000000">
        <w:rPr>
          <w:rtl w:val="0"/>
        </w:rPr>
        <w:t xml:space="preserve"> (el equipo de ingeniería responsable de la entrega) y los </w:t>
      </w:r>
      <w:r w:rsidDel="00000000" w:rsidR="00000000" w:rsidRPr="00000000">
        <w:rPr>
          <w:b w:val="1"/>
          <w:bCs w:val="1"/>
          <w:rtl w:val="0"/>
        </w:rPr>
        <w:t xml:space="preserve">"Beneficiarios"</w:t>
      </w:r>
      <w:r w:rsidDel="00000000" w:rsidR="00000000" w:rsidRPr="00000000">
        <w:rPr>
          <w:rtl w:val="0"/>
        </w:rPr>
        <w:t xml:space="preserve"> (líderes de negocio, ventas, marketing y patrocinadores ejecutivos afectados por el proyecto) 1, 2.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Diseño del Plan de Comunicación:</w:t>
      </w:r>
      <w:r w:rsidDel="00000000" w:rsidR="00000000" w:rsidRPr="00000000">
        <w:rPr>
          <w:rtl w:val="0"/>
        </w:rPr>
        <w:t xml:space="preserve"> Establece desde el inicio un plan que defina </w:t>
      </w:r>
      <w:r w:rsidDel="00000000" w:rsidR="00000000" w:rsidRPr="00000000">
        <w:rPr>
          <w:i w:val="1"/>
          <w:iCs w:val="1"/>
          <w:rtl w:val="0"/>
        </w:rPr>
        <w:t xml:space="preserve">quién</w:t>
      </w:r>
      <w:r w:rsidDel="00000000" w:rsidR="00000000" w:rsidRPr="00000000">
        <w:rPr>
          <w:rtl w:val="0"/>
        </w:rPr>
        <w:t xml:space="preserve"> necesita saber </w:t>
      </w:r>
      <w:r w:rsidDel="00000000" w:rsidR="00000000" w:rsidRPr="00000000">
        <w:rPr>
          <w:i w:val="1"/>
          <w:i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cuándo</w:t>
      </w:r>
      <w:r w:rsidDel="00000000" w:rsidR="00000000" w:rsidRPr="00000000">
        <w:rPr>
          <w:rtl w:val="0"/>
        </w:rPr>
        <w:t xml:space="preserve"> y a través de </w:t>
      </w:r>
      <w:r w:rsidDel="00000000" w:rsidR="00000000" w:rsidRPr="00000000">
        <w:rPr>
          <w:i w:val="1"/>
          <w:iCs w:val="1"/>
          <w:rtl w:val="0"/>
        </w:rPr>
        <w:t xml:space="preserve">qué canal</w:t>
      </w:r>
      <w:r w:rsidDel="00000000" w:rsidR="00000000" w:rsidRPr="00000000">
        <w:rPr>
          <w:rtl w:val="0"/>
        </w:rPr>
        <w:t xml:space="preserve"> 3. Esto previene malentendidos y garantiza que cada grupo reciba solo la información relevante para su rol 4.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Traducción y Alineación Inicial (Business &amp; Tech Alignment)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Establecer una "Única Fuente de Verdad":</w:t>
      </w:r>
      <w:r w:rsidDel="00000000" w:rsidR="00000000" w:rsidRPr="00000000">
        <w:rPr>
          <w:rtl w:val="0"/>
        </w:rPr>
        <w:t xml:space="preserve"> Configura un espacio de trabajo centralizado (como Jira, Confluence o Mural) donde se documenten las decisiones, prioridades y el progreso 5, 6. Esto elimina los silos de información fragmentada en correos o chats 6.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Kick-off de Expectativas:</w:t>
      </w:r>
      <w:r w:rsidDel="00000000" w:rsidR="00000000" w:rsidRPr="00000000">
        <w:rPr>
          <w:rtl w:val="0"/>
        </w:rPr>
        <w:t xml:space="preserve"> Inicia los proyectos con una comunicación clara que traduzca los objetivos comerciales (el "Qué" y el "Por qué") en limitaciones técnicas (el "Cómo"). Define qué se entregará, para cuándo y, fundamentalmente, bajo qué suposiciones y restricciones se está trabajando para fijar expectativas realistas desde el día uno 7-9.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Cadencia de Comunicación Diferenciada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los Ingenieros (Sincronización Operativa):</w:t>
      </w:r>
      <w:r w:rsidDel="00000000" w:rsidR="00000000" w:rsidRPr="00000000">
        <w:rPr>
          <w:rtl w:val="0"/>
        </w:rPr>
        <w:t xml:space="preserve"> Mantén actualizaciones frecuentes y detalladas mediante </w:t>
      </w:r>
      <w:r w:rsidDel="00000000" w:rsidR="00000000" w:rsidRPr="00000000">
        <w:rPr>
          <w:i w:val="1"/>
          <w:iCs w:val="1"/>
          <w:rtl w:val="0"/>
        </w:rPr>
        <w:t xml:space="preserve">daily stand-ups</w:t>
      </w:r>
      <w:r w:rsidDel="00000000" w:rsidR="00000000" w:rsidRPr="00000000">
        <w:rPr>
          <w:rtl w:val="0"/>
        </w:rPr>
        <w:t xml:space="preserve"> o tableros Kanban. Enfócate en resolver bloqueos técnicos, discutir dependencias en profundidad y gestionar el trabajo a nivel de tareas 4.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el Negocio (Visibilidad Estratégica):</w:t>
      </w:r>
      <w:r w:rsidDel="00000000" w:rsidR="00000000" w:rsidRPr="00000000">
        <w:rPr>
          <w:rtl w:val="0"/>
        </w:rPr>
        <w:t xml:space="preserve"> Proporciona actualizaciones asíncronas (semanales o mensuales) de alto nivel 4. Utiliza indicadores visuales de salud del proyecto, como el </w:t>
      </w:r>
      <w:r w:rsidDel="00000000" w:rsidR="00000000" w:rsidRPr="00000000">
        <w:rPr>
          <w:b w:val="1"/>
          <w:bCs w:val="1"/>
          <w:rtl w:val="0"/>
        </w:rPr>
        <w:t xml:space="preserve">sistema RAG (Rojo, Ámbar, Verde)</w:t>
      </w:r>
      <w:r w:rsidDel="00000000" w:rsidR="00000000" w:rsidRPr="00000000">
        <w:rPr>
          <w:rtl w:val="0"/>
        </w:rPr>
        <w:t xml:space="preserve">, para comunicar rápidamente si un hito está en curso, en riesgo o desviado 10, 11. Evita los detalles técnicos innecesarios y céntrate en el impacto comercial y las fechas clave 4.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4: Gestión Proactiva de Retrasos y Cambios (Expectation Management)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Notificación Temprana:</w:t>
      </w:r>
      <w:r w:rsidDel="00000000" w:rsidR="00000000" w:rsidRPr="00000000">
        <w:rPr>
          <w:rtl w:val="0"/>
        </w:rPr>
        <w:t xml:space="preserve"> Si surge un riesgo de retraso o un cambio de alcance, comunícalo a los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inmediatamente. Esperar a que el problema sea inmanejable destruye la confianza 12.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Enfoque en Soluciones (No en Excusas):</w:t>
      </w:r>
      <w:r w:rsidDel="00000000" w:rsidR="00000000" w:rsidRPr="00000000">
        <w:rPr>
          <w:rtl w:val="0"/>
        </w:rPr>
        <w:t xml:space="preserve"> Al presentar un cambio o retraso, estructura tu comunicación en cuatro pasos: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Problema → Impacto → Mitigación → Solicitud</w:t>
      </w:r>
      <w:r w:rsidDel="00000000" w:rsidR="00000000" w:rsidRPr="00000000">
        <w:rPr>
          <w:rtl w:val="0"/>
        </w:rPr>
        <w:t xml:space="preserve"> 13. A los líderes de negocio les interesa saber cómo vas a volver a encarrilar el proyecto, no justificaciones técnicas excesivas 14, 15.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Cultura sin Culpas ("No Finger-Pointing"):</w:t>
      </w:r>
      <w:r w:rsidDel="00000000" w:rsidR="00000000" w:rsidRPr="00000000">
        <w:rPr>
          <w:rtl w:val="0"/>
        </w:rPr>
        <w:t xml:space="preserve"> Mantén un tono positivo y objetivo. Evita culpar a individuos o equipos específicos por los retrasos frente a los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; cualquier problema de rendimiento individual debe tratarse en privado para mantener la integridad del equipo 16, 17.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5: Visibilidad en Tiempo Real mediante Dashboards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Implementación de Paneles de Control (Dashboards):</w:t>
      </w:r>
      <w:r w:rsidDel="00000000" w:rsidR="00000000" w:rsidRPr="00000000">
        <w:rPr>
          <w:rtl w:val="0"/>
        </w:rPr>
        <w:t xml:space="preserve"> Utiliza herramientas de gestión que consoliden el presupuesto, el cronograma y el uso de recursos en una interfaz visual que se actualice en tiempo real 18, 19.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Fomento de la Autogestión:</w:t>
      </w:r>
      <w:r w:rsidDel="00000000" w:rsidR="00000000" w:rsidRPr="00000000">
        <w:rPr>
          <w:rtl w:val="0"/>
        </w:rPr>
        <w:t xml:space="preserve"> Al dar acceso a los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a estos paneles (adaptados a su rol), permites que revisen el estado del proyecto bajo demanda, reduciendo la necesidad de reuniones constantes de actualización y asegurando una alineación continua 20.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