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satisfacer las responsabilidades de </w:t>
      </w:r>
      <w:r w:rsidDel="00000000" w:rsidR="00000000" w:rsidRPr="00000000">
        <w:rPr>
          <w:b w:val="1"/>
          <w:bCs w:val="1"/>
          <w:rtl w:val="0"/>
        </w:rPr>
        <w:t xml:space="preserve">Capacity &amp; Resource Planning</w:t>
      </w:r>
      <w:r w:rsidDel="00000000" w:rsidR="00000000" w:rsidRPr="00000000">
        <w:rPr>
          <w:rtl w:val="0"/>
        </w:rPr>
        <w:t xml:space="preserve"> dentro de </w:t>
      </w:r>
      <w:r w:rsidDel="00000000" w:rsidR="00000000" w:rsidRPr="00000000">
        <w:rPr>
          <w:b w:val="1"/>
          <w:bCs w:val="1"/>
          <w:rtl w:val="0"/>
        </w:rPr>
        <w:t xml:space="preserve">Engineering Operations</w:t>
      </w:r>
      <w:r w:rsidDel="00000000" w:rsidR="00000000" w:rsidRPr="00000000">
        <w:rPr>
          <w:rtl w:val="0"/>
        </w:rPr>
        <w:t xml:space="preserve">, garantizando que se evalúe la capacidad con precisión, se equilibren las iniciativas y se ajusten proactivamente los planes ante restricciones, puedes implementar el siguiente workflow estructurado en 6 fases:</w:t>
      </w:r>
    </w:p>
    <w:p w:rsidR="00000000" w:rsidDel="00000000" w:rsidP="00000000" w:rsidRDefault="00000000" w:rsidRPr="00000000" w14:paraId="00000002">
      <w:pPr>
        <w:rPr>
          <w:b w:val="1"/>
          <w:bCs w:val="1"/>
        </w:rPr>
      </w:pPr>
      <w:r w:rsidDel="00000000" w:rsidR="00000000" w:rsidRPr="00000000">
        <w:rPr>
          <w:b w:val="1"/>
          <w:bCs w:val="1"/>
          <w:rtl w:val="0"/>
        </w:rPr>
        <w:t xml:space="preserve">Fase 1: Evaluación Cuantitativa de la Capacidad Real (De Capacidad Bruta a Neta)</w:t>
      </w:r>
    </w:p>
    <w:p w:rsidR="00000000" w:rsidDel="00000000" w:rsidP="00000000" w:rsidRDefault="00000000" w:rsidRPr="00000000" w14:paraId="00000003">
      <w:pPr>
        <w:numPr>
          <w:ilvl w:val="0"/>
          <w:numId w:val="5"/>
        </w:numPr>
        <w:ind w:left="720" w:hanging="360"/>
        <w:rPr>
          <w:u w:val="none"/>
        </w:rPr>
      </w:pPr>
      <w:r w:rsidDel="00000000" w:rsidR="00000000" w:rsidRPr="00000000">
        <w:rPr>
          <w:b w:val="1"/>
          <w:bCs w:val="1"/>
          <w:rtl w:val="0"/>
        </w:rPr>
        <w:t xml:space="preserve">Cálculo de Capacidad Neta:</w:t>
      </w:r>
      <w:r w:rsidDel="00000000" w:rsidR="00000000" w:rsidRPr="00000000">
        <w:rPr>
          <w:rtl w:val="0"/>
        </w:rPr>
        <w:t xml:space="preserve"> Para alinear los compromisos de manera realista, nunca asumas que el 100% de las horas laborales son productivas 1. Pasa de la </w:t>
      </w:r>
      <w:r w:rsidDel="00000000" w:rsidR="00000000" w:rsidRPr="00000000">
        <w:rPr>
          <w:i w:val="1"/>
          <w:iCs w:val="1"/>
          <w:rtl w:val="0"/>
        </w:rPr>
        <w:t xml:space="preserve">Gross Capacity</w:t>
      </w:r>
      <w:r w:rsidDel="00000000" w:rsidR="00000000" w:rsidRPr="00000000">
        <w:rPr>
          <w:rtl w:val="0"/>
        </w:rPr>
        <w:t xml:space="preserve"> (horas totales teóricas) al </w:t>
      </w:r>
      <w:r w:rsidDel="00000000" w:rsidR="00000000" w:rsidRPr="00000000">
        <w:rPr>
          <w:i w:val="1"/>
          <w:iCs w:val="1"/>
          <w:rtl w:val="0"/>
        </w:rPr>
        <w:t xml:space="preserve">Net Productive Bandwidth</w:t>
      </w:r>
      <w:r w:rsidDel="00000000" w:rsidR="00000000" w:rsidRPr="00000000">
        <w:rPr>
          <w:rtl w:val="0"/>
        </w:rPr>
        <w:t xml:space="preserve"> restando un margen operativo o </w:t>
      </w:r>
      <w:r w:rsidDel="00000000" w:rsidR="00000000" w:rsidRPr="00000000">
        <w:rPr>
          <w:b w:val="1"/>
          <w:bCs w:val="1"/>
          <w:rtl w:val="0"/>
        </w:rPr>
        <w:t xml:space="preserve">Operational Buffer</w:t>
      </w:r>
      <w:r w:rsidDel="00000000" w:rsidR="00000000" w:rsidRPr="00000000">
        <w:rPr>
          <w:rtl w:val="0"/>
        </w:rPr>
        <w:t xml:space="preserve"> (tiempo invertido en reuniones, ceremonias de </w:t>
      </w:r>
      <w:r w:rsidDel="00000000" w:rsidR="00000000" w:rsidRPr="00000000">
        <w:rPr>
          <w:i w:val="1"/>
          <w:iCs w:val="1"/>
          <w:rtl w:val="0"/>
        </w:rPr>
        <w:t xml:space="preserve">sprint</w:t>
      </w:r>
      <w:r w:rsidDel="00000000" w:rsidR="00000000" w:rsidRPr="00000000">
        <w:rPr>
          <w:rtl w:val="0"/>
        </w:rPr>
        <w:t xml:space="preserve">, revisiones de código, rotaciones de soporte técnico y vacaciones) 1-3.</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Aplicación del Factor de Enfoque (Focus Factor):</w:t>
      </w:r>
      <w:r w:rsidDel="00000000" w:rsidR="00000000" w:rsidRPr="00000000">
        <w:rPr>
          <w:rtl w:val="0"/>
        </w:rPr>
        <w:t xml:space="preserve"> La ingeniería exige una gran concentración cognitiva. Multiplica la capacidad ajustada por un </w:t>
      </w:r>
      <w:r w:rsidDel="00000000" w:rsidR="00000000" w:rsidRPr="00000000">
        <w:rPr>
          <w:i w:val="1"/>
          <w:iCs w:val="1"/>
          <w:rtl w:val="0"/>
        </w:rPr>
        <w:t xml:space="preserve">Focus Factor</w:t>
      </w:r>
      <w:r w:rsidDel="00000000" w:rsidR="00000000" w:rsidRPr="00000000">
        <w:rPr>
          <w:rtl w:val="0"/>
        </w:rPr>
        <w:t xml:space="preserve"> (históricamente suele ser del 70% al 85% para compensar el "impuesto invisible" de los cambios de contexto e interrupciones) 4, 5.</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Reserva de Mantenimiento:</w:t>
      </w:r>
      <w:r w:rsidDel="00000000" w:rsidR="00000000" w:rsidRPr="00000000">
        <w:rPr>
          <w:rtl w:val="0"/>
        </w:rPr>
        <w:t xml:space="preserve"> Destina de forma explícita un 10-20% de esta capacidad neta para reducir deuda técnica y resolver </w:t>
      </w:r>
      <w:r w:rsidDel="00000000" w:rsidR="00000000" w:rsidRPr="00000000">
        <w:rPr>
          <w:i w:val="1"/>
          <w:iCs w:val="1"/>
          <w:rtl w:val="0"/>
        </w:rPr>
        <w:t xml:space="preserve">bugs</w:t>
      </w:r>
      <w:r w:rsidDel="00000000" w:rsidR="00000000" w:rsidRPr="00000000">
        <w:rPr>
          <w:rtl w:val="0"/>
        </w:rPr>
        <w:t xml:space="preserve">, protegiendo la salud a largo plazo del código 6, 7.</w:t>
      </w:r>
    </w:p>
    <w:p w:rsidR="00000000" w:rsidDel="00000000" w:rsidP="00000000" w:rsidRDefault="00000000" w:rsidRPr="00000000" w14:paraId="00000006">
      <w:pPr>
        <w:rPr>
          <w:b w:val="1"/>
          <w:bCs w:val="1"/>
        </w:rPr>
      </w:pPr>
      <w:r w:rsidDel="00000000" w:rsidR="00000000" w:rsidRPr="00000000">
        <w:rPr>
          <w:b w:val="1"/>
          <w:bCs w:val="1"/>
          <w:rtl w:val="0"/>
        </w:rPr>
        <w:t xml:space="preserve">Fase 2: Mapeo de Habilidades y Gestión de Recursos Especializados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Matrices de Habilidades (Skill Matrices):</w:t>
      </w:r>
      <w:r w:rsidDel="00000000" w:rsidR="00000000" w:rsidRPr="00000000">
        <w:rPr>
          <w:rtl w:val="0"/>
        </w:rPr>
        <w:t xml:space="preserve"> La capacidad no se trata solo de la cantidad de personas, sino de tener la cobertura de habilidades adecuada 8, 9. Implementa una matriz que haga visibles las competencias técnicas de cada nivel del equipo 10, 11.</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Desbloqueo de Cuellos de Botella Humanos:</w:t>
      </w:r>
      <w:r w:rsidDel="00000000" w:rsidR="00000000" w:rsidRPr="00000000">
        <w:rPr>
          <w:rtl w:val="0"/>
        </w:rPr>
        <w:t xml:space="preserve"> Identifica roles altamente especializados (como ingenieros de seguridad o DevOps) que puedan convertirse en "puntos únicos de falla" u obstaculizar iniciativas paralelas 12, 13. Equilibra la demanda priorizando la capacitación cruzada (</w:t>
      </w:r>
      <w:r w:rsidDel="00000000" w:rsidR="00000000" w:rsidRPr="00000000">
        <w:rPr>
          <w:i w:val="1"/>
          <w:iCs w:val="1"/>
          <w:rtl w:val="0"/>
        </w:rPr>
        <w:t xml:space="preserve">cross-training</w:t>
      </w:r>
      <w:r w:rsidDel="00000000" w:rsidR="00000000" w:rsidRPr="00000000">
        <w:rPr>
          <w:rtl w:val="0"/>
        </w:rPr>
        <w:t xml:space="preserve">) dentro del equipo para distribuir responsabilidades críticas 12, 14.</w:t>
      </w:r>
    </w:p>
    <w:p w:rsidR="00000000" w:rsidDel="00000000" w:rsidP="00000000" w:rsidRDefault="00000000" w:rsidRPr="00000000" w14:paraId="00000009">
      <w:pPr>
        <w:rPr>
          <w:b w:val="1"/>
          <w:bCs w:val="1"/>
        </w:rPr>
      </w:pPr>
      <w:r w:rsidDel="00000000" w:rsidR="00000000" w:rsidRPr="00000000">
        <w:rPr>
          <w:b w:val="1"/>
          <w:bCs w:val="1"/>
          <w:rtl w:val="0"/>
        </w:rPr>
        <w:t xml:space="preserve">Fase 3: Equilibrio de Iniciativas Paralelas y Flujo de Trabajo</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Límites de Trabajo en Progreso (WIP Limits):</w:t>
      </w:r>
      <w:r w:rsidDel="00000000" w:rsidR="00000000" w:rsidRPr="00000000">
        <w:rPr>
          <w:rtl w:val="0"/>
        </w:rPr>
        <w:t xml:space="preserve"> Restringe estrictamente la cantidad de tareas activas simultáneas en cada etapa 15, 16. Al forzar a los miembros del equipo a finalizar proyectos antes de empezar otros, reduces radicalmente los tiempos de espera y el costo del cambio de contexto, incrementando la velocidad de entrega (</w:t>
      </w:r>
      <w:r w:rsidDel="00000000" w:rsidR="00000000" w:rsidRPr="00000000">
        <w:rPr>
          <w:i w:val="1"/>
          <w:iCs w:val="1"/>
          <w:rtl w:val="0"/>
        </w:rPr>
        <w:t xml:space="preserve">throughput</w:t>
      </w:r>
      <w:r w:rsidDel="00000000" w:rsidR="00000000" w:rsidRPr="00000000">
        <w:rPr>
          <w:rtl w:val="0"/>
        </w:rPr>
        <w:t xml:space="preserve">) 16.</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Análisis del Perfil de Inversión:</w:t>
      </w:r>
      <w:r w:rsidDel="00000000" w:rsidR="00000000" w:rsidRPr="00000000">
        <w:rPr>
          <w:rtl w:val="0"/>
        </w:rPr>
        <w:t xml:space="preserve"> Rastrea y equilibra cómo se asigna el esfuerzo a través de diferentes áreas. Como regla general, busca que el desarrollo de nuevas características tome el 60-70% de la capacidad, mientras se reserva el tiempo restante para soporte, deuda técnica y correcciones, limitando la sobreasignación en urgencias no planificadas 6.</w:t>
      </w:r>
    </w:p>
    <w:p w:rsidR="00000000" w:rsidDel="00000000" w:rsidP="00000000" w:rsidRDefault="00000000" w:rsidRPr="00000000" w14:paraId="0000000C">
      <w:pPr>
        <w:rPr>
          <w:b w:val="1"/>
          <w:bCs w:val="1"/>
        </w:rPr>
      </w:pPr>
      <w:r w:rsidDel="00000000" w:rsidR="00000000" w:rsidRPr="00000000">
        <w:rPr>
          <w:b w:val="1"/>
          <w:bCs w:val="1"/>
          <w:rtl w:val="0"/>
        </w:rPr>
        <w:t xml:space="preserve">Fase 4: Anticipación de Restricciones y Planificación de Escenarios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Modelado de Escenarios ("What-If"):</w:t>
      </w:r>
      <w:r w:rsidDel="00000000" w:rsidR="00000000" w:rsidRPr="00000000">
        <w:rPr>
          <w:rtl w:val="0"/>
        </w:rPr>
        <w:t xml:space="preserve"> Utiliza pronósticos móviles trimestrales (</w:t>
      </w:r>
      <w:r w:rsidDel="00000000" w:rsidR="00000000" w:rsidRPr="00000000">
        <w:rPr>
          <w:i w:val="1"/>
          <w:iCs w:val="1"/>
          <w:rtl w:val="0"/>
        </w:rPr>
        <w:t xml:space="preserve">rolling forecasts</w:t>
      </w:r>
      <w:r w:rsidDel="00000000" w:rsidR="00000000" w:rsidRPr="00000000">
        <w:rPr>
          <w:rtl w:val="0"/>
        </w:rPr>
        <w:t xml:space="preserve">) y herramientas de </w:t>
      </w:r>
      <w:r w:rsidDel="00000000" w:rsidR="00000000" w:rsidRPr="00000000">
        <w:rPr>
          <w:b w:val="1"/>
          <w:bCs w:val="1"/>
          <w:rtl w:val="0"/>
        </w:rPr>
        <w:t xml:space="preserve">Scenario Planning</w:t>
      </w:r>
      <w:r w:rsidDel="00000000" w:rsidR="00000000" w:rsidRPr="00000000">
        <w:rPr>
          <w:rtl w:val="0"/>
        </w:rPr>
        <w:t xml:space="preserve"> para proyectar cambios futuros en lugar de atarte a presupuestos anuales estáticos 17. Modela el impacto operacional de añadir un nuevo proyecto urgente, el retraso de una contratación o la ausencia de un ingeniero clave para ajustar los plazos con anticipación 18-20.</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Mapeo del Flujo de Valor (Value Stream Mapping):</w:t>
      </w:r>
      <w:r w:rsidDel="00000000" w:rsidR="00000000" w:rsidRPr="00000000">
        <w:rPr>
          <w:rtl w:val="0"/>
        </w:rPr>
        <w:t xml:space="preserve"> Monitorea continuamente tu flujo de trabajo de principio a fin. Usa métricas técnicas (como el tiempo de espera en la revisión de código o la frecuencia de despliegue) como alertas tempranas para detectar en qué etapas el trabajo se estanca constantemente 21, 22.</w:t>
      </w:r>
    </w:p>
    <w:p w:rsidR="00000000" w:rsidDel="00000000" w:rsidP="00000000" w:rsidRDefault="00000000" w:rsidRPr="00000000" w14:paraId="0000000F">
      <w:pPr>
        <w:rPr>
          <w:b w:val="1"/>
          <w:bCs w:val="1"/>
        </w:rPr>
      </w:pPr>
      <w:r w:rsidDel="00000000" w:rsidR="00000000" w:rsidRPr="00000000">
        <w:rPr>
          <w:b w:val="1"/>
          <w:bCs w:val="1"/>
          <w:rtl w:val="0"/>
        </w:rPr>
        <w:t xml:space="preserve">Fase 5: Cadencia Táctica y Operativa Continua (S&amp;OE)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En lugar de gestionar recursos esporádicamente, establece reuniones específicas y ágiles para sincronizar la demanda y los recursos en tiempo real 23:</w:t>
      </w:r>
    </w:p>
    <w:p w:rsidR="00000000" w:rsidDel="00000000" w:rsidP="00000000" w:rsidRDefault="00000000" w:rsidRPr="00000000" w14:paraId="00000011">
      <w:pPr>
        <w:numPr>
          <w:ilvl w:val="0"/>
          <w:numId w:val="3"/>
        </w:numPr>
        <w:ind w:left="720" w:hanging="360"/>
        <w:rPr>
          <w:u w:val="none"/>
        </w:rPr>
      </w:pPr>
      <w:r w:rsidDel="00000000" w:rsidR="00000000" w:rsidRPr="00000000">
        <w:rPr>
          <w:i w:val="1"/>
          <w:iCs w:val="1"/>
          <w:rtl w:val="0"/>
        </w:rPr>
        <w:t xml:space="preserve">Daily stand-ups</w:t>
      </w:r>
      <w:r w:rsidDel="00000000" w:rsidR="00000000" w:rsidRPr="00000000">
        <w:rPr>
          <w:rtl w:val="0"/>
        </w:rPr>
        <w:t xml:space="preserve"> (15 min) enfocados exclusivamente en revelar impedimentos rápidos y desviaciones de capacidad 23, 24.</w:t>
      </w:r>
    </w:p>
    <w:p w:rsidR="00000000" w:rsidDel="00000000" w:rsidP="00000000" w:rsidRDefault="00000000" w:rsidRPr="00000000" w14:paraId="00000012">
      <w:pPr>
        <w:numPr>
          <w:ilvl w:val="0"/>
          <w:numId w:val="3"/>
        </w:numPr>
        <w:ind w:left="720" w:hanging="360"/>
        <w:rPr>
          <w:u w:val="none"/>
        </w:rPr>
      </w:pPr>
      <w:r w:rsidDel="00000000" w:rsidR="00000000" w:rsidRPr="00000000">
        <w:rPr>
          <w:i w:val="1"/>
          <w:iCs w:val="1"/>
          <w:rtl w:val="0"/>
        </w:rPr>
        <w:t xml:space="preserve">Sincronizaciones semanales</w:t>
      </w:r>
      <w:r w:rsidDel="00000000" w:rsidR="00000000" w:rsidRPr="00000000">
        <w:rPr>
          <w:rtl w:val="0"/>
        </w:rPr>
        <w:t xml:space="preserve"> (30-45 min) para la alineación entre diferentes equipos paralelos, gestión de dependencias y evaluación de los hitos más urgentes 23, 25.</w:t>
      </w:r>
    </w:p>
    <w:p w:rsidR="00000000" w:rsidDel="00000000" w:rsidP="00000000" w:rsidRDefault="00000000" w:rsidRPr="00000000" w14:paraId="00000013">
      <w:pPr>
        <w:numPr>
          <w:ilvl w:val="0"/>
          <w:numId w:val="3"/>
        </w:numPr>
        <w:ind w:left="720" w:hanging="360"/>
        <w:rPr>
          <w:u w:val="none"/>
        </w:rPr>
      </w:pPr>
      <w:r w:rsidDel="00000000" w:rsidR="00000000" w:rsidRPr="00000000">
        <w:rPr>
          <w:i w:val="1"/>
          <w:iCs w:val="1"/>
          <w:rtl w:val="0"/>
        </w:rPr>
        <w:t xml:space="preserve">Sprint Plannings</w:t>
      </w:r>
      <w:r w:rsidDel="00000000" w:rsidR="00000000" w:rsidRPr="00000000">
        <w:rPr>
          <w:rtl w:val="0"/>
        </w:rPr>
        <w:t xml:space="preserve"> donde los compromisos se asuman en base a la velocidad demostrada en los ciclos previos, y no en estimaciones optimistas 26.</w:t>
      </w:r>
    </w:p>
    <w:p w:rsidR="00000000" w:rsidDel="00000000" w:rsidP="00000000" w:rsidRDefault="00000000" w:rsidRPr="00000000" w14:paraId="00000014">
      <w:pPr>
        <w:rPr>
          <w:b w:val="1"/>
          <w:bCs w:val="1"/>
        </w:rPr>
      </w:pPr>
      <w:r w:rsidDel="00000000" w:rsidR="00000000" w:rsidRPr="00000000">
        <w:rPr>
          <w:b w:val="1"/>
          <w:bCs w:val="1"/>
          <w:rtl w:val="0"/>
        </w:rPr>
        <w:t xml:space="preserve">Fase 6: Monitoreo de la Carga Cognitiva y Salud del Equipo</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Evaluación de la Resiliencia Humana:</w:t>
      </w:r>
      <w:r w:rsidDel="00000000" w:rsidR="00000000" w:rsidRPr="00000000">
        <w:rPr>
          <w:rtl w:val="0"/>
        </w:rPr>
        <w:t xml:space="preserve"> La capacidad productiva cae drásticamente cuando los ingenieros alcanzan su límite de carga cognitiva y fatiga 27, 28. Implementa un </w:t>
      </w:r>
      <w:r w:rsidDel="00000000" w:rsidR="00000000" w:rsidRPr="00000000">
        <w:rPr>
          <w:b w:val="1"/>
          <w:bCs w:val="1"/>
          <w:rtl w:val="0"/>
        </w:rPr>
        <w:t xml:space="preserve">Team Health Monitor</w:t>
      </w:r>
      <w:r w:rsidDel="00000000" w:rsidR="00000000" w:rsidRPr="00000000">
        <w:rPr>
          <w:rtl w:val="0"/>
        </w:rPr>
        <w:t xml:space="preserve"> recurrente (mensual o trimestral) que evalúe cualitativamente atributos como la cohesión, la claridad de los roles asignados, el estrés y la comprensión compartida del proyecto 29-31. Solucionar la sobrecarga previene la rotación del talento y garantiza que la capacidad planeada para el negocio se sostenga a largo plazo 31, 32.</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