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satisfacer las responsabilidades de </w:t>
      </w:r>
      <w:r w:rsidDel="00000000" w:rsidR="00000000" w:rsidRPr="00000000">
        <w:rPr>
          <w:b w:val="1"/>
          <w:bCs w:val="1"/>
          <w:rtl w:val="0"/>
        </w:rPr>
        <w:t xml:space="preserve">Integrations &amp; External Vendors Management</w:t>
      </w:r>
      <w:r w:rsidDel="00000000" w:rsidR="00000000" w:rsidRPr="00000000">
        <w:rPr>
          <w:rtl w:val="0"/>
        </w:rPr>
        <w:t xml:space="preserve"> (coordinación de proveedores, supervisión de integraciones y gestión de dependencias externas), puedes implementar el siguiente workflow estructurado en 5 fases:</w:t>
      </w:r>
    </w:p>
    <w:p w:rsidR="00000000" w:rsidDel="00000000" w:rsidP="00000000" w:rsidRDefault="00000000" w:rsidRPr="00000000" w14:paraId="00000002">
      <w:pPr>
        <w:rPr>
          <w:b w:val="1"/>
          <w:bCs w:val="1"/>
        </w:rPr>
      </w:pPr>
      <w:r w:rsidDel="00000000" w:rsidR="00000000" w:rsidRPr="00000000">
        <w:rPr>
          <w:b w:val="1"/>
          <w:bCs w:val="1"/>
          <w:rtl w:val="0"/>
        </w:rPr>
        <w:t xml:space="preserve">Fase 1: Selección Estratégica y Contratación (Vendor Coordination)</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Evaluación Multidimensional:</w:t>
      </w:r>
      <w:r w:rsidDel="00000000" w:rsidR="00000000" w:rsidRPr="00000000">
        <w:rPr>
          <w:rtl w:val="0"/>
        </w:rPr>
        <w:t xml:space="preserve"> Durante la búsqueda de nuevos socios, evalúa a los proveedores utilizando una matriz estricta que contemple no solo el costo, sino también la capacidad técnica (arquitectura de API abierta y actualizaciones frecuentes), la estabilidad financiera, las certificaciones de seguridad (como PCI-DSS y GDPR) y el ajuste operativo 1.</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Solicitud de Propuestas y SLAs:</w:t>
      </w:r>
      <w:r w:rsidDel="00000000" w:rsidR="00000000" w:rsidRPr="00000000">
        <w:rPr>
          <w:rtl w:val="0"/>
        </w:rPr>
        <w:t xml:space="preserve"> Utiliza procesos de RFP (Request for Proposal) para proyectos complejos o RFQ (Request for Quote) para servicios estandarizados 1, 2. Negocia y establece de antemano los Acuerdos de Nivel de Servicio (SLAs) claros, métricas de rendimiento y obligaciones de cumplimiento antes del </w:t>
      </w:r>
      <w:r w:rsidDel="00000000" w:rsidR="00000000" w:rsidRPr="00000000">
        <w:rPr>
          <w:i w:val="1"/>
          <w:iCs w:val="1"/>
          <w:rtl w:val="0"/>
        </w:rPr>
        <w:t xml:space="preserve">onboarding</w:t>
      </w:r>
      <w:r w:rsidDel="00000000" w:rsidR="00000000" w:rsidRPr="00000000">
        <w:rPr>
          <w:rtl w:val="0"/>
        </w:rPr>
        <w:t xml:space="preserve"> 3, 4.</w:t>
      </w:r>
    </w:p>
    <w:p w:rsidR="00000000" w:rsidDel="00000000" w:rsidP="00000000" w:rsidRDefault="00000000" w:rsidRPr="00000000" w14:paraId="00000005">
      <w:pPr>
        <w:rPr>
          <w:b w:val="1"/>
          <w:bCs w:val="1"/>
        </w:rPr>
      </w:pPr>
      <w:r w:rsidDel="00000000" w:rsidR="00000000" w:rsidRPr="00000000">
        <w:rPr>
          <w:b w:val="1"/>
          <w:bCs w:val="1"/>
          <w:rtl w:val="0"/>
        </w:rPr>
        <w:t xml:space="preserve">Fase 2: Especificación Técnica de Integraciones (Integration Oversight)</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Alcance de "Integración Profunda":</w:t>
      </w:r>
      <w:r w:rsidDel="00000000" w:rsidR="00000000" w:rsidRPr="00000000">
        <w:rPr>
          <w:rtl w:val="0"/>
        </w:rPr>
        <w:t xml:space="preserve"> Evita las conexiones superficiales que solo mueven datos; busca una integración profunda que incruste controles operativos (como validaciones de cumplimiento o pagos) directamente en el flujo de trabajo 5.</w:t>
      </w:r>
    </w:p>
    <w:p w:rsidR="00000000" w:rsidDel="00000000" w:rsidP="00000000" w:rsidRDefault="00000000" w:rsidRPr="00000000" w14:paraId="00000007">
      <w:pPr>
        <w:numPr>
          <w:ilvl w:val="0"/>
          <w:numId w:val="3"/>
        </w:numPr>
        <w:ind w:left="720" w:hanging="360"/>
        <w:rPr>
          <w:b w:val="1"/>
          <w:bCs w:val="1"/>
        </w:rPr>
      </w:pPr>
      <w:r w:rsidDel="00000000" w:rsidR="00000000" w:rsidRPr="00000000">
        <w:rPr>
          <w:b w:val="1"/>
          <w:bCs w:val="1"/>
          <w:rtl w:val="0"/>
        </w:rPr>
        <w:t xml:space="preserve">Reglas Específicas por Sistema:</w:t>
      </w:r>
    </w:p>
    <w:p w:rsidR="00000000" w:rsidDel="00000000" w:rsidP="00000000" w:rsidRDefault="00000000" w:rsidRPr="00000000" w14:paraId="00000008">
      <w:pPr>
        <w:numPr>
          <w:ilvl w:val="0"/>
          <w:numId w:val="3"/>
        </w:numPr>
        <w:ind w:left="720" w:hanging="360"/>
        <w:rPr>
          <w:u w:val="none"/>
        </w:rPr>
      </w:pPr>
      <w:r w:rsidDel="00000000" w:rsidR="00000000" w:rsidRPr="00000000">
        <w:rPr>
          <w:i w:val="1"/>
          <w:iCs w:val="1"/>
          <w:rtl w:val="0"/>
        </w:rPr>
        <w:t xml:space="preserve">Channel Managers y PMS:</w:t>
      </w:r>
      <w:r w:rsidDel="00000000" w:rsidR="00000000" w:rsidRPr="00000000">
        <w:rPr>
          <w:rtl w:val="0"/>
        </w:rPr>
        <w:t xml:space="preserve"> Asegura conexiones API bidireccionales, sincronización de inventario en tiempo real (latencia menor a 2 segundos) y aplicación automatizada de paridad de tarifas para evitar sobreventas y penalizaciones 6.</w:t>
      </w:r>
    </w:p>
    <w:p w:rsidR="00000000" w:rsidDel="00000000" w:rsidP="00000000" w:rsidRDefault="00000000" w:rsidRPr="00000000" w14:paraId="00000009">
      <w:pPr>
        <w:numPr>
          <w:ilvl w:val="0"/>
          <w:numId w:val="3"/>
        </w:numPr>
        <w:ind w:left="720" w:hanging="360"/>
        <w:rPr>
          <w:u w:val="none"/>
        </w:rPr>
      </w:pPr>
      <w:r w:rsidDel="00000000" w:rsidR="00000000" w:rsidRPr="00000000">
        <w:rPr>
          <w:i w:val="1"/>
          <w:iCs w:val="1"/>
          <w:rtl w:val="0"/>
        </w:rPr>
        <w:t xml:space="preserve">Proveedores de Pago:</w:t>
      </w:r>
      <w:r w:rsidDel="00000000" w:rsidR="00000000" w:rsidRPr="00000000">
        <w:rPr>
          <w:rtl w:val="0"/>
        </w:rPr>
        <w:t xml:space="preserve"> Exige y diseña arquitecturas que utilicen la </w:t>
      </w:r>
      <w:r w:rsidDel="00000000" w:rsidR="00000000" w:rsidRPr="00000000">
        <w:rPr>
          <w:b w:val="1"/>
          <w:bCs w:val="1"/>
          <w:rtl w:val="0"/>
        </w:rPr>
        <w:t xml:space="preserve">tokenización</w:t>
      </w:r>
      <w:r w:rsidDel="00000000" w:rsidR="00000000" w:rsidRPr="00000000">
        <w:rPr>
          <w:rtl w:val="0"/>
        </w:rPr>
        <w:t xml:space="preserve"> de tarjetas. Esto asegura que los datos confidenciales nunca residan directamente en el PMS, reduciendo drásticamente la responsabilidad de cumplimiento PCI y protegiendo al huésped 7.</w:t>
      </w:r>
    </w:p>
    <w:p w:rsidR="00000000" w:rsidDel="00000000" w:rsidP="00000000" w:rsidRDefault="00000000" w:rsidRPr="00000000" w14:paraId="0000000A">
      <w:pPr>
        <w:rPr>
          <w:b w:val="1"/>
          <w:bCs w:val="1"/>
        </w:rPr>
      </w:pPr>
      <w:r w:rsidDel="00000000" w:rsidR="00000000" w:rsidRPr="00000000">
        <w:rPr>
          <w:b w:val="1"/>
          <w:bCs w:val="1"/>
          <w:rtl w:val="0"/>
        </w:rPr>
        <w:t xml:space="preserve">Fase 3: Ciclo de Vida y Entrega de la Integración (Integration Oversight)</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Fases Iterativas:</w:t>
      </w:r>
      <w:r w:rsidDel="00000000" w:rsidR="00000000" w:rsidRPr="00000000">
        <w:rPr>
          <w:rtl w:val="0"/>
        </w:rPr>
        <w:t xml:space="preserve"> Ejecuta las integraciones siguiendo un ciclo de vida ágil: Descubrimiento (auditoría de sistemas actuales), Diseño de arquitectura, Desarrollo en </w:t>
      </w:r>
      <w:r w:rsidDel="00000000" w:rsidR="00000000" w:rsidRPr="00000000">
        <w:rPr>
          <w:i w:val="1"/>
          <w:iCs w:val="1"/>
          <w:rtl w:val="0"/>
        </w:rPr>
        <w:t xml:space="preserve">sprints</w:t>
      </w:r>
      <w:r w:rsidDel="00000000" w:rsidR="00000000" w:rsidRPr="00000000">
        <w:rPr>
          <w:rtl w:val="0"/>
        </w:rPr>
        <w:t xml:space="preserve">, Pruebas/QA rigurosas (funcionales, de rendimiento y seguridad) y Mantenimiento continuo 8.</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Despliegues Seguros:</w:t>
      </w:r>
      <w:r w:rsidDel="00000000" w:rsidR="00000000" w:rsidRPr="00000000">
        <w:rPr>
          <w:rtl w:val="0"/>
        </w:rPr>
        <w:t xml:space="preserve"> Para el lanzamiento, implementa métodos de despliegue progresivos (como el despliegue </w:t>
      </w:r>
      <w:r w:rsidDel="00000000" w:rsidR="00000000" w:rsidRPr="00000000">
        <w:rPr>
          <w:i w:val="1"/>
          <w:iCs w:val="1"/>
          <w:rtl w:val="0"/>
        </w:rPr>
        <w:t xml:space="preserve">Blue-Green</w:t>
      </w:r>
      <w:r w:rsidDel="00000000" w:rsidR="00000000" w:rsidRPr="00000000">
        <w:rPr>
          <w:rtl w:val="0"/>
        </w:rPr>
        <w:t xml:space="preserve">). Esto limita el "radio de impacto" de cualquier error técnico permitiendo probar la integración en un entorno de producción simulado antes de redirigir el tráfico real, facilitando una reversión instantánea si algo falla 8.</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Reconciliación Financiera:</w:t>
      </w:r>
      <w:r w:rsidDel="00000000" w:rsidR="00000000" w:rsidRPr="00000000">
        <w:rPr>
          <w:rtl w:val="0"/>
        </w:rPr>
        <w:t xml:space="preserve"> En sistemas transaccionales, implementa flujos de reconciliación automatizada impulsados por lógica de reglas para conectar cada transacción y pago en tiempo real, evitando fugas de ingresos 9, 10.</w:t>
      </w:r>
    </w:p>
    <w:p w:rsidR="00000000" w:rsidDel="00000000" w:rsidP="00000000" w:rsidRDefault="00000000" w:rsidRPr="00000000" w14:paraId="0000000E">
      <w:pPr>
        <w:rPr>
          <w:b w:val="1"/>
          <w:bCs w:val="1"/>
        </w:rPr>
      </w:pPr>
      <w:r w:rsidDel="00000000" w:rsidR="00000000" w:rsidRPr="00000000">
        <w:rPr>
          <w:b w:val="1"/>
          <w:bCs w:val="1"/>
          <w:rtl w:val="0"/>
        </w:rPr>
        <w:t xml:space="preserve">Fase 4: Mapeo y Mitigación de Dependencias (Dependency Management)</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Identificación Proactiva:</w:t>
      </w:r>
      <w:r w:rsidDel="00000000" w:rsidR="00000000" w:rsidRPr="00000000">
        <w:rPr>
          <w:rtl w:val="0"/>
        </w:rPr>
        <w:t xml:space="preserve"> Reconoce que en proyectos de múltiples proveedores, las dependencias (lógicas, de recursos y de conocimiento) son el plan en sí mismo 11. Mapea estas conexiones utilizando herramientas de Mapeo de Dependencias de Aplicaciones (ADM) o de gestión de portafolios (PPM) para visualizar el impacto en cadena ante la falla de un proveedor 12.</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Cambio a "Custodia" (Stewardship):</w:t>
      </w:r>
      <w:r w:rsidDel="00000000" w:rsidR="00000000" w:rsidRPr="00000000">
        <w:rPr>
          <w:rtl w:val="0"/>
        </w:rPr>
        <w:t xml:space="preserve"> En lugar de intentar "ser dueño" de las dependencias externas que no puedes controlar, actúa como un custodio. Facilita foros de coordinación entre múltiples proveedores centrados en evaluar el impacto ("¿Qué afecta este retraso y qué opciones tenemos?") en lugar de buscar culpables ("¿Por qué te retrasaste?") 13.</w:t>
      </w:r>
    </w:p>
    <w:p w:rsidR="00000000" w:rsidDel="00000000" w:rsidP="00000000" w:rsidRDefault="00000000" w:rsidRPr="00000000" w14:paraId="00000011">
      <w:pPr>
        <w:rPr>
          <w:b w:val="1"/>
          <w:bCs w:val="1"/>
        </w:rPr>
      </w:pPr>
      <w:r w:rsidDel="00000000" w:rsidR="00000000" w:rsidRPr="00000000">
        <w:rPr>
          <w:b w:val="1"/>
          <w:bCs w:val="1"/>
          <w:rtl w:val="0"/>
        </w:rPr>
        <w:t xml:space="preserve">Fase 5: Monitoreo de Rendimiento y Comunicación Continua (Vendor Coordination)</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Jerarquía de Métricas y SLAs:</w:t>
      </w:r>
      <w:r w:rsidDel="00000000" w:rsidR="00000000" w:rsidRPr="00000000">
        <w:rPr>
          <w:rtl w:val="0"/>
        </w:rPr>
        <w:t xml:space="preserve"> Ve más allá de los SLAs del contrato creando un margen de seguridad interno a través de Objetivos de Nivel de Servicio (SLOs) e Indicadores (SLIs). Configura alertas tempranas basadas en síntomas (ej. lentitud de la API) para detectar degradaciones antes de que el proveedor incumpla el SLA 14, 15.</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Cadencia de Comunicación Escalonada:</w:t>
      </w:r>
      <w:r w:rsidDel="00000000" w:rsidR="00000000" w:rsidRPr="00000000">
        <w:rPr>
          <w:rtl w:val="0"/>
        </w:rPr>
        <w:t xml:space="preserve"> Mantén la alineación mediante reuniones </w:t>
      </w:r>
      <w:r w:rsidDel="00000000" w:rsidR="00000000" w:rsidRPr="00000000">
        <w:rPr>
          <w:i w:val="1"/>
          <w:iCs w:val="1"/>
          <w:rtl w:val="0"/>
        </w:rPr>
        <w:t xml:space="preserve">daily stand-ups</w:t>
      </w:r>
      <w:r w:rsidDel="00000000" w:rsidR="00000000" w:rsidRPr="00000000">
        <w:rPr>
          <w:rtl w:val="0"/>
        </w:rPr>
        <w:t xml:space="preserve"> (15 min) con los socios técnicos externos para bloqueos inmediatos, reuniones semanales para sincronización táctica y Revisiones Comerciales Trimestrales (QBRs) con ejecutivos para evaluar objetivos a largo plazo 16.</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Planificación de Salida (Offboarding):</w:t>
      </w:r>
      <w:r w:rsidDel="00000000" w:rsidR="00000000" w:rsidRPr="00000000">
        <w:rPr>
          <w:rtl w:val="0"/>
        </w:rPr>
        <w:t xml:space="preserve"> Como medida final de gobernanza, mantén planes de salida claros para cada proveedor. Define desde el día uno cómo se revocarán accesos, se recuperarán los datos o se hará la transición hacia un proveedor de respaldo para evitar disrupciones operativas y riesgos de seguridad 17, 18.</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