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satisfacer las responsabilidades de </w:t>
      </w:r>
      <w:r w:rsidDel="00000000" w:rsidR="00000000" w:rsidRPr="00000000">
        <w:rPr>
          <w:b w:val="1"/>
          <w:bCs w:val="1"/>
          <w:rtl w:val="0"/>
        </w:rPr>
        <w:t xml:space="preserve">Scope Management</w:t>
      </w:r>
      <w:r w:rsidDel="00000000" w:rsidR="00000000" w:rsidRPr="00000000">
        <w:rPr>
          <w:rtl w:val="0"/>
        </w:rPr>
        <w:t xml:space="preserve"> y </w:t>
      </w:r>
      <w:r w:rsidDel="00000000" w:rsidR="00000000" w:rsidRPr="00000000">
        <w:rPr>
          <w:b w:val="1"/>
          <w:bCs w:val="1"/>
          <w:rtl w:val="0"/>
        </w:rPr>
        <w:t xml:space="preserve">Delivery Accountability</w:t>
      </w:r>
      <w:r w:rsidDel="00000000" w:rsidR="00000000" w:rsidRPr="00000000">
        <w:rPr>
          <w:rtl w:val="0"/>
        </w:rPr>
        <w:t xml:space="preserve"> asegurando que los requerimientos se traduzcan correctamente, se prevenga el </w:t>
      </w:r>
      <w:r w:rsidDel="00000000" w:rsidR="00000000" w:rsidRPr="00000000">
        <w:rPr>
          <w:i w:val="1"/>
          <w:iCs w:val="1"/>
          <w:rtl w:val="0"/>
        </w:rPr>
        <w:t xml:space="preserve">scope creep</w:t>
      </w:r>
      <w:r w:rsidDel="00000000" w:rsidR="00000000" w:rsidRPr="00000000">
        <w:rPr>
          <w:rtl w:val="0"/>
        </w:rPr>
        <w:t xml:space="preserve"> y se cumplan los plazos de entrega, puedes implementar el siguiente workflow de 5 fases:</w:t>
      </w:r>
    </w:p>
    <w:p w:rsidR="00000000" w:rsidDel="00000000" w:rsidP="00000000" w:rsidRDefault="00000000" w:rsidRPr="00000000" w14:paraId="00000002">
      <w:pPr>
        <w:rPr>
          <w:b w:val="1"/>
          <w:bCs w:val="1"/>
        </w:rPr>
      </w:pPr>
      <w:r w:rsidDel="00000000" w:rsidR="00000000" w:rsidRPr="00000000">
        <w:rPr>
          <w:b w:val="1"/>
          <w:bCs w:val="1"/>
          <w:rtl w:val="0"/>
        </w:rPr>
        <w:t xml:space="preserve">Fase 1: Traducción de Requisitos (Del Negocio a la Técnica)</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Jerarquía de Documentación:</w:t>
      </w:r>
      <w:r w:rsidDel="00000000" w:rsidR="00000000" w:rsidRPr="00000000">
        <w:rPr>
          <w:rtl w:val="0"/>
        </w:rPr>
        <w:t xml:space="preserve"> Convierte las necesidades de alto nivel del negocio en especificaciones accionables. Inicia con el </w:t>
      </w:r>
      <w:r w:rsidDel="00000000" w:rsidR="00000000" w:rsidRPr="00000000">
        <w:rPr>
          <w:b w:val="1"/>
          <w:bCs w:val="1"/>
          <w:rtl w:val="0"/>
        </w:rPr>
        <w:t xml:space="preserve">BRD</w:t>
      </w:r>
      <w:r w:rsidDel="00000000" w:rsidR="00000000" w:rsidRPr="00000000">
        <w:rPr>
          <w:rtl w:val="0"/>
        </w:rPr>
        <w:t xml:space="preserve"> (Business Requirements Document) para entender el "Por qué" y el ROI del negocio 1, 2. Luego, tradúcelo a un </w:t>
      </w:r>
      <w:r w:rsidDel="00000000" w:rsidR="00000000" w:rsidRPr="00000000">
        <w:rPr>
          <w:b w:val="1"/>
          <w:bCs w:val="1"/>
          <w:rtl w:val="0"/>
        </w:rPr>
        <w:t xml:space="preserve">PRD</w:t>
      </w:r>
      <w:r w:rsidDel="00000000" w:rsidR="00000000" w:rsidRPr="00000000">
        <w:rPr>
          <w:rtl w:val="0"/>
        </w:rPr>
        <w:t xml:space="preserve"> (Product Requirements Document) que defina el "Qué", incluyendo las historias de usuario y funcionalidades 3, 4.</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Diseño y Especificación Técnica:</w:t>
      </w:r>
      <w:r w:rsidDel="00000000" w:rsidR="00000000" w:rsidRPr="00000000">
        <w:rPr>
          <w:rtl w:val="0"/>
        </w:rPr>
        <w:t xml:space="preserve"> Trabaja con los líderes técnicos para generar un </w:t>
      </w:r>
      <w:r w:rsidDel="00000000" w:rsidR="00000000" w:rsidRPr="00000000">
        <w:rPr>
          <w:b w:val="1"/>
          <w:bCs w:val="1"/>
          <w:rtl w:val="0"/>
        </w:rPr>
        <w:t xml:space="preserve">TSD</w:t>
      </w:r>
      <w:r w:rsidDel="00000000" w:rsidR="00000000" w:rsidRPr="00000000">
        <w:rPr>
          <w:rtl w:val="0"/>
        </w:rPr>
        <w:t xml:space="preserve"> (Technical Specification Document) o SDD (Software Design Document). Esto establece el "Cómo" (arquitectura, APIs, esquemas de bases de datos), garantizando que los desarrolladores tengan planos exactos y se eviten deudas técnicas 5-7.</w:t>
      </w:r>
    </w:p>
    <w:p w:rsidR="00000000" w:rsidDel="00000000" w:rsidP="00000000" w:rsidRDefault="00000000" w:rsidRPr="00000000" w14:paraId="00000005">
      <w:pPr>
        <w:rPr>
          <w:b w:val="1"/>
          <w:bCs w:val="1"/>
        </w:rPr>
      </w:pPr>
      <w:r w:rsidDel="00000000" w:rsidR="00000000" w:rsidRPr="00000000">
        <w:rPr>
          <w:b w:val="1"/>
          <w:bCs w:val="1"/>
          <w:rtl w:val="0"/>
        </w:rPr>
        <w:t xml:space="preserve">Fase 2: Delimitación Estricta y Priorización</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Límites de Alcance Claros:</w:t>
      </w:r>
      <w:r w:rsidDel="00000000" w:rsidR="00000000" w:rsidRPr="00000000">
        <w:rPr>
          <w:rtl w:val="0"/>
        </w:rPr>
        <w:t xml:space="preserve"> Crea una Estructura de Desglose de Trabajo (WBS) para dividir las entregas en tareas granulares y elabora una </w:t>
      </w:r>
      <w:r w:rsidDel="00000000" w:rsidR="00000000" w:rsidRPr="00000000">
        <w:rPr>
          <w:b w:val="1"/>
          <w:bCs w:val="1"/>
          <w:rtl w:val="0"/>
        </w:rPr>
        <w:t xml:space="preserve">Lista de Fuera de Alcance (Out-of-Scope List)</w:t>
      </w:r>
      <w:r w:rsidDel="00000000" w:rsidR="00000000" w:rsidRPr="00000000">
        <w:rPr>
          <w:rtl w:val="0"/>
        </w:rPr>
        <w:t xml:space="preserve"> explícita 8-10. Esto establece expectativas realistas con los </w:t>
      </w:r>
      <w:r w:rsidDel="00000000" w:rsidR="00000000" w:rsidRPr="00000000">
        <w:rPr>
          <w:i w:val="1"/>
          <w:iCs w:val="1"/>
          <w:rtl w:val="0"/>
        </w:rPr>
        <w:t xml:space="preserve">stakeholders</w:t>
      </w:r>
      <w:r w:rsidDel="00000000" w:rsidR="00000000" w:rsidRPr="00000000">
        <w:rPr>
          <w:rtl w:val="0"/>
        </w:rPr>
        <w:t xml:space="preserve"> desde el primer día 9.</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Priorización Táctica:</w:t>
      </w:r>
      <w:r w:rsidDel="00000000" w:rsidR="00000000" w:rsidRPr="00000000">
        <w:rPr>
          <w:rtl w:val="0"/>
        </w:rPr>
        <w:t xml:space="preserve"> Aplica el método </w:t>
      </w:r>
      <w:r w:rsidDel="00000000" w:rsidR="00000000" w:rsidRPr="00000000">
        <w:rPr>
          <w:b w:val="1"/>
          <w:bCs w:val="1"/>
          <w:rtl w:val="0"/>
        </w:rPr>
        <w:t xml:space="preserve">MoSCoW</w:t>
      </w:r>
      <w:r w:rsidDel="00000000" w:rsidR="00000000" w:rsidRPr="00000000">
        <w:rPr>
          <w:rtl w:val="0"/>
        </w:rPr>
        <w:t xml:space="preserve"> (Must-have, Should-have, Could-have, Won't-have) para definir las fronteras de un lanzamiento o </w:t>
      </w:r>
      <w:r w:rsidDel="00000000" w:rsidR="00000000" w:rsidRPr="00000000">
        <w:rPr>
          <w:i w:val="1"/>
          <w:iCs w:val="1"/>
          <w:rtl w:val="0"/>
        </w:rPr>
        <w:t xml:space="preserve">sprint</w:t>
      </w:r>
      <w:r w:rsidDel="00000000" w:rsidR="00000000" w:rsidRPr="00000000">
        <w:rPr>
          <w:rtl w:val="0"/>
        </w:rPr>
        <w:t xml:space="preserve">. Limita los "Must-haves" a aproximadamente el 60% de la capacidad del equipo, dejando espacio para imprevistos y minimizando riesgos 11, 12.</w:t>
      </w:r>
    </w:p>
    <w:p w:rsidR="00000000" w:rsidDel="00000000" w:rsidP="00000000" w:rsidRDefault="00000000" w:rsidRPr="00000000" w14:paraId="00000008">
      <w:pPr>
        <w:rPr>
          <w:b w:val="1"/>
          <w:bCs w:val="1"/>
        </w:rPr>
      </w:pPr>
      <w:r w:rsidDel="00000000" w:rsidR="00000000" w:rsidRPr="00000000">
        <w:rPr>
          <w:b w:val="1"/>
          <w:bCs w:val="1"/>
          <w:rtl w:val="0"/>
        </w:rPr>
        <w:t xml:space="preserve">Fase 3: Proceso de Control de Cambios (Prevención de Scope Creep)</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Protocolo Formal de Cambios:</w:t>
      </w:r>
      <w:r w:rsidDel="00000000" w:rsidR="00000000" w:rsidRPr="00000000">
        <w:rPr>
          <w:rtl w:val="0"/>
        </w:rPr>
        <w:t xml:space="preserve"> Asume un rol de "guardián del alcance". Cualquier modificación solicitada (incluso pequeñas adiciones) debe pasar por un Proceso de Control de Cambios, donde se evalúe formalmente su impacto en tiempo, recursos y presupuesto antes de ser aprobada 8, 13, 14.</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Cero "Gold-Plating":</w:t>
      </w:r>
      <w:r w:rsidDel="00000000" w:rsidR="00000000" w:rsidRPr="00000000">
        <w:rPr>
          <w:rtl w:val="0"/>
        </w:rPr>
        <w:t xml:space="preserve"> Educa y empodera al equipo de desarrollo para que rechacen respetuosamente añadir funcionalidades no solicitadas ("gold-plating") o cambios informales, remitiendo cualquier petición de los </w:t>
      </w:r>
      <w:r w:rsidDel="00000000" w:rsidR="00000000" w:rsidRPr="00000000">
        <w:rPr>
          <w:i w:val="1"/>
          <w:iCs w:val="1"/>
          <w:rtl w:val="0"/>
        </w:rPr>
        <w:t xml:space="preserve">stakeholders</w:t>
      </w:r>
      <w:r w:rsidDel="00000000" w:rsidR="00000000" w:rsidRPr="00000000">
        <w:rPr>
          <w:rtl w:val="0"/>
        </w:rPr>
        <w:t xml:space="preserve"> al flujo oficial de aprobación 15-17.</w:t>
      </w:r>
    </w:p>
    <w:p w:rsidR="00000000" w:rsidDel="00000000" w:rsidP="00000000" w:rsidRDefault="00000000" w:rsidRPr="00000000" w14:paraId="0000000B">
      <w:pPr>
        <w:rPr>
          <w:b w:val="1"/>
          <w:bCs w:val="1"/>
        </w:rPr>
      </w:pPr>
      <w:r w:rsidDel="00000000" w:rsidR="00000000" w:rsidRPr="00000000">
        <w:rPr>
          <w:b w:val="1"/>
          <w:bCs w:val="1"/>
          <w:rtl w:val="0"/>
        </w:rPr>
        <w:t xml:space="preserve">Fase 4: Planificación Realista y Amortiguación de Tiempos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Gestión de Capacidad y Buffers:</w:t>
      </w:r>
      <w:r w:rsidDel="00000000" w:rsidR="00000000" w:rsidRPr="00000000">
        <w:rPr>
          <w:rtl w:val="0"/>
        </w:rPr>
        <w:t xml:space="preserve"> Nunca planifiques los </w:t>
      </w:r>
      <w:r w:rsidDel="00000000" w:rsidR="00000000" w:rsidRPr="00000000">
        <w:rPr>
          <w:i w:val="1"/>
          <w:iCs w:val="1"/>
          <w:rtl w:val="0"/>
        </w:rPr>
        <w:t xml:space="preserve">sprints</w:t>
      </w:r>
      <w:r w:rsidDel="00000000" w:rsidR="00000000" w:rsidRPr="00000000">
        <w:rPr>
          <w:rtl w:val="0"/>
        </w:rPr>
        <w:t xml:space="preserve"> al 100% de la capacidad del equipo. Reserva un margen (buffer) del 20-30% para manejar trabajo no planificado, corrección de errores urgentes, mejoras de calidad y dependencias tecnológicas inesperadas 18, 19.</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Filtro de "Definition of Ready" (DoR):</w:t>
      </w:r>
      <w:r w:rsidDel="00000000" w:rsidR="00000000" w:rsidRPr="00000000">
        <w:rPr>
          <w:rtl w:val="0"/>
        </w:rPr>
        <w:t xml:space="preserve"> Aplica un DoR estricto durante el refinamiento del </w:t>
      </w:r>
      <w:r w:rsidDel="00000000" w:rsidR="00000000" w:rsidRPr="00000000">
        <w:rPr>
          <w:i w:val="1"/>
          <w:iCs w:val="1"/>
          <w:rtl w:val="0"/>
        </w:rPr>
        <w:t xml:space="preserve">backlog</w:t>
      </w:r>
      <w:r w:rsidDel="00000000" w:rsidR="00000000" w:rsidRPr="00000000">
        <w:rPr>
          <w:rtl w:val="0"/>
        </w:rPr>
        <w:t xml:space="preserve">. Ninguna historia de usuario o integración debe entrar al </w:t>
      </w:r>
      <w:r w:rsidDel="00000000" w:rsidR="00000000" w:rsidRPr="00000000">
        <w:rPr>
          <w:i w:val="1"/>
          <w:iCs w:val="1"/>
          <w:rtl w:val="0"/>
        </w:rPr>
        <w:t xml:space="preserve">sprint</w:t>
      </w:r>
      <w:r w:rsidDel="00000000" w:rsidR="00000000" w:rsidRPr="00000000">
        <w:rPr>
          <w:rtl w:val="0"/>
        </w:rPr>
        <w:t xml:space="preserve"> a menos que todos sus criterios técnicos, dependencias y condiciones estén completamente claros y listos para ejecutarse 20.</w:t>
      </w:r>
    </w:p>
    <w:p w:rsidR="00000000" w:rsidDel="00000000" w:rsidP="00000000" w:rsidRDefault="00000000" w:rsidRPr="00000000" w14:paraId="0000000E">
      <w:pPr>
        <w:rPr>
          <w:b w:val="1"/>
          <w:bCs w:val="1"/>
        </w:rPr>
      </w:pPr>
      <w:r w:rsidDel="00000000" w:rsidR="00000000" w:rsidRPr="00000000">
        <w:rPr>
          <w:b w:val="1"/>
          <w:bCs w:val="1"/>
          <w:rtl w:val="0"/>
        </w:rPr>
        <w:t xml:space="preserve">Fase 5: Responsabilidad de Entrega (Delivery Accountability)</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Monitoreo Basado en Métricas:</w:t>
      </w:r>
      <w:r w:rsidDel="00000000" w:rsidR="00000000" w:rsidRPr="00000000">
        <w:rPr>
          <w:rtl w:val="0"/>
        </w:rPr>
        <w:t xml:space="preserve"> Deja de medir solo el "porcentaje de completado" y comienza a rastrear métricas de eficiencia técnica como </w:t>
      </w:r>
      <w:r w:rsidDel="00000000" w:rsidR="00000000" w:rsidRPr="00000000">
        <w:rPr>
          <w:b w:val="1"/>
          <w:bCs w:val="1"/>
          <w:rtl w:val="0"/>
        </w:rPr>
        <w:t xml:space="preserve">Lead Time</w:t>
      </w:r>
      <w:r w:rsidDel="00000000" w:rsidR="00000000" w:rsidRPr="00000000">
        <w:rPr>
          <w:rtl w:val="0"/>
        </w:rPr>
        <w:t xml:space="preserve"> (tiempo desde la idea hasta producción), </w:t>
      </w:r>
      <w:r w:rsidDel="00000000" w:rsidR="00000000" w:rsidRPr="00000000">
        <w:rPr>
          <w:b w:val="1"/>
          <w:bCs w:val="1"/>
          <w:rtl w:val="0"/>
        </w:rPr>
        <w:t xml:space="preserve">Cycle Time</w:t>
      </w:r>
      <w:r w:rsidDel="00000000" w:rsidR="00000000" w:rsidRPr="00000000">
        <w:rPr>
          <w:rtl w:val="0"/>
        </w:rPr>
        <w:t xml:space="preserve"> (velocidad de ejecución de la tarea) y </w:t>
      </w:r>
      <w:r w:rsidDel="00000000" w:rsidR="00000000" w:rsidRPr="00000000">
        <w:rPr>
          <w:b w:val="1"/>
          <w:bCs w:val="1"/>
          <w:rtl w:val="0"/>
        </w:rPr>
        <w:t xml:space="preserve">Throughput</w:t>
      </w:r>
      <w:r w:rsidDel="00000000" w:rsidR="00000000" w:rsidRPr="00000000">
        <w:rPr>
          <w:rtl w:val="0"/>
        </w:rPr>
        <w:t xml:space="preserve"> 21, 22.</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Seguimiento y Rituales de Inspección:</w:t>
      </w:r>
      <w:r w:rsidDel="00000000" w:rsidR="00000000" w:rsidRPr="00000000">
        <w:rPr>
          <w:rtl w:val="0"/>
        </w:rPr>
        <w:t xml:space="preserve"> Utiliza herramientas de gestión (Jira, Linear, Asana) con tableros Kanban o cronogramas para visibilidad en tiempo real de los bloqueos 23, 24. Facilita </w:t>
      </w:r>
      <w:r w:rsidDel="00000000" w:rsidR="00000000" w:rsidRPr="00000000">
        <w:rPr>
          <w:i w:val="1"/>
          <w:iCs w:val="1"/>
          <w:rtl w:val="0"/>
        </w:rPr>
        <w:t xml:space="preserve">daily stand-ups</w:t>
      </w:r>
      <w:r w:rsidDel="00000000" w:rsidR="00000000" w:rsidRPr="00000000">
        <w:rPr>
          <w:rtl w:val="0"/>
        </w:rPr>
        <w:t xml:space="preserve"> para resolver impedimentos diarios y lleva a cabo retrospectivas rigurosas al final de cada iteración para detectar qué comprometió la velocidad y ajustar los planes futuros 25-27.</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