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FAC4" w14:textId="2F2CD520" w:rsidR="00CA6D84" w:rsidRDefault="00956CEE" w:rsidP="00956CEE">
      <w:pPr>
        <w:pStyle w:val="Heading1"/>
      </w:pPr>
      <w:r>
        <w:t>Blynclight description</w:t>
      </w:r>
    </w:p>
    <w:p w14:paraId="65F8E7E4" w14:textId="18E509AC" w:rsidR="00956CEE" w:rsidRDefault="00956CEE"/>
    <w:p w14:paraId="1357B06A" w14:textId="77777777" w:rsidR="00956CEE" w:rsidRPr="00956CEE" w:rsidRDefault="00956CEE" w:rsidP="00956CEE">
      <w:pPr>
        <w:spacing w:after="300" w:line="345" w:lineRule="atLeast"/>
        <w:rPr>
          <w:rFonts w:ascii="Open Sans" w:eastAsia="Times New Roman" w:hAnsi="Open Sans" w:cs="Open Sans"/>
          <w:sz w:val="23"/>
          <w:szCs w:val="23"/>
          <w:lang w:eastAsia="en-AU"/>
        </w:rPr>
      </w:pP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The </w:t>
      </w:r>
      <w:r w:rsidRPr="00956CEE">
        <w:rPr>
          <w:rFonts w:ascii="Open Sans" w:eastAsia="Times New Roman" w:hAnsi="Open Sans" w:cs="Open Sans"/>
          <w:b/>
          <w:bCs/>
          <w:sz w:val="23"/>
          <w:szCs w:val="23"/>
          <w:lang w:eastAsia="en-AU"/>
        </w:rPr>
        <w:t>Blynclight 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is designed to let your colleagues know when you're on a call, busy with a deadline or available to chat:</w:t>
      </w:r>
    </w:p>
    <w:p w14:paraId="2617999E" w14:textId="0B0848D3" w:rsidR="00956CEE" w:rsidRPr="00956CEE" w:rsidRDefault="00956CEE" w:rsidP="00956CEE">
      <w:pPr>
        <w:numPr>
          <w:ilvl w:val="0"/>
          <w:numId w:val="1"/>
        </w:numPr>
        <w:spacing w:before="100" w:beforeAutospacing="1" w:after="75" w:line="240" w:lineRule="auto"/>
        <w:ind w:left="1020"/>
        <w:rPr>
          <w:rFonts w:ascii="Open Sans" w:eastAsia="Times New Roman" w:hAnsi="Open Sans" w:cs="Open Sans"/>
          <w:sz w:val="23"/>
          <w:szCs w:val="23"/>
          <w:lang w:eastAsia="en-AU"/>
        </w:rPr>
      </w:pP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Sync your status with Microsoft Teams</w:t>
      </w:r>
      <w:r w:rsidR="00E03FC7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1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, Skype for Business/Lync, Cisco Jabber</w:t>
      </w:r>
      <w:r w:rsidR="00E03FC7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2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, </w:t>
      </w:r>
      <w:r w:rsidR="00E03FC7">
        <w:rPr>
          <w:rFonts w:ascii="Open Sans" w:eastAsia="Times New Roman" w:hAnsi="Open Sans" w:cs="Open Sans"/>
          <w:sz w:val="23"/>
          <w:szCs w:val="23"/>
          <w:lang w:eastAsia="en-AU"/>
        </w:rPr>
        <w:t>Cisco WebEx</w:t>
      </w:r>
      <w:r w:rsidR="00E03FC7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3</w:t>
      </w:r>
      <w:r w:rsidR="00E03FC7">
        <w:rPr>
          <w:rFonts w:ascii="Open Sans" w:eastAsia="Times New Roman" w:hAnsi="Open Sans" w:cs="Open Sans"/>
          <w:sz w:val="23"/>
          <w:szCs w:val="23"/>
          <w:lang w:eastAsia="en-AU"/>
        </w:rPr>
        <w:t xml:space="preserve">, 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Slack</w:t>
      </w:r>
      <w:r w:rsidR="0022665C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3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, Zoom, RingCentral</w:t>
      </w:r>
      <w:r w:rsidR="0022665C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3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, Genesys PureCloud</w:t>
      </w:r>
      <w:r w:rsidR="00EA43B4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4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, Cisco Finesse</w:t>
      </w:r>
      <w:r w:rsidR="00EA43B4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5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, Circuit by Unify</w:t>
      </w:r>
      <w:r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6</w:t>
      </w:r>
      <w:r w:rsidR="00955821">
        <w:rPr>
          <w:rFonts w:ascii="Open Sans" w:eastAsia="Times New Roman" w:hAnsi="Open Sans" w:cs="Open Sans"/>
          <w:sz w:val="23"/>
          <w:szCs w:val="23"/>
          <w:lang w:eastAsia="en-AU"/>
        </w:rPr>
        <w:t xml:space="preserve">, 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CounterPath Bria</w:t>
      </w:r>
      <w:r w:rsidR="00EA43B4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3</w:t>
      </w:r>
      <w:r w:rsidR="000864B8">
        <w:rPr>
          <w:rFonts w:ascii="Open Sans" w:eastAsia="Times New Roman" w:hAnsi="Open Sans" w:cs="Open Sans"/>
          <w:sz w:val="23"/>
          <w:szCs w:val="23"/>
          <w:lang w:eastAsia="en-AU"/>
        </w:rPr>
        <w:t>, Plantronics Hub</w:t>
      </w:r>
      <w:r w:rsidR="00721CD9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7</w:t>
      </w:r>
      <w:r w:rsidR="000864B8">
        <w:rPr>
          <w:rFonts w:ascii="Open Sans" w:eastAsia="Times New Roman" w:hAnsi="Open Sans" w:cs="Open Sans"/>
          <w:sz w:val="23"/>
          <w:szCs w:val="23"/>
          <w:lang w:eastAsia="en-AU"/>
        </w:rPr>
        <w:t xml:space="preserve"> 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or controlled manually.</w:t>
      </w:r>
    </w:p>
    <w:p w14:paraId="726D0455" w14:textId="20A0AE91" w:rsidR="00956CEE" w:rsidRPr="00956CEE" w:rsidRDefault="00956CEE" w:rsidP="00956CEE">
      <w:pPr>
        <w:numPr>
          <w:ilvl w:val="0"/>
          <w:numId w:val="1"/>
        </w:numPr>
        <w:spacing w:before="100" w:beforeAutospacing="1" w:after="75" w:line="240" w:lineRule="auto"/>
        <w:ind w:left="1020"/>
        <w:rPr>
          <w:rFonts w:ascii="Open Sans" w:eastAsia="Times New Roman" w:hAnsi="Open Sans" w:cs="Open Sans"/>
          <w:sz w:val="23"/>
          <w:szCs w:val="23"/>
          <w:lang w:eastAsia="en-AU"/>
        </w:rPr>
      </w:pP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Flashes on Incoming Calls</w:t>
      </w:r>
    </w:p>
    <w:p w14:paraId="5B4C2B16" w14:textId="4F55ABCB" w:rsidR="00956CEE" w:rsidRPr="00956CEE" w:rsidRDefault="00956CEE" w:rsidP="00956CEE">
      <w:pPr>
        <w:numPr>
          <w:ilvl w:val="0"/>
          <w:numId w:val="1"/>
        </w:numPr>
        <w:spacing w:before="100" w:beforeAutospacing="1" w:after="75" w:line="240" w:lineRule="auto"/>
        <w:ind w:left="1020"/>
        <w:rPr>
          <w:rFonts w:ascii="Open Sans" w:eastAsia="Times New Roman" w:hAnsi="Open Sans" w:cs="Open Sans"/>
          <w:sz w:val="23"/>
          <w:szCs w:val="23"/>
          <w:lang w:eastAsia="en-AU"/>
        </w:rPr>
      </w:pP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Flashes on Incoming Instant Messages</w:t>
      </w:r>
    </w:p>
    <w:p w14:paraId="141DCEBA" w14:textId="77777777" w:rsidR="00956CEE" w:rsidRPr="00956CEE" w:rsidRDefault="00956CEE" w:rsidP="00956CEE">
      <w:pPr>
        <w:numPr>
          <w:ilvl w:val="0"/>
          <w:numId w:val="1"/>
        </w:numPr>
        <w:spacing w:before="100" w:beforeAutospacing="1" w:after="75" w:line="240" w:lineRule="auto"/>
        <w:ind w:left="1020"/>
        <w:rPr>
          <w:rFonts w:ascii="Open Sans" w:eastAsia="Times New Roman" w:hAnsi="Open Sans" w:cs="Open Sans"/>
          <w:sz w:val="23"/>
          <w:szCs w:val="23"/>
          <w:lang w:eastAsia="en-AU"/>
        </w:rPr>
      </w:pP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Adjustable Brightness Control</w:t>
      </w:r>
    </w:p>
    <w:p w14:paraId="56905FFB" w14:textId="02406A35" w:rsidR="00956CEE" w:rsidRDefault="00956CEE" w:rsidP="00956CEE">
      <w:pPr>
        <w:spacing w:after="300" w:line="345" w:lineRule="atLeast"/>
        <w:rPr>
          <w:rFonts w:ascii="Open Sans" w:eastAsia="Times New Roman" w:hAnsi="Open Sans" w:cs="Open Sans"/>
          <w:sz w:val="23"/>
          <w:szCs w:val="23"/>
          <w:lang w:eastAsia="en-AU"/>
        </w:rPr>
      </w:pP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Further enhance workplace productivity with the </w:t>
      </w:r>
      <w:r w:rsidRPr="00956CEE">
        <w:rPr>
          <w:rFonts w:ascii="Open Sans" w:eastAsia="Times New Roman" w:hAnsi="Open Sans" w:cs="Open Sans"/>
          <w:b/>
          <w:bCs/>
          <w:sz w:val="23"/>
          <w:szCs w:val="23"/>
          <w:lang w:eastAsia="en-AU"/>
        </w:rPr>
        <w:t>Blynclight Standard</w:t>
      </w:r>
      <w:r w:rsidRPr="00956CEE">
        <w:rPr>
          <w:rFonts w:ascii="Open Sans" w:eastAsia="Times New Roman" w:hAnsi="Open Sans" w:cs="Open Sans"/>
          <w:sz w:val="23"/>
          <w:szCs w:val="23"/>
          <w:lang w:eastAsia="en-AU"/>
        </w:rPr>
        <w:t>﻿.</w:t>
      </w:r>
    </w:p>
    <w:p w14:paraId="37620B8C" w14:textId="33EF1673" w:rsidR="00E03FC7" w:rsidRPr="00956CEE" w:rsidRDefault="00E03FC7" w:rsidP="00E03FC7">
      <w:pPr>
        <w:spacing w:after="0" w:line="345" w:lineRule="atLeast"/>
        <w:rPr>
          <w:rFonts w:ascii="Open Sans" w:eastAsia="Times New Roman" w:hAnsi="Open Sans" w:cs="Open Sans"/>
          <w:sz w:val="23"/>
          <w:szCs w:val="23"/>
          <w:lang w:eastAsia="en-AU"/>
        </w:rPr>
      </w:pPr>
      <w:r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1. </w:t>
      </w:r>
      <w:r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For Microsoft Teams</w:t>
      </w:r>
      <w:r w:rsidR="00D40238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, </w:t>
      </w:r>
      <w:r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Incoming Call </w:t>
      </w:r>
      <w:r w:rsidR="00D40238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alert support</w:t>
      </w:r>
      <w:r w:rsidR="00015A02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s </w:t>
      </w:r>
      <w:r w:rsidR="00D40238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Teams-Teams calls and does not </w:t>
      </w:r>
      <w:r w:rsidR="00015A02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support</w:t>
      </w:r>
      <w:r w:rsidR="00D40238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 PSTN calls.</w:t>
      </w:r>
      <w:r w:rsidR="00015A02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 Teams </w:t>
      </w:r>
      <w:r w:rsidR="00015A02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Incoming Call alert is not supported on MAC.</w:t>
      </w:r>
    </w:p>
    <w:p w14:paraId="079B808E" w14:textId="0632E996" w:rsidR="00015A02" w:rsidRDefault="00E03FC7" w:rsidP="00015A02">
      <w:pPr>
        <w:spacing w:after="0" w:line="345" w:lineRule="atLeast"/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</w:pPr>
      <w:r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2.</w:t>
      </w:r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 Incoming Call alerts supported by Cisco Jabber for Windows soft phone only - Cisco desk phone not supported.</w:t>
      </w:r>
      <w:r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 </w:t>
      </w:r>
      <w:r w:rsidR="0022665C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IM Alert</w:t>
      </w:r>
      <w:r w:rsidR="0022665C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 not supported</w:t>
      </w:r>
      <w:r w:rsidR="0022665C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.</w:t>
      </w:r>
      <w:r w:rsidR="00B51718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 </w:t>
      </w:r>
      <w:r w:rsidR="00015A02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Jabber </w:t>
      </w:r>
      <w:r w:rsidR="00015A02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Incoming Call alert is not supported on MAC.</w:t>
      </w:r>
    </w:p>
    <w:p w14:paraId="7BBEF2AD" w14:textId="739F7B96" w:rsidR="00956CEE" w:rsidRDefault="00E03FC7" w:rsidP="0022665C">
      <w:pPr>
        <w:spacing w:after="0" w:line="345" w:lineRule="atLeast"/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</w:pPr>
      <w:r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3. Cisco WebEx</w:t>
      </w:r>
      <w:r w:rsidR="0022665C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, Slack, RingCentral</w:t>
      </w:r>
      <w:r w:rsidR="00EA43B4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, CounterPath Bria</w:t>
      </w:r>
      <w:r w:rsidR="0022665C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 are </w:t>
      </w:r>
      <w:r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supported on Windows and not on MAC.</w:t>
      </w:r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br/>
      </w:r>
      <w:r w:rsidR="00EA43B4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4</w:t>
      </w:r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. Genesys PureCloud support provided by </w:t>
      </w:r>
      <w:hyperlink r:id="rId5" w:history="1">
        <w:r w:rsidR="00956CEE" w:rsidRPr="00956CEE">
          <w:rPr>
            <w:rFonts w:ascii="Open Sans" w:eastAsia="Times New Roman" w:hAnsi="Open Sans" w:cs="Open Sans"/>
            <w:sz w:val="23"/>
            <w:szCs w:val="23"/>
            <w:u w:val="single"/>
            <w:vertAlign w:val="superscript"/>
            <w:lang w:eastAsia="en-AU"/>
          </w:rPr>
          <w:t>CCO for Genesys Feature Licence</w:t>
        </w:r>
      </w:hyperlink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.</w:t>
      </w:r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br/>
      </w:r>
      <w:r w:rsidR="00EA43B4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5</w:t>
      </w:r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. Cisco Finesse support provided by </w:t>
      </w:r>
      <w:hyperlink r:id="rId6" w:history="1">
        <w:r w:rsidR="00956CEE" w:rsidRPr="00956CEE">
          <w:rPr>
            <w:rFonts w:ascii="Open Sans" w:eastAsia="Times New Roman" w:hAnsi="Open Sans" w:cs="Open Sans"/>
            <w:sz w:val="23"/>
            <w:szCs w:val="23"/>
            <w:u w:val="single"/>
            <w:vertAlign w:val="superscript"/>
            <w:lang w:eastAsia="en-AU"/>
          </w:rPr>
          <w:t>CCO for Finesse Feature Licence</w:t>
        </w:r>
      </w:hyperlink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.</w:t>
      </w:r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br/>
      </w:r>
      <w:r w:rsidR="00EA43B4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6</w:t>
      </w:r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. Native support within Circuit - Embrava Connect not required</w:t>
      </w:r>
      <w:r w:rsidR="0022665C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.</w:t>
      </w:r>
      <w:r w:rsidR="00956CEE" w:rsidRPr="00956CEE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 </w:t>
      </w:r>
    </w:p>
    <w:p w14:paraId="746F52BF" w14:textId="077B9D5A" w:rsidR="00524828" w:rsidRDefault="00524828" w:rsidP="0022665C">
      <w:pPr>
        <w:spacing w:after="0" w:line="345" w:lineRule="atLeast"/>
        <w:contextualSpacing/>
        <w:rPr>
          <w:rStyle w:val="Hyperlink"/>
          <w:rFonts w:ascii="Open Sans" w:eastAsia="Times New Roman" w:hAnsi="Open Sans" w:cs="Open Sans"/>
          <w:sz w:val="23"/>
          <w:szCs w:val="23"/>
          <w:vertAlign w:val="superscript"/>
          <w:lang w:eastAsia="en-AU"/>
        </w:rPr>
      </w:pPr>
      <w:r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7. Plantronics Hub is supported based on </w:t>
      </w:r>
      <w:hyperlink r:id="rId7" w:history="1">
        <w:r w:rsidRPr="00E01244">
          <w:rPr>
            <w:rStyle w:val="Hyperlink"/>
            <w:rFonts w:ascii="Open Sans" w:eastAsia="Times New Roman" w:hAnsi="Open Sans" w:cs="Open Sans"/>
            <w:sz w:val="23"/>
            <w:szCs w:val="23"/>
            <w:vertAlign w:val="superscript"/>
            <w:lang w:eastAsia="en-AU"/>
          </w:rPr>
          <w:t>softphone and headset compatibility.</w:t>
        </w:r>
      </w:hyperlink>
    </w:p>
    <w:p w14:paraId="2C50477C" w14:textId="047067AA" w:rsidR="00D40238" w:rsidRPr="0022665C" w:rsidRDefault="00D40238" w:rsidP="0022665C">
      <w:pPr>
        <w:spacing w:after="0" w:line="345" w:lineRule="atLeast"/>
        <w:contextualSpacing/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</w:pPr>
      <w:r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 xml:space="preserve">8. If new RingCental MVP App is used, then our RingCentral integration works only with </w:t>
      </w:r>
      <w:r w:rsidR="00A74969">
        <w:rPr>
          <w:rFonts w:ascii="Open Sans" w:eastAsia="Times New Roman" w:hAnsi="Open Sans" w:cs="Open Sans"/>
          <w:sz w:val="23"/>
          <w:szCs w:val="23"/>
          <w:vertAlign w:val="superscript"/>
          <w:lang w:eastAsia="en-AU"/>
        </w:rPr>
        <w:t>accounts having RingCentral MVP Premium or Ultimate plans and will not work with Essentials or Standard plan accounts.</w:t>
      </w:r>
    </w:p>
    <w:p w14:paraId="25B0B7EB" w14:textId="77777777" w:rsidR="00956CEE" w:rsidRDefault="00956CEE"/>
    <w:sectPr w:rsidR="0095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016C"/>
    <w:multiLevelType w:val="multilevel"/>
    <w:tmpl w:val="9B3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42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E"/>
    <w:rsid w:val="00015A02"/>
    <w:rsid w:val="000864B8"/>
    <w:rsid w:val="0022665C"/>
    <w:rsid w:val="0037415A"/>
    <w:rsid w:val="00524828"/>
    <w:rsid w:val="00721CD9"/>
    <w:rsid w:val="00726716"/>
    <w:rsid w:val="00955821"/>
    <w:rsid w:val="00956CEE"/>
    <w:rsid w:val="00A74969"/>
    <w:rsid w:val="00B51718"/>
    <w:rsid w:val="00C601D5"/>
    <w:rsid w:val="00CA6D84"/>
    <w:rsid w:val="00D40238"/>
    <w:rsid w:val="00E01244"/>
    <w:rsid w:val="00E03FC7"/>
    <w:rsid w:val="00EA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25BE"/>
  <w15:chartTrackingRefBased/>
  <w15:docId w15:val="{523AAE9D-CCFA-4DC4-9652-D7E906AE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56CEE"/>
    <w:rPr>
      <w:b/>
      <w:bCs/>
    </w:rPr>
  </w:style>
  <w:style w:type="character" w:styleId="Hyperlink">
    <w:name w:val="Hyperlink"/>
    <w:basedOn w:val="DefaultParagraphFont"/>
    <w:uiPriority w:val="99"/>
    <w:unhideWhenUsed/>
    <w:rsid w:val="00956C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6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F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1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y.com/us/en/products/services/cloud/plantronics-manager-pro/supported-de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brava.com/products/embrava-cco-feature-licence-for-cisco-finesse" TargetMode="External"/><Relationship Id="rId5" Type="http://schemas.openxmlformats.org/officeDocument/2006/relationships/hyperlink" Target="https://embrava.com/products/embrava-cco-feature-licence-for-genesys-pureclo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Empeigne</dc:creator>
  <cp:keywords/>
  <dc:description/>
  <cp:lastModifiedBy>Senthil Nathan</cp:lastModifiedBy>
  <cp:revision>5</cp:revision>
  <dcterms:created xsi:type="dcterms:W3CDTF">2022-12-14T00:28:00Z</dcterms:created>
  <dcterms:modified xsi:type="dcterms:W3CDTF">2023-03-02T04:27:00Z</dcterms:modified>
</cp:coreProperties>
</file>