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539" w:rsidRDefault="00684539" w:rsidP="00684539">
      <w:pPr>
        <w:pStyle w:val="Heading1"/>
        <w:jc w:val="center"/>
      </w:pPr>
      <w:r>
        <w:t>Kickstarter Data Report</w:t>
      </w:r>
    </w:p>
    <w:p w:rsidR="00684539" w:rsidRDefault="00684539" w:rsidP="00B60B09">
      <w:pPr>
        <w:keepNext/>
        <w:jc w:val="center"/>
      </w:pPr>
    </w:p>
    <w:p w:rsidR="00B60B09" w:rsidRDefault="00B60B09" w:rsidP="00B60B09">
      <w:pPr>
        <w:keepNext/>
        <w:jc w:val="center"/>
      </w:pPr>
      <w:r>
        <w:rPr>
          <w:noProof/>
        </w:rPr>
        <w:drawing>
          <wp:inline distT="0" distB="0" distL="0" distR="0" wp14:anchorId="1F63A5FF" wp14:editId="4CE3EA19">
            <wp:extent cx="3917852" cy="2089052"/>
            <wp:effectExtent l="0" t="0" r="6985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B23D3" w:rsidRDefault="00B60B09" w:rsidP="00B60B0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EA7A6D">
        <w:t>: Graph of Kicks</w:t>
      </w:r>
      <w:r>
        <w:t>tarter campaign</w:t>
      </w:r>
      <w:r>
        <w:t xml:space="preserve"> successes, failures, and cancellations</w:t>
      </w:r>
      <w:r>
        <w:t xml:space="preserve"> by category.</w:t>
      </w:r>
    </w:p>
    <w:p w:rsidR="00FF4AC2" w:rsidRDefault="00FF4AC2" w:rsidP="00EA7A6D">
      <w:pPr>
        <w:ind w:firstLine="720"/>
      </w:pPr>
    </w:p>
    <w:p w:rsidR="00EA7A6D" w:rsidRDefault="00EA7A6D" w:rsidP="00EA7A6D">
      <w:pPr>
        <w:ind w:firstLine="720"/>
      </w:pPr>
      <w:r>
        <w:t xml:space="preserve">Based on the provided data, </w:t>
      </w:r>
      <w:r>
        <w:t xml:space="preserve">theater campaigns were the most popular </w:t>
      </w:r>
      <w:r w:rsidR="00FF4AC2">
        <w:t xml:space="preserve">category </w:t>
      </w:r>
      <w:r>
        <w:t>during this time period. There were more theater campaign successes and failures than there were for any other categories.</w:t>
      </w:r>
    </w:p>
    <w:p w:rsidR="00FF4AC2" w:rsidRDefault="00FF4AC2" w:rsidP="00EA7A6D">
      <w:pPr>
        <w:ind w:firstLine="720"/>
      </w:pPr>
    </w:p>
    <w:p w:rsidR="00EA7A6D" w:rsidRDefault="00EA7A6D" w:rsidP="00EA7A6D">
      <w:pPr>
        <w:keepNext/>
      </w:pPr>
    </w:p>
    <w:p w:rsidR="00B60B09" w:rsidRDefault="00B60B09" w:rsidP="00B60B09">
      <w:pPr>
        <w:keepNext/>
        <w:jc w:val="center"/>
      </w:pPr>
      <w:r>
        <w:rPr>
          <w:noProof/>
        </w:rPr>
        <w:drawing>
          <wp:inline distT="0" distB="0" distL="0" distR="0" wp14:anchorId="4DF2B213" wp14:editId="72A66CB3">
            <wp:extent cx="5331655" cy="3031588"/>
            <wp:effectExtent l="0" t="0" r="2540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24BE7" w:rsidRDefault="00B60B09" w:rsidP="00824BE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="00EA7A6D">
        <w:t>: Kicks</w:t>
      </w:r>
      <w:r>
        <w:t>tarter campaign successes, failures, and cancellations by subcategory.</w:t>
      </w:r>
    </w:p>
    <w:p w:rsidR="00FF4AC2" w:rsidRDefault="00FF4AC2" w:rsidP="00FF4AC2">
      <w:pPr>
        <w:pStyle w:val="Caption"/>
        <w:ind w:firstLine="720"/>
        <w:rPr>
          <w:i w:val="0"/>
          <w:sz w:val="24"/>
          <w:szCs w:val="24"/>
        </w:rPr>
      </w:pPr>
    </w:p>
    <w:p w:rsidR="00824BE7" w:rsidRPr="00824BE7" w:rsidRDefault="00EA7A6D" w:rsidP="00FF4AC2">
      <w:pPr>
        <w:pStyle w:val="Caption"/>
        <w:ind w:firstLine="720"/>
        <w:rPr>
          <w:i w:val="0"/>
          <w:sz w:val="24"/>
          <w:szCs w:val="24"/>
        </w:rPr>
      </w:pPr>
      <w:r w:rsidRPr="00824BE7">
        <w:rPr>
          <w:i w:val="0"/>
          <w:sz w:val="24"/>
          <w:szCs w:val="24"/>
        </w:rPr>
        <w:t xml:space="preserve">Based on the data displayed in the above graphs, </w:t>
      </w:r>
      <w:r w:rsidR="00824BE7" w:rsidRPr="00824BE7">
        <w:rPr>
          <w:i w:val="0"/>
          <w:sz w:val="24"/>
          <w:szCs w:val="24"/>
        </w:rPr>
        <w:t>music campaigns succeed at a higher rate than any others, with rock music being the most popular.</w:t>
      </w:r>
    </w:p>
    <w:p w:rsidR="00B60B09" w:rsidRDefault="00B60B09" w:rsidP="00B60B0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B6C86B" wp14:editId="5F33981F">
            <wp:extent cx="4452425" cy="2546252"/>
            <wp:effectExtent l="0" t="0" r="5715" b="698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60B09" w:rsidRDefault="00B60B09" w:rsidP="00EA7A6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 w:rsidR="00EA7A6D">
        <w:t>: Kicks</w:t>
      </w:r>
      <w:r>
        <w:t>tarter campaign</w:t>
      </w:r>
      <w:r w:rsidRPr="00A45543">
        <w:t xml:space="preserve"> successes, failures, and cancellations</w:t>
      </w:r>
      <w:r>
        <w:t xml:space="preserve"> by month.</w:t>
      </w:r>
    </w:p>
    <w:p w:rsidR="00824BE7" w:rsidRDefault="00824BE7" w:rsidP="009E408C">
      <w:pPr>
        <w:ind w:firstLine="720"/>
      </w:pPr>
      <w:r>
        <w:t xml:space="preserve">Based </w:t>
      </w:r>
      <w:r w:rsidR="00684539">
        <w:t xml:space="preserve">on the above </w:t>
      </w:r>
      <w:r w:rsidR="00FF4AC2">
        <w:t>graph, summer campaigns are most</w:t>
      </w:r>
      <w:r w:rsidR="00684539">
        <w:t xml:space="preserve"> popular, while December campaigns are least popular.</w:t>
      </w:r>
    </w:p>
    <w:p w:rsidR="009E408C" w:rsidRDefault="009E408C" w:rsidP="00824BE7"/>
    <w:p w:rsidR="009E408C" w:rsidRDefault="00684539" w:rsidP="00824BE7">
      <w:r>
        <w:tab/>
      </w:r>
      <w:r w:rsidR="00FF4AC2">
        <w:t xml:space="preserve">This dataset does not include information on the </w:t>
      </w:r>
      <w:r w:rsidR="00473EAE">
        <w:t xml:space="preserve">campaign creators. One would expect campaigns from well-followed creators to succeed at a high rate than from relative nobodies. </w:t>
      </w:r>
      <w:bookmarkStart w:id="0" w:name="_GoBack"/>
      <w:bookmarkEnd w:id="0"/>
    </w:p>
    <w:p w:rsidR="009E408C" w:rsidRDefault="009E408C" w:rsidP="00824BE7">
      <w:r>
        <w:tab/>
      </w:r>
    </w:p>
    <w:p w:rsidR="009E408C" w:rsidRDefault="009E408C" w:rsidP="00684539">
      <w:pPr>
        <w:ind w:firstLine="720"/>
      </w:pPr>
      <w:r>
        <w:t xml:space="preserve">It would have been interesting to include graphs that include whether or not a campaign was a </w:t>
      </w:r>
      <w:r w:rsidRPr="00684539">
        <w:rPr>
          <w:i/>
        </w:rPr>
        <w:t>staff pick</w:t>
      </w:r>
      <w:r>
        <w:t xml:space="preserve"> or </w:t>
      </w:r>
      <w:r w:rsidRPr="00684539">
        <w:rPr>
          <w:i/>
        </w:rPr>
        <w:t>spotlight</w:t>
      </w:r>
      <w:r>
        <w:t xml:space="preserve"> campaign in order to see how those designations affect a campaign’s success rate.</w:t>
      </w:r>
    </w:p>
    <w:p w:rsidR="009E408C" w:rsidRPr="00824BE7" w:rsidRDefault="009E408C" w:rsidP="00824BE7"/>
    <w:sectPr w:rsidR="009E408C" w:rsidRPr="0082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81B88"/>
    <w:multiLevelType w:val="multilevel"/>
    <w:tmpl w:val="DD548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A23EA"/>
    <w:multiLevelType w:val="multilevel"/>
    <w:tmpl w:val="E446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36D3F"/>
    <w:multiLevelType w:val="hybridMultilevel"/>
    <w:tmpl w:val="F6F25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B5"/>
    <w:rsid w:val="001238B5"/>
    <w:rsid w:val="00141ACD"/>
    <w:rsid w:val="00473EAE"/>
    <w:rsid w:val="004B23D3"/>
    <w:rsid w:val="00684539"/>
    <w:rsid w:val="00774D83"/>
    <w:rsid w:val="00824BE7"/>
    <w:rsid w:val="009E408C"/>
    <w:rsid w:val="00B60B09"/>
    <w:rsid w:val="00EA7A6D"/>
    <w:rsid w:val="00FF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9B1B"/>
  <w15:chartTrackingRefBased/>
  <w15:docId w15:val="{B387B127-10E1-4863-943A-9A0C71F8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5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8B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0B0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845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liott\Documents\Personal\Rutgers%20Bootcamp\excel-challenge\excel-challenge\McFarland-HW2-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liott\Documents\Personal\Rutgers%20Bootcamp\excel-challenge\excel-challenge\McFarland-HW2-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liott\Documents\Personal\Rutgers%20Bootcamp\excel-challenge\excel-challenge\McFarland-HW2-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[McFarland-HW2-Excel.xlsx]ByCategory!PivotTable1</c:name>
    <c:fmtId val="-1"/>
  </c:pivotSource>
  <c:chart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ByCategory!$B$3:$B$4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ByCategory!$B$5:$B$14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06-4BD3-92AB-78EFC0FFAEE1}"/>
            </c:ext>
          </c:extLst>
        </c:ser>
        <c:ser>
          <c:idx val="1"/>
          <c:order val="1"/>
          <c:tx>
            <c:strRef>
              <c:f>ByCategory!$C$3:$C$4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ByCategory!$C$5:$C$14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06-4BD3-92AB-78EFC0FFAEE1}"/>
            </c:ext>
          </c:extLst>
        </c:ser>
        <c:ser>
          <c:idx val="2"/>
          <c:order val="2"/>
          <c:tx>
            <c:strRef>
              <c:f>ByCategory!$D$3:$D$4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ByCategory!$D$5:$D$14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106-4BD3-92AB-78EFC0FFAEE1}"/>
            </c:ext>
          </c:extLst>
        </c:ser>
        <c:ser>
          <c:idx val="3"/>
          <c:order val="3"/>
          <c:tx>
            <c:strRef>
              <c:f>ByCategory!$E$3:$E$4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ByCategory!$E$5:$E$14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106-4BD3-92AB-78EFC0FFAE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7416688"/>
        <c:axId val="507413408"/>
      </c:barChart>
      <c:catAx>
        <c:axId val="507416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413408"/>
        <c:crosses val="autoZero"/>
        <c:auto val="1"/>
        <c:lblAlgn val="ctr"/>
        <c:lblOffset val="100"/>
        <c:noMultiLvlLbl val="0"/>
      </c:catAx>
      <c:valAx>
        <c:axId val="50741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41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[McFarland-HW2-Excel.xlsx]BySubCategory!PivotTable2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BySubCategory!$B$4:$B$5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BySubCategory!$A$6:$A$47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BySubCategory!$B$6:$B$47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32-48EB-9588-A70D166A3650}"/>
            </c:ext>
          </c:extLst>
        </c:ser>
        <c:ser>
          <c:idx val="1"/>
          <c:order val="1"/>
          <c:tx>
            <c:strRef>
              <c:f>BySubCategory!$C$4:$C$5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BySubCategory!$A$6:$A$47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BySubCategory!$C$6:$C$47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32-48EB-9588-A70D166A3650}"/>
            </c:ext>
          </c:extLst>
        </c:ser>
        <c:ser>
          <c:idx val="2"/>
          <c:order val="2"/>
          <c:tx>
            <c:strRef>
              <c:f>BySubCategory!$D$4:$D$5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BySubCategory!$A$6:$A$47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BySubCategory!$D$6:$D$47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432-48EB-9588-A70D166A3650}"/>
            </c:ext>
          </c:extLst>
        </c:ser>
        <c:ser>
          <c:idx val="3"/>
          <c:order val="3"/>
          <c:tx>
            <c:strRef>
              <c:f>BySubCategory!$E$4:$E$5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BySubCategory!$A$6:$A$47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BySubCategory!$E$6:$E$47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432-48EB-9588-A70D166A36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83215784"/>
        <c:axId val="483214472"/>
      </c:barChart>
      <c:catAx>
        <c:axId val="483215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214472"/>
        <c:crosses val="autoZero"/>
        <c:auto val="1"/>
        <c:lblAlgn val="ctr"/>
        <c:lblOffset val="100"/>
        <c:noMultiLvlLbl val="0"/>
      </c:catAx>
      <c:valAx>
        <c:axId val="483214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215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[McFarland-HW2-Excel.xlsx]ByMonth!PivotTable3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ByMonth!$B$4:$B$5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ByMonth!$A$6:$A$18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ByMonth!$B$6:$B$18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3E-416C-8235-491B3B994A81}"/>
            </c:ext>
          </c:extLst>
        </c:ser>
        <c:ser>
          <c:idx val="1"/>
          <c:order val="1"/>
          <c:tx>
            <c:strRef>
              <c:f>ByMonth!$C$4:$C$5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ByMonth!$A$6:$A$18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ByMonth!$C$6:$C$18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3E-416C-8235-491B3B994A81}"/>
            </c:ext>
          </c:extLst>
        </c:ser>
        <c:ser>
          <c:idx val="2"/>
          <c:order val="2"/>
          <c:tx>
            <c:strRef>
              <c:f>ByMonth!$D$4:$D$5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ByMonth!$A$6:$A$18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ByMonth!$D$6:$D$18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3E-416C-8235-491B3B994A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7290536"/>
        <c:axId val="507282992"/>
      </c:lineChart>
      <c:catAx>
        <c:axId val="507290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282992"/>
        <c:crosses val="autoZero"/>
        <c:auto val="1"/>
        <c:lblAlgn val="ctr"/>
        <c:lblOffset val="100"/>
        <c:noMultiLvlLbl val="0"/>
      </c:catAx>
      <c:valAx>
        <c:axId val="50728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290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McFarland</dc:creator>
  <cp:keywords/>
  <dc:description/>
  <cp:lastModifiedBy>Elliott McFarland</cp:lastModifiedBy>
  <cp:revision>2</cp:revision>
  <dcterms:created xsi:type="dcterms:W3CDTF">2020-09-03T14:48:00Z</dcterms:created>
  <dcterms:modified xsi:type="dcterms:W3CDTF">2020-09-13T20:48:00Z</dcterms:modified>
</cp:coreProperties>
</file>