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480" w:after="300" w:line="360" w:lineRule="auto"/>
        <w:jc w:val="left"/>
        <w:rPr>
          <w:rFonts w:ascii="Calibri" w:cs="Calibri" w:hAnsi="Calibri" w:eastAsia="Calibri"/>
          <w:sz w:val="36"/>
          <w:szCs w:val="36"/>
          <w:u w:color="000000"/>
          <w:lang w:val="sv-SE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36"/>
          <w:szCs w:val="36"/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AI-Implementation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let med fasen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implementation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 att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den tekniska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 (toolchain) som utvecklats i utf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randefasen ska integreras i er verksamhet. H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ert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retag ta beslut kring hur AI-modellen b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st kan integreras och nyttjas i er verksamhet. Decerno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k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nda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att ha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ngsiktiga samarbeten och en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 att utveckla individuella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sningar utifr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 kundens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nskem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 och behov. F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rslag p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kundanpassade 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sningar som Decerno kan tillhandah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å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lla 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 docker-l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sningar, webbgr</w:t>
      </w:r>
      <w:r>
        <w:rPr>
          <w:rFonts w:ascii="Cambria" w:cs="Arial Unicode MS" w:hAnsi="Cambri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Cambria" w:cs="Arial Unicode MS" w:hAnsi="Cambri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nssnitt och BI-rapporter.</w:t>
      </w:r>
      <w: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58478</wp:posOffset>
            </wp:positionH>
            <wp:positionV relativeFrom="line">
              <wp:posOffset>347979</wp:posOffset>
            </wp:positionV>
            <wp:extent cx="5990401" cy="17679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7"/>
                <wp:lineTo x="0" y="21657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1" cy="1767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240" w:after="24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