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color w:val="000000"/>
          <w:u w:color="000000"/>
          <w:rtl w:val="0"/>
          <w:lang w:val="en-US"/>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color w:val="000000"/>
          <w:u w:val="single" w:color="000000"/>
          <w:rtl w:val="0"/>
          <w:lang w:val="fr-FR"/>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color w:val="000000"/>
          <w:u w:color="000000"/>
          <w:rtl w:val="0"/>
          <w:lang w:val="en-US"/>
        </w:rPr>
        <w:t xml:space="preserve">the </w:t>
      </w:r>
      <w:r>
        <w:rPr>
          <w:color w:val="000000"/>
          <w:u w:color="000000"/>
          <w:rtl w:val="0"/>
        </w:rPr>
        <w:t>“</w:t>
      </w:r>
      <w:r>
        <w:rPr>
          <w:color w:val="000000"/>
          <w:u w:color="000000"/>
          <w:rtl w:val="0"/>
          <w:lang w:val="en-US"/>
        </w:rPr>
        <w:t>when</w:t>
      </w:r>
      <w:r>
        <w:rPr>
          <w:color w:val="000000"/>
          <w:u w:color="000000"/>
          <w:rtl w:val="0"/>
        </w:rPr>
        <w:t xml:space="preserve">” </w:t>
      </w:r>
      <w:r>
        <w:rPr>
          <w:color w:val="000000"/>
          <w:u w:color="000000"/>
          <w:rtl w:val="0"/>
          <w:lang w:val="en-US"/>
        </w:rPr>
        <w:t xml:space="preserve">and </w:t>
      </w:r>
      <w:r>
        <w:rPr>
          <w:color w:val="000000"/>
          <w:u w:color="000000"/>
          <w:rtl w:val="0"/>
        </w:rPr>
        <w:t>“</w:t>
      </w:r>
      <w:r>
        <w:rPr>
          <w:color w:val="000000"/>
          <w:u w:color="000000"/>
          <w:rtl w:val="0"/>
          <w:lang w:val="en-US"/>
        </w:rPr>
        <w:t>then</w:t>
      </w:r>
      <w:r>
        <w:rPr>
          <w:color w:val="000000"/>
          <w:u w:color="000000"/>
          <w:rtl w:val="0"/>
        </w:rPr>
        <w:t xml:space="preserve">” </w:t>
      </w:r>
      <w:r>
        <w:rPr>
          <w:color w:val="000000"/>
          <w:u w:color="000000"/>
          <w:rtl w:val="0"/>
          <w:lang w:val="en-US"/>
        </w:rPr>
        <w:t xml:space="preserve">subtrees of a </w:t>
      </w:r>
      <w:r>
        <w:rPr>
          <w:color w:val="000000"/>
          <w:u w:color="000000"/>
          <w:rtl w:val="0"/>
        </w:rPr>
        <w:t>“</w:t>
      </w:r>
      <w:r>
        <w:rPr>
          <w:color w:val="000000"/>
          <w:u w:color="000000"/>
          <w:rtl w:val="0"/>
          <w:lang w:val="en-US"/>
        </w:rPr>
        <w:t>case</w:t>
      </w:r>
      <w:r>
        <w:rPr>
          <w:color w:val="000000"/>
          <w:u w:color="000000"/>
          <w:rtl w:val="0"/>
        </w:rPr>
        <w:t xml:space="preserve">” </w:t>
      </w:r>
      <w:r>
        <w:rPr>
          <w:color w:val="000000"/>
          <w:u w:color="000000"/>
          <w:rtl w:val="0"/>
          <w:lang w:val="en-US"/>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color w:val="000000"/>
          <w:u w:color="000000"/>
          <w:rtl w:val="0"/>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color w:val="000000"/>
          <w:u w:val="single" w:color="000000"/>
          <w:rtl w:val="0"/>
          <w:lang w:val="en-US"/>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color w:val="000000"/>
          <w:u w:val="single" w:color="000000"/>
          <w:rtl w:val="0"/>
          <w:lang w:val="en-US"/>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insert={</w:t>
      </w:r>
      <w:r>
        <w:rPr>
          <w:color w:val="ff0000"/>
          <w:u w:color="ff0000"/>
          <w:rtl w:val="0"/>
          <w:lang w:val="en-US"/>
        </w:rPr>
        <w:t>…</w:t>
      </w:r>
      <w:r>
        <w:rPr>
          <w:color w:val="ff0000"/>
          <w:u w:color="ff0000"/>
          <w:rtl w:val="0"/>
          <w:lang w:val="en-US"/>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color w:val="ff0000"/>
          <w:u w:color="ff0000"/>
          <w:rtl w:val="0"/>
        </w:rPr>
        <w:t>TBD</w:t>
      </w:r>
      <w:r>
        <w:rPr>
          <w:rtl w:val="0"/>
        </w:rPr>
        <w:t xml:space="preserve"> </w:t>
      </w:r>
    </w:p>
    <w:p>
      <w:pPr>
        <w:pStyle w:val="example"/>
      </w:pPr>
      <w:r>
        <w:rPr>
          <w:rtl w:val="0"/>
        </w:rPr>
        <w:t xml:space="preserve">EXAMPLE: </w:t>
      </w:r>
      <w:r>
        <w:rPr>
          <w:color w:val="ff0000"/>
          <w:u w:color="ff0000"/>
          <w:rtl w:val="0"/>
          <w:lang w:val="en-US"/>
        </w:rPr>
        <w:t>returning={</w:t>
      </w:r>
      <w:r>
        <w:rPr>
          <w:color w:val="ff0000"/>
          <w:u w:color="ff0000"/>
          <w:rtl w:val="0"/>
          <w:lang w:val="en-US"/>
        </w:rPr>
        <w:t xml:space="preserve">… </w:t>
      </w:r>
      <w:r>
        <w:rPr>
          <w:color w:val="ff0000"/>
          <w:u w:color="ff0000"/>
          <w:rtl w:val="0"/>
          <w:lang w:val="en-US"/>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color w:val="000000"/>
          <w:u w:color="000000"/>
          <w:rtl w:val="0"/>
          <w:lang w:val="en-US"/>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update={</w:t>
      </w:r>
      <w:r>
        <w:rPr>
          <w:color w:val="ff0000"/>
          <w:u w:color="ff0000"/>
          <w:rtl w:val="0"/>
          <w:lang w:val="en-US"/>
        </w:rPr>
        <w:t>…</w:t>
      </w:r>
      <w:r>
        <w:rPr>
          <w:color w:val="ff0000"/>
          <w:u w:color="ff0000"/>
          <w:rtl w:val="0"/>
          <w:lang w:val="en-US"/>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 </w:t>
            </w:r>
            <w:r>
              <w:rPr>
                <w:rtl w:val="0"/>
                <w:lang w:val="en-US"/>
              </w:rPr>
              <w:t xml:space="preserve">as aa,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table alias</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 </w:t>
            </w:r>
            <w:r>
              <w:rPr>
                <w:rFonts w:ascii="Wingdings" w:hAnsi="Wingdings" w:hint="default"/>
                <w:i w:val="0"/>
                <w:iCs w:val="0"/>
                <w:color w:val="b2a1c7"/>
                <w:sz w:val="14"/>
                <w:szCs w:val="14"/>
                <w:u w:color="b2a1c7"/>
                <w:rtl w:val="0"/>
                <w:lang w:val="en-US"/>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rec_type as </w:t>
            </w:r>
            <w:r>
              <w:rPr>
                <w:color w:val="b2a1c7"/>
                <w:u w:color="b2a1c7"/>
                <w:rtl w:val="0"/>
                <w:lang w:val="en-US"/>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color w:val="b2a1c7"/>
                <w:u w:color="b2a1c7"/>
                <w:rtl w:val="0"/>
                <w:lang w:val="en-US"/>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color w:val="b2a1c7"/>
                <w:u w:color="b2a1c7"/>
                <w:rtl w:val="0"/>
                <w:lang w:val="en-US"/>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color w:val="b2a1c7"/>
                <w:u w:color="b2a1c7"/>
                <w:rtl w:val="0"/>
                <w:lang w:val="en-US"/>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color w:val="b2a1c7"/>
                <w:u w:color="b2a1c7"/>
                <w:rtl w:val="0"/>
                <w:lang w:val="en-US"/>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color w:val="b2a1c7"/>
                <w:u w:color="b2a1c7"/>
                <w:rtl w:val="0"/>
                <w:lang w:val="en-US"/>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color w:val="ff0000"/>
                <w:u w:color="ff0000"/>
                <w:rtl w:val="0"/>
                <w:lang w:val="en-US"/>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color w:val="ff0000"/>
                <w:u w:color="ff0000"/>
                <w:rtl w:val="0"/>
              </w:rPr>
            </w:pPr>
            <w:r>
              <w:rPr>
                <w:color w:val="000000"/>
                <w:u w:color="000000"/>
                <w:rtl w:val="0"/>
                <w:lang w:val="en-US"/>
              </w:rPr>
              <w:t xml:space="preserve">          INTERNATIONAL_IND={</w:t>
            </w:r>
            <w:r>
              <w:rPr>
                <w:color w:val="ff0000"/>
                <w:u w:color="ff0000"/>
                <w:rtl w:val="0"/>
                <w:lang w:val="en-US"/>
              </w:rPr>
              <w:t>lookup={</w:t>
            </w:r>
          </w:p>
          <w:p>
            <w:pPr>
              <w:pStyle w:val="sample table"/>
              <w:bidi w:val="0"/>
              <w:ind w:left="0" w:right="0" w:firstLine="0"/>
              <w:jc w:val="left"/>
              <w:rPr>
                <w:color w:val="ff0000"/>
                <w:u w:color="ff0000"/>
                <w:rtl w:val="0"/>
              </w:rPr>
            </w:pPr>
            <w:r>
              <w:rPr>
                <w:color w:val="ff0000"/>
                <w:u w:color="ff0000"/>
                <w:rtl w:val="0"/>
                <w:lang w:val="en-US"/>
              </w:rPr>
              <w:t xml:space="preserve">               select={1={column={name=item, table_ref=null}}}, </w:t>
            </w:r>
          </w:p>
          <w:p>
            <w:pPr>
              <w:pStyle w:val="sample table"/>
              <w:bidi w:val="0"/>
              <w:ind w:left="0" w:right="0" w:firstLine="0"/>
              <w:jc w:val="left"/>
              <w:rPr>
                <w:color w:val="ff0000"/>
                <w:u w:color="ff0000"/>
                <w:rtl w:val="0"/>
              </w:rPr>
            </w:pPr>
            <w:r>
              <w:rPr>
                <w:color w:val="ff0000"/>
                <w:u w:color="ff0000"/>
                <w:rtl w:val="0"/>
                <w:lang w:val="en-US"/>
              </w:rPr>
              <w:t xml:space="preserve">               from={table={alias=null, table=sgbstdn}}, </w:t>
            </w:r>
          </w:p>
          <w:p>
            <w:pPr>
              <w:pStyle w:val="sample table"/>
              <w:bidi w:val="0"/>
              <w:ind w:left="0" w:right="0" w:firstLine="0"/>
              <w:jc w:val="left"/>
              <w:rPr>
                <w:color w:val="ff0000"/>
                <w:u w:color="ff0000"/>
                <w:rtl w:val="0"/>
              </w:rPr>
            </w:pPr>
            <w:r>
              <w:rPr>
                <w:color w:val="ff0000"/>
                <w:u w:color="ff0000"/>
                <w:rtl w:val="0"/>
                <w:lang w:val="en-US"/>
              </w:rPr>
              <w:t xml:space="preserve">              where={condition={</w:t>
            </w:r>
          </w:p>
          <w:p>
            <w:pPr>
              <w:pStyle w:val="sample table"/>
              <w:bidi w:val="0"/>
              <w:ind w:left="0" w:right="0" w:firstLine="0"/>
              <w:jc w:val="left"/>
              <w:rPr>
                <w:color w:val="ff0000"/>
                <w:u w:color="ff0000"/>
                <w:rtl w:val="0"/>
              </w:rPr>
            </w:pPr>
            <w:r>
              <w:rPr>
                <w:color w:val="ff0000"/>
                <w:u w:color="ff0000"/>
                <w:rtl w:val="0"/>
                <w:lang w:val="en-US"/>
              </w:rPr>
              <w:t xml:space="preserve">              left={column={name=sgbstdn_levl_code, </w:t>
            </w:r>
          </w:p>
          <w:p>
            <w:pPr>
              <w:pStyle w:val="sample table"/>
              <w:bidi w:val="0"/>
              <w:ind w:left="0" w:right="0" w:firstLine="0"/>
              <w:jc w:val="left"/>
              <w:rPr>
                <w:rtl w:val="0"/>
              </w:rPr>
            </w:pPr>
            <w:r>
              <w:rPr>
                <w:color w:val="ff0000"/>
                <w:u w:color="ff0000"/>
                <w:rtl w:val="0"/>
                <w:lang w:val="en-US"/>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color w:val="ff0000"/>
                <w:u w:color="ff0000"/>
                <w:rtl w:val="0"/>
                <w:lang w:val="en-US"/>
              </w:rPr>
              <w:t xml:space="preserve">&lt;? This looks odd, now that I look at it critically. Perhaps the reference to the subquery should be inserted under the </w:t>
            </w:r>
            <w:r>
              <w:rPr>
                <w:color w:val="ff0000"/>
                <w:u w:color="ff0000"/>
                <w:rtl w:val="0"/>
                <w:lang w:val="en-US"/>
              </w:rPr>
              <w:t>“</w:t>
            </w:r>
            <w:r>
              <w:rPr>
                <w:color w:val="ff0000"/>
                <w:u w:color="ff0000"/>
                <w:rtl w:val="0"/>
                <w:lang w:val="en-US"/>
              </w:rPr>
              <w:t>lookup</w:t>
            </w:r>
            <w:r>
              <w:rPr>
                <w:color w:val="ff0000"/>
                <w:u w:color="ff0000"/>
                <w:rtl w:val="0"/>
                <w:lang w:val="en-US"/>
              </w:rPr>
              <w:t xml:space="preserve">” </w:t>
            </w:r>
            <w:r>
              <w:rPr>
                <w:color w:val="ff0000"/>
                <w:u w:color="ff0000"/>
                <w:rtl w:val="0"/>
                <w:lang w:val="en-US"/>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query1</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b</w:t>
            </w:r>
            <w:r>
              <w:rPr>
                <w:rtl w:val="0"/>
                <w:lang w:val="en-US"/>
              </w:rPr>
              <w:t>=</w:t>
            </w:r>
            <w:r>
              <w:rPr>
                <w:color w:val="943634"/>
                <w:u w:color="943634"/>
                <w:rtl w:val="0"/>
                <w:lang w:val="en-US"/>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color w:val="e36c0a"/>
                <w:u w:color="e36c0a"/>
                <w:rtl w:val="0"/>
                <w:lang w:val="en-US"/>
              </w:rPr>
              <w:t>a=tab1</w:t>
            </w:r>
            <w:r>
              <w:rPr>
                <w:rtl w:val="0"/>
                <w:lang w:val="en-US"/>
              </w:rPr>
              <w:t xml:space="preserve">, </w:t>
            </w:r>
          </w:p>
          <w:p>
            <w:pPr>
              <w:pStyle w:val="sample table"/>
              <w:bidi w:val="0"/>
              <w:ind w:left="0" w:right="0" w:firstLine="0"/>
              <w:jc w:val="left"/>
              <w:rPr>
                <w:rtl w:val="0"/>
              </w:rPr>
            </w:pPr>
            <w:r>
              <w:rPr>
                <w:rtl w:val="0"/>
                <w:lang w:val="en-US"/>
              </w:rPr>
              <w:t xml:space="preserve">         </w:t>
            </w:r>
            <w:r>
              <w:rPr>
                <w:color w:val="e36c0a"/>
                <w:u w:color="e36c0a"/>
                <w:rtl w:val="0"/>
                <w:lang w:val="en-US"/>
              </w:rPr>
              <w:t xml:space="preserve"> 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={column={name=</w:t>
            </w:r>
            <w:r>
              <w:rPr>
                <w:color w:val="e36c0a"/>
                <w:u w:color="e36c0a"/>
                <w:rtl w:val="0"/>
                <w:lang w:val="en-US"/>
              </w:rPr>
              <w:t>col2</w:t>
            </w:r>
            <w:r>
              <w:rPr>
                <w:rtl w:val="0"/>
                <w:lang w:val="en-US"/>
              </w:rPr>
              <w:t>, table_ref=</w:t>
            </w:r>
            <w:r>
              <w:rPr>
                <w:color w:val="e36c0a"/>
                <w:u w:color="e36c0a"/>
                <w:rtl w:val="0"/>
                <w:lang w:val="en-US"/>
              </w:rPr>
              <w:t>a</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={column={name=</w:t>
            </w:r>
            <w:r>
              <w:rPr>
                <w:color w:val="e36c0a"/>
                <w:u w:color="e36c0a"/>
                <w:rtl w:val="0"/>
                <w:lang w:val="en-US"/>
              </w:rPr>
              <w:t>col1</w:t>
            </w:r>
            <w:r>
              <w:rPr>
                <w:rtl w:val="0"/>
                <w:lang w:val="en-US"/>
              </w:rPr>
              <w:t>, table_ref=</w:t>
            </w:r>
            <w:r>
              <w:rPr>
                <w:color w:val="e36c0a"/>
                <w:u w:color="e36c0a"/>
                <w:rtl w:val="0"/>
                <w:lang w:val="en-US"/>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color w:val="b2a1c7"/>
                <w:u w:color="b2a1c7"/>
                <w:rtl w:val="0"/>
                <w:lang w:val="en-US"/>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color w:val="943634"/>
                <w:u w:color="943634"/>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=[@5,16:16='b',&lt;205&gt;,1:16],</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color w:val="ff0000"/>
                <w:u w:color="ff0000"/>
                <w:rtl w:val="0"/>
              </w:rPr>
            </w:pPr>
            <w:r>
              <w:rPr>
                <w:color w:val="ff0000"/>
                <w:u w:color="ff0000"/>
                <w:rtl w:val="0"/>
                <w:lang w:val="en-US"/>
              </w:rPr>
              <w:t xml:space="preserve"> unknown={</w:t>
            </w:r>
          </w:p>
          <w:p>
            <w:pPr>
              <w:pStyle w:val="sample table"/>
              <w:bidi w:val="0"/>
              <w:ind w:left="0" w:right="0" w:firstLine="0"/>
              <w:jc w:val="left"/>
              <w:rPr>
                <w:color w:val="ff0000"/>
                <w:u w:color="ff0000"/>
                <w:rtl w:val="0"/>
              </w:rPr>
            </w:pPr>
            <w:r>
              <w:rPr>
                <w:color w:val="ff0000"/>
                <w:u w:color="ff0000"/>
                <w:rtl w:val="0"/>
                <w:lang w:val="en-US"/>
              </w:rPr>
              <w:t xml:space="preserve">     column1=[@5,32:38='column1',&lt;205&gt;,1:32], </w:t>
            </w:r>
          </w:p>
          <w:p>
            <w:pPr>
              <w:pStyle w:val="sample table"/>
              <w:bidi w:val="0"/>
              <w:ind w:left="0" w:right="0" w:firstLine="0"/>
              <w:jc w:val="left"/>
              <w:rPr>
                <w:color w:val="ff0000"/>
                <w:u w:color="ff0000"/>
                <w:rtl w:val="0"/>
              </w:rPr>
            </w:pPr>
            <w:r>
              <w:rPr>
                <w:color w:val="ff0000"/>
                <w:u w:color="ff0000"/>
                <w:rtl w:val="0"/>
                <w:lang w:val="en-US"/>
              </w:rPr>
              <w:t xml:space="preserve">     column3=[@13,70:76='column3',&lt;205&gt;,1:70],</w:t>
            </w:r>
          </w:p>
          <w:p>
            <w:pPr>
              <w:pStyle w:val="sample table"/>
              <w:bidi w:val="0"/>
              <w:ind w:left="0" w:right="0" w:firstLine="0"/>
              <w:jc w:val="left"/>
              <w:rPr>
                <w:rtl w:val="0"/>
              </w:rPr>
            </w:pPr>
            <w:r>
              <w:rPr>
                <w:color w:val="ff0000"/>
                <w:u w:color="ff0000"/>
                <w:rtl w:val="0"/>
                <w:lang w:val="en-US"/>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These unknowns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with={</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query0={</w:t>
            </w:r>
          </w:p>
          <w:p>
            <w:pPr>
              <w:pStyle w:val="sample table"/>
              <w:bidi w:val="0"/>
              <w:ind w:left="0" w:right="0" w:firstLine="0"/>
              <w:jc w:val="left"/>
              <w:rPr>
                <w:color w:val="ff0000"/>
                <w:u w:color="ff0000"/>
                <w:rtl w:val="0"/>
              </w:rPr>
            </w:pPr>
            <w:r>
              <w:rPr>
                <w:color w:val="ff0000"/>
                <w:u w:color="ff0000"/>
                <w:rtl w:val="0"/>
                <w:lang w:val="en-US"/>
              </w:rPr>
              <w:t xml:space="preserve">               interface={</w:t>
            </w:r>
          </w:p>
          <w:p>
            <w:pPr>
              <w:pStyle w:val="sample table"/>
              <w:bidi w:val="0"/>
              <w:ind w:left="0" w:right="0" w:firstLine="0"/>
              <w:jc w:val="left"/>
              <w:rPr>
                <w:color w:val="ff0000"/>
                <w:u w:color="ff0000"/>
                <w:rtl w:val="0"/>
              </w:rPr>
            </w:pPr>
            <w:r>
              <w:rPr>
                <w:color w:val="ff0000"/>
                <w:u w:color="ff0000"/>
                <w:rtl w:val="0"/>
                <w:lang w:val="en-US"/>
              </w:rPr>
              <w:t xml:space="preserve">                    concentration_desc={</w:t>
            </w:r>
          </w:p>
          <w:p>
            <w:pPr>
              <w:pStyle w:val="sample table"/>
              <w:bidi w:val="0"/>
              <w:ind w:left="0" w:right="0" w:firstLine="0"/>
              <w:jc w:val="left"/>
              <w:rPr>
                <w:color w:val="ff0000"/>
                <w:u w:color="ff0000"/>
                <w:rtl w:val="0"/>
              </w:rPr>
            </w:pPr>
            <w:r>
              <w:rPr>
                <w:color w:val="ff0000"/>
                <w:u w:color="ff0000"/>
                <w:rtl w:val="0"/>
                <w:lang w:val="en-US"/>
              </w:rPr>
              <w:t xml:space="preserve">                         column={name=concentration_desc, </w:t>
            </w:r>
          </w:p>
          <w:p>
            <w:pPr>
              <w:pStyle w:val="sample table"/>
              <w:bidi w:val="0"/>
              <w:ind w:left="0" w:right="0" w:firstLine="0"/>
              <w:jc w:val="left"/>
              <w:rPr>
                <w:color w:val="ff0000"/>
                <w:u w:color="ff0000"/>
                <w:rtl w:val="0"/>
              </w:rPr>
            </w:pPr>
            <w:r>
              <w:rPr>
                <w:color w:val="ff0000"/>
                <w:u w:color="ff0000"/>
                <w:rtl w:val="0"/>
                <w:lang w:val="en-US"/>
              </w:rPr>
              <w:t xml:space="preserve">                         table_ref=null}}, </w:t>
            </w:r>
          </w:p>
          <w:p>
            <w:pPr>
              <w:pStyle w:val="sample table"/>
              <w:bidi w:val="0"/>
              <w:ind w:left="0" w:right="0" w:firstLine="0"/>
              <w:jc w:val="left"/>
              <w:rPr>
                <w:color w:val="ff0000"/>
                <w:u w:color="ff0000"/>
                <w:rtl w:val="0"/>
              </w:rPr>
            </w:pPr>
            <w:r>
              <w:rPr>
                <w:color w:val="ff0000"/>
                <w:u w:color="ff0000"/>
                <w:rtl w:val="0"/>
                <w:lang w:val="en-US"/>
              </w:rPr>
              <w:t xml:space="preserve">                    stvmajr_desc={</w:t>
            </w:r>
          </w:p>
          <w:p>
            <w:pPr>
              <w:pStyle w:val="sample table"/>
              <w:bidi w:val="0"/>
              <w:ind w:left="0" w:right="0" w:firstLine="0"/>
              <w:jc w:val="left"/>
              <w:rPr>
                <w:color w:val="ff0000"/>
                <w:u w:color="ff0000"/>
                <w:rtl w:val="0"/>
              </w:rPr>
            </w:pPr>
            <w:r>
              <w:rPr>
                <w:color w:val="ff0000"/>
                <w:u w:color="ff0000"/>
                <w:rtl w:val="0"/>
                <w:lang w:val="en-US"/>
              </w:rPr>
              <w:t xml:space="preserve">                         column={name=stvmajr_desc, table_ref=null}}</w:t>
            </w:r>
          </w:p>
          <w:p>
            <w:pPr>
              <w:pStyle w:val="sample table"/>
              <w:bidi w:val="0"/>
              <w:ind w:left="0" w:right="0" w:firstLine="0"/>
              <w:jc w:val="left"/>
              <w:rPr>
                <w:color w:val="ff0000"/>
                <w:u w:color="ff0000"/>
                <w:rtl w:val="0"/>
              </w:rPr>
            </w:pPr>
            <w:r>
              <w:rPr>
                <w:color w:val="ff0000"/>
                <w:u w:color="ff0000"/>
                <w:rtl w:val="0"/>
                <w:lang w:val="en-US"/>
              </w:rPr>
              <w:t xml:space="preserve">              }, </w:t>
            </w:r>
          </w:p>
          <w:p>
            <w:pPr>
              <w:pStyle w:val="sample table"/>
              <w:bidi w:val="0"/>
              <w:ind w:left="0" w:right="0" w:firstLine="0"/>
              <w:jc w:val="left"/>
              <w:rPr>
                <w:color w:val="ff0000"/>
                <w:u w:color="ff0000"/>
                <w:rtl w:val="0"/>
              </w:rPr>
            </w:pPr>
            <w:r>
              <w:rPr>
                <w:color w:val="ff0000"/>
                <w:u w:color="ff0000"/>
                <w:rtl w:val="0"/>
                <w:lang w:val="en-US"/>
              </w:rPr>
              <w:t xml:space="preserve">             bnr_stvmajr={</w:t>
            </w:r>
          </w:p>
          <w:p>
            <w:pPr>
              <w:pStyle w:val="sample table"/>
              <w:bidi w:val="0"/>
              <w:ind w:left="0" w:right="0" w:firstLine="0"/>
              <w:jc w:val="left"/>
              <w:rPr>
                <w:color w:val="ff0000"/>
                <w:u w:color="ff0000"/>
                <w:rtl w:val="0"/>
              </w:rPr>
            </w:pPr>
            <w:r>
              <w:rPr>
                <w:color w:val="ff0000"/>
                <w:u w:color="ff0000"/>
                <w:rtl w:val="0"/>
                <w:lang w:val="en-US"/>
              </w:rPr>
              <w:t xml:space="preserve">                  concentration_desc=[...], </w:t>
            </w:r>
          </w:p>
          <w:p>
            <w:pPr>
              <w:pStyle w:val="sample table"/>
              <w:bidi w:val="0"/>
              <w:ind w:left="0" w:right="0" w:firstLine="0"/>
              <w:jc w:val="left"/>
              <w:rPr>
                <w:color w:val="ff0000"/>
                <w:u w:color="ff0000"/>
                <w:rtl w:val="0"/>
              </w:rPr>
            </w:pPr>
            <w:r>
              <w:rPr>
                <w:color w:val="ff0000"/>
                <w:u w:color="ff0000"/>
                <w:rtl w:val="0"/>
                <w:lang w:val="en-US"/>
              </w:rPr>
              <w:t xml:space="preserve">                  stvmajr_desc=[</w:t>
            </w:r>
            <w:r>
              <w:rPr>
                <w:color w:val="ff0000"/>
                <w:u w:color="ff0000"/>
                <w:rtl w:val="0"/>
                <w:lang w:val="en-US"/>
              </w:rPr>
              <w:t>…</w:t>
            </w:r>
            <w:r>
              <w:rPr>
                <w:color w:val="ff0000"/>
                <w:u w:color="ff0000"/>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color w:val="ff0000"/>
          <w:u w:color="ff0000"/>
        </w:rPr>
      </w:pPr>
      <w:r>
        <w:rPr>
          <w:color w:val="ff0000"/>
          <w:u w:color="ff0000"/>
          <w:rtl w:val="0"/>
          <w:lang w:val="en-US"/>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color w:val="5f497a"/>
                <w:u w:color="5f497a"/>
                <w:rtl w:val="0"/>
                <w:lang w:val="en-US"/>
              </w:rPr>
              <w:t>scbcrse_coll_code</w:t>
            </w:r>
            <w:r>
              <w:rPr>
                <w:rtl w:val="0"/>
                <w:lang w:val="en-US"/>
              </w:rPr>
              <w:t xml:space="preserve">, </w:t>
            </w:r>
          </w:p>
          <w:p>
            <w:pPr>
              <w:pStyle w:val="sample table"/>
              <w:bidi w:val="0"/>
              <w:ind w:left="0" w:right="0" w:firstLine="0"/>
              <w:jc w:val="left"/>
              <w:rPr>
                <w:rtl w:val="0"/>
              </w:rPr>
            </w:pPr>
            <w:r>
              <w:rPr>
                <w:rtl w:val="0"/>
                <w:lang w:val="en-US"/>
              </w:rPr>
              <w:t>aa.</w:t>
            </w:r>
            <w:r>
              <w:rPr>
                <w:color w:val="5f497a"/>
                <w:u w:color="5f497a"/>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color w:val="5f497a"/>
                <w:u w:color="5f497a"/>
                <w:rtl w:val="0"/>
                <w:lang w:val="en-US"/>
              </w:rPr>
              <w:t>scbcrse</w:t>
            </w:r>
            <w:r>
              <w:rPr>
                <w:rtl w:val="0"/>
                <w:lang w:val="en-US"/>
              </w:rPr>
              <w:t xml:space="preserve"> as aa, </w:t>
            </w:r>
          </w:p>
          <w:p>
            <w:pPr>
              <w:pStyle w:val="sample table"/>
              <w:bidi w:val="0"/>
              <w:ind w:left="0" w:right="0" w:firstLine="0"/>
              <w:jc w:val="left"/>
              <w:rPr>
                <w:rtl w:val="0"/>
              </w:rPr>
            </w:pPr>
            <w:r>
              <w:rPr>
                <w:color w:val="943634"/>
                <w:u w:color="943634"/>
                <w:rtl w:val="0"/>
                <w:lang w:val="en-US"/>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color w:val="5f497a"/>
                <w:u w:color="5f497a"/>
                <w:rtl w:val="0"/>
                <w:lang w:val="en-US"/>
              </w:rPr>
              <w:t>scbcrse_subj_code</w:t>
            </w:r>
            <w:r>
              <w:rPr>
                <w:rtl w:val="0"/>
                <w:lang w:val="en-US"/>
              </w:rPr>
              <w:t xml:space="preserve"> = courses.</w:t>
            </w:r>
            <w:r>
              <w:rPr>
                <w:color w:val="943634"/>
                <w:u w:color="943634"/>
                <w:rtl w:val="0"/>
                <w:lang w:val="en-US"/>
              </w:rPr>
              <w:t>subj_code</w:t>
            </w:r>
            <w:r>
              <w:rPr>
                <w:rtl w:val="0"/>
                <w:lang w:val="en-US"/>
              </w:rPr>
              <w:t xml:space="preserve"> </w:t>
            </w:r>
          </w:p>
          <w:p>
            <w:pPr>
              <w:pStyle w:val="sample table"/>
              <w:bidi w:val="0"/>
              <w:ind w:left="0" w:right="0" w:firstLine="0"/>
              <w:jc w:val="left"/>
              <w:rPr>
                <w:rtl w:val="0"/>
              </w:rPr>
            </w:pPr>
            <w:r>
              <w:rPr>
                <w:rtl w:val="0"/>
                <w:lang w:val="en-US"/>
              </w:rPr>
              <w:t>AND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 xml:space="preserve"> </w:t>
            </w:r>
          </w:p>
          <w:p>
            <w:pPr>
              <w:pStyle w:val="sample table"/>
              <w:bidi w:val="0"/>
              <w:ind w:left="0" w:right="0" w:firstLine="0"/>
              <w:jc w:val="left"/>
              <w:rPr>
                <w:rtl w:val="0"/>
              </w:rPr>
            </w:pPr>
            <w:r>
              <w:rPr>
                <w:rtl w:val="0"/>
                <w:lang w:val="en-US"/>
              </w:rPr>
              <w:t>or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5f497a"/>
                <w:u w:color="5f497a"/>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5f497a"/>
                <w:u w:color="5f497a"/>
                <w:rtl w:val="0"/>
                <w:lang w:val="en-US"/>
              </w:rPr>
              <w:t>scbcrse_coll_code</w:t>
            </w:r>
            <w:r>
              <w:rPr>
                <w:rtl w:val="0"/>
                <w:lang w:val="en-US"/>
              </w:rPr>
              <w:t>=</w:t>
            </w:r>
            <w:r>
              <w:rPr>
                <w:color w:val="ff0000"/>
                <w:u w:color="ff0000"/>
                <w:rtl w:val="0"/>
                <w:lang w:val="en-US"/>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color w:val="5f497a"/>
                <w:u w:color="5f497a"/>
                <w:rtl w:val="0"/>
                <w:lang w:val="en-US"/>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color w:val="5f497a"/>
                <w:u w:color="5f497a"/>
                <w:rtl w:val="0"/>
                <w:lang w:val="en-US"/>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color w:val="5f497a"/>
                <w:u w:color="5f497a"/>
                <w:rtl w:val="0"/>
                <w:lang w:val="en-US"/>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color w:val="943634"/>
                <w:u w:color="943634"/>
                <w:rtl w:val="0"/>
                <w:lang w:val="en-US"/>
              </w:rPr>
              <w:t>mycrse</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color w:val="943634"/>
                <w:u w:color="943634"/>
                <w:rtl w:val="0"/>
                <w:lang w:val="en-US"/>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color w:val="b2a1c7"/>
                <w:u w:color="b2a1c7"/>
                <w:rtl w:val="0"/>
                <w:lang w:val="en-US"/>
              </w:rPr>
              <w:t>rec_type</w:t>
            </w:r>
            <w:r>
              <w:rPr>
                <w:rtl w:val="0"/>
                <w:lang w:val="en-US"/>
              </w:rPr>
              <w:t xml:space="preserve"> as RECORD_TYPE, </w:t>
            </w:r>
          </w:p>
          <w:p>
            <w:pPr>
              <w:pStyle w:val="sample table"/>
              <w:bidi w:val="0"/>
              <w:ind w:left="0" w:right="0" w:firstLine="0"/>
              <w:jc w:val="left"/>
              <w:rPr>
                <w:rtl w:val="0"/>
              </w:rPr>
            </w:pPr>
            <w:r>
              <w:rPr>
                <w:color w:val="b2a1c7"/>
                <w:u w:color="b2a1c7"/>
                <w:rtl w:val="0"/>
                <w:lang w:val="en-US"/>
              </w:rPr>
              <w:t>action_cd</w:t>
            </w:r>
            <w:r>
              <w:rPr>
                <w:rtl w:val="0"/>
                <w:lang w:val="en-US"/>
              </w:rPr>
              <w:t xml:space="preserve"> as ACTION, </w:t>
            </w:r>
          </w:p>
          <w:p>
            <w:pPr>
              <w:pStyle w:val="sample table"/>
              <w:bidi w:val="0"/>
              <w:ind w:left="0" w:right="0" w:firstLine="0"/>
              <w:jc w:val="left"/>
              <w:rPr>
                <w:rtl w:val="0"/>
              </w:rPr>
            </w:pPr>
            <w:r>
              <w:rPr>
                <w:color w:val="b2a1c7"/>
                <w:u w:color="b2a1c7"/>
                <w:rtl w:val="0"/>
                <w:lang w:val="en-US"/>
              </w:rPr>
              <w:t>tag_name</w:t>
            </w:r>
            <w:r>
              <w:rPr>
                <w:rtl w:val="0"/>
                <w:lang w:val="en-US"/>
              </w:rPr>
              <w:t xml:space="preserve"> as TAG, </w:t>
            </w:r>
          </w:p>
          <w:p>
            <w:pPr>
              <w:pStyle w:val="sample table"/>
              <w:bidi w:val="0"/>
              <w:ind w:left="0" w:right="0" w:firstLine="0"/>
              <w:jc w:val="left"/>
              <w:rPr>
                <w:rtl w:val="0"/>
              </w:rPr>
            </w:pPr>
            <w:r>
              <w:rPr>
                <w:color w:val="b2a1c7"/>
                <w:u w:color="b2a1c7"/>
                <w:rtl w:val="0"/>
                <w:lang w:val="en-US"/>
              </w:rPr>
              <w:t>grp_id</w:t>
            </w:r>
            <w:r>
              <w:rPr>
                <w:rtl w:val="0"/>
                <w:lang w:val="en-US"/>
              </w:rPr>
              <w:t xml:space="preserve"> as GROUP_ID, </w:t>
            </w:r>
          </w:p>
          <w:p>
            <w:pPr>
              <w:pStyle w:val="sample table"/>
              <w:bidi w:val="0"/>
              <w:ind w:left="0" w:right="0" w:firstLine="0"/>
              <w:jc w:val="left"/>
              <w:rPr>
                <w:rtl w:val="0"/>
              </w:rPr>
            </w:pPr>
            <w:r>
              <w:rPr>
                <w:color w:val="b2a1c7"/>
                <w:u w:color="b2a1c7"/>
                <w:rtl w:val="0"/>
                <w:lang w:val="en-US"/>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color w:val="b2a1c7"/>
                <w:u w:color="b2a1c7"/>
                <w:rtl w:val="0"/>
              </w:rPr>
            </w:pPr>
            <w:r>
              <w:rPr>
                <w:color w:val="b2a1c7"/>
                <w:u w:color="b2a1c7"/>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color w:val="b2a1c7"/>
                <w:u w:color="b2a1c7"/>
                <w:rtl w:val="0"/>
                <w:lang w:val="en-US"/>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tagtbl</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color w:val="b2a1c7"/>
                <w:u w:color="b2a1c7"/>
                <w:rtl w:val="0"/>
                <w:lang w:val="en-US"/>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color w:val="b2a1c7"/>
                <w:u w:color="b2a1c7"/>
                <w:rtl w:val="0"/>
                <w:lang w:val="en-US"/>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color w:val="b2a1c7"/>
                <w:u w:color="b2a1c7"/>
                <w:rtl w:val="0"/>
                <w:lang w:val="en-US"/>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color w:val="b2a1c7"/>
                <w:u w:color="b2a1c7"/>
                <w:rtl w:val="0"/>
                <w:lang w:val="en-US"/>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color w:val="b2a1c7"/>
                <w:u w:color="b2a1c7"/>
                <w:rtl w:val="0"/>
                <w:lang w:val="en-US"/>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 column1, column2, column3 columns are missing because the unknowns were not captured.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that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color w:val="ff0000"/>
          <w:u w:color="ff0000"/>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color w:val="262626"/>
          <w:sz w:val="28"/>
          <w:szCs w:val="28"/>
          <w:u w:color="262626"/>
        </w:rPr>
      </w:pPr>
      <w:r>
        <w:rPr>
          <w:rFonts w:ascii="Arial" w:hAnsi="Arial" w:hint="default"/>
          <w:color w:val="262626"/>
          <w:sz w:val="28"/>
          <w:szCs w:val="28"/>
          <w:u w:color="262626"/>
          <w:rtl w:val="0"/>
          <w:lang w:val="en-US"/>
        </w:rPr>
        <w:t> </w:t>
      </w:r>
      <w:r>
        <w:rPr>
          <w:rFonts w:ascii="Arial" w:cs="Arial" w:hAnsi="Arial" w:eastAsia="Arial"/>
          <w:color w:val="262626"/>
          <w:sz w:val="28"/>
          <w:szCs w:val="28"/>
          <w:u w:color="262626"/>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color w:val="262626"/>
          <w:sz w:val="28"/>
          <w:szCs w:val="28"/>
          <w:u w:color="262626"/>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46</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