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The COEQWAL project — COEQWAL Findings — Copy Deck for Language Review</w:t>
      </w:r>
    </w:p>
    <w:p>
      <w:r>
        <w:rPr>
          <w:rFonts w:ascii="Arial" w:hAnsi="Arial"/>
          <w:i/>
          <w:color w:val="667085"/>
          <w:sz w:val="19"/>
        </w:rPr>
        <w:t>Source: project_background_brief_prototype_v0_1.html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Reference Brief · Background</w:t>
      </w:r>
    </w:p>
    <w:p>
      <w:r>
        <w:rPr>
          <w:rFonts w:ascii="Arial" w:hAnsi="Arial"/>
          <w:b/>
          <w:color w:val="0B2545"/>
          <w:sz w:val="18"/>
        </w:rPr>
        <w:t>Eyebrow (sector)</w:t>
      </w:r>
    </w:p>
    <w:p>
      <w:r>
        <w:rPr>
          <w:rFonts w:ascii="Arial" w:hAnsi="Arial"/>
          <w:i w:val="0"/>
          <w:color w:val="1A2433"/>
          <w:sz w:val="22"/>
        </w:rPr>
        <w:t>Reference Brief · The Project</w:t>
      </w:r>
    </w:p>
    <w:p>
      <w:r>
        <w:rPr>
          <w:rFonts w:ascii="Arial" w:hAnsi="Arial"/>
          <w:b/>
          <w:color w:val="0B2545"/>
          <w:sz w:val="18"/>
        </w:rPr>
        <w:t>Headline (H1)</w:t>
      </w:r>
    </w:p>
    <w:p>
      <w:r>
        <w:rPr>
          <w:rFonts w:ascii="Arial" w:hAnsi="Arial"/>
          <w:i w:val="0"/>
          <w:color w:val="1A2433"/>
          <w:sz w:val="22"/>
        </w:rPr>
        <w:t>The COEQWAL project What the Collaboratory for Equity in Water Allocation is, and how it works</w:t>
      </w:r>
    </w:p>
    <w:p>
      <w:r>
        <w:rPr>
          <w:rFonts w:ascii="Arial" w:hAnsi="Arial"/>
          <w:b/>
          <w:color w:val="0B2545"/>
          <w:sz w:val="18"/>
        </w:rPr>
        <w:t>Headline / pull-quote (TL;DR)</w:t>
      </w:r>
    </w:p>
    <w:p>
      <w:r>
        <w:rPr>
          <w:rFonts w:ascii="Arial" w:hAnsi="Arial"/>
          <w:i w:val="0"/>
          <w:color w:val="1A2433"/>
          <w:sz w:val="22"/>
        </w:rPr>
        <w:t>COEQWAL — the Collaboratory for Equity in Water Allocation — is a publicly funded, community-engaged research project that opens up the water planning tools used for California's Central Valley. Using CalSim, the same model state and federal agencies use for actual planning, the project simulates a broad range of water management strategies under a range of modeled climate conditions, and makes the resulting scenarios and their results public.</w:t>
      </w:r>
    </w:p>
    <w:p>
      <w:r>
        <w:rPr>
          <w:rFonts w:ascii="Arial" w:hAnsi="Arial"/>
          <w:b/>
          <w:color w:val="0B2545"/>
          <w:sz w:val="18"/>
        </w:rPr>
        <w:t>Identity sentence</w:t>
      </w:r>
    </w:p>
    <w:p>
      <w:r>
        <w:rPr>
          <w:rFonts w:ascii="Arial" w:hAnsi="Arial"/>
          <w:i w:val="0"/>
          <w:color w:val="1A2433"/>
          <w:sz w:val="22"/>
        </w:rPr>
        <w:t>This brief describes the COEQWAL project itself: why it exists, how it works, and what it produces. It is a reference brief — part of the project's background material — and carries no modeled results. For results, see the results briefs on the findings page.</w:t>
      </w:r>
    </w:p>
    <w:p>
      <w:r>
        <w:rPr>
          <w:rFonts w:ascii="Arial" w:hAnsi="Arial"/>
          <w:b/>
          <w:color w:val="0B2545"/>
          <w:sz w:val="18"/>
        </w:rPr>
        <w:t>Search / meta description</w:t>
      </w:r>
    </w:p>
    <w:p>
      <w:r>
        <w:rPr>
          <w:rFonts w:ascii="Arial" w:hAnsi="Arial"/>
          <w:i w:val="0"/>
          <w:color w:val="1A2433"/>
          <w:sz w:val="22"/>
        </w:rPr>
        <w:t>A COEQWAL reference brief describing the project: what the Collaboratory for Equity in Water Allocation is, why it exists, and how its participatory scenario planning approach works. Background only — no modeled results.</w:t>
      </w:r>
    </w:p>
    <w:p>
      <w:pPr>
        <w:pStyle w:val="Heading2"/>
      </w:pPr>
      <w:r>
        <w:rPr>
          <w:rFonts w:ascii="Arial" w:hAnsi="Arial"/>
          <w:b/>
          <w:color w:val="0B2545"/>
          <w:sz w:val="26"/>
        </w:rPr>
        <w:t>§2 Why the project exists</w:t>
      </w:r>
    </w:p>
    <w:p>
      <w:r>
        <w:rPr>
          <w:rFonts w:ascii="Arial" w:hAnsi="Arial"/>
          <w:b/>
          <w:color w:val="0B2545"/>
          <w:sz w:val="18"/>
        </w:rPr>
        <w:t>¶1</w:t>
      </w:r>
    </w:p>
    <w:p>
      <w:r>
        <w:rPr>
          <w:rFonts w:ascii="Arial" w:hAnsi="Arial"/>
          <w:i w:val="0"/>
          <w:color w:val="1A2433"/>
          <w:sz w:val="22"/>
        </w:rPr>
        <w:t>The water planning tools used by the State of California have been inaccessible to most communities, especially those historically excluded from water decision-making. The models are technical, the data are large, and the results have circulated mainly among agencies and specialists. COEQWAL's founding purpose is to open that information up.</w:t>
      </w:r>
    </w:p>
    <w:p>
      <w:r>
        <w:rPr>
          <w:rFonts w:ascii="Arial" w:hAnsi="Arial"/>
          <w:b/>
          <w:color w:val="0B2545"/>
          <w:sz w:val="18"/>
        </w:rPr>
        <w:t>¶2</w:t>
      </w:r>
    </w:p>
    <w:p>
      <w:r>
        <w:rPr>
          <w:rFonts w:ascii="Arial" w:hAnsi="Arial"/>
          <w:i w:val="0"/>
          <w:color w:val="1A2433"/>
          <w:sz w:val="22"/>
        </w:rPr>
        <w:t>The project's stated goals are to make the data used in water planning and decision-making more accessible, to help users understand the nature of trade-offs among management objectives, and to provide data that communities can use in shaping water decisions. The project does not advocate for any particular strategy: it reports what the model produces under each scenario and leaves evaluation to the reader.</w:t>
      </w:r>
    </w:p>
    <w:p>
      <w:pPr>
        <w:pStyle w:val="Heading2"/>
      </w:pPr>
      <w:r>
        <w:rPr>
          <w:rFonts w:ascii="Arial" w:hAnsi="Arial"/>
          <w:b/>
          <w:color w:val="0B2545"/>
          <w:sz w:val="26"/>
        </w:rPr>
        <w:t>§3 The approach: participatory scenario planning</w:t>
      </w:r>
    </w:p>
    <w:p>
      <w:r>
        <w:rPr>
          <w:rFonts w:ascii="Arial" w:hAnsi="Arial"/>
          <w:b/>
          <w:color w:val="0B2545"/>
          <w:sz w:val="18"/>
        </w:rPr>
        <w:t>¶1</w:t>
      </w:r>
    </w:p>
    <w:p>
      <w:r>
        <w:rPr>
          <w:rFonts w:ascii="Arial" w:hAnsi="Arial"/>
          <w:i w:val="0"/>
          <w:color w:val="1A2433"/>
          <w:sz w:val="22"/>
        </w:rPr>
        <w:t>COEQWAL's work is structured around a participatory scenario planning approach. It is an iterative process. The team develops a set of alternative water management strategies and runs each one through CalSim, simulating how the strategy shapes the patterns and amounts of water allocated to different water users and the environment under a range of modeled climate conditions.</w:t>
      </w:r>
    </w:p>
    <w:p>
      <w:r>
        <w:rPr>
          <w:rFonts w:ascii="Arial" w:hAnsi="Arial"/>
          <w:b/>
          <w:color w:val="0B2545"/>
          <w:sz w:val="18"/>
        </w:rPr>
        <w:t>¶2</w:t>
      </w:r>
    </w:p>
    <w:p>
      <w:r>
        <w:rPr>
          <w:rFonts w:ascii="Arial" w:hAnsi="Arial"/>
          <w:i w:val="0"/>
          <w:color w:val="1A2433"/>
          <w:sz w:val="22"/>
        </w:rPr>
        <w:t>The results are then brought to community partners in workshops, and feedback on the scenarios — which ones were run, and how they are interpreted — shapes the next round of work. The scenario library is the product of this loop, not a one-time modeling exercise. The process has involved engagement with over 60 representatives from state and federal agencies, water districts, non-governmental organizations, community-based organizations, academic institutions, and Native American Tribes.</w:t>
      </w:r>
    </w:p>
    <w:p>
      <w:pPr>
        <w:pStyle w:val="Heading2"/>
      </w:pPr>
      <w:r>
        <w:rPr>
          <w:rFonts w:ascii="Arial" w:hAnsi="Arial"/>
          <w:b/>
          <w:color w:val="0B2545"/>
          <w:sz w:val="26"/>
        </w:rPr>
        <w:t>§4 The model: CalSim</w:t>
      </w:r>
    </w:p>
    <w:p>
      <w:r>
        <w:rPr>
          <w:rFonts w:ascii="Arial" w:hAnsi="Arial"/>
          <w:b/>
          <w:color w:val="0B2545"/>
          <w:sz w:val="18"/>
        </w:rPr>
        <w:t>¶1</w:t>
      </w:r>
    </w:p>
    <w:p>
      <w:r>
        <w:rPr>
          <w:rFonts w:ascii="Arial" w:hAnsi="Arial"/>
          <w:i w:val="0"/>
          <w:color w:val="1A2433"/>
          <w:sz w:val="22"/>
        </w:rPr>
        <w:t>CalSim is the water resources planning model used by the U.S. Bureau of Reclamation and the California Department of Water Resources for planning the Central Valley water system. It represents the system as a network: how much water flows into reservoirs, how much is stored or released, and where it is delivered — from the Sacramento and San Joaquin rivers, through the Delta, to cities and farms across the Valley and along the coast.</w:t>
      </w:r>
    </w:p>
    <w:p>
      <w:r>
        <w:rPr>
          <w:rFonts w:ascii="Arial" w:hAnsi="Arial"/>
          <w:b/>
          <w:color w:val="0B2545"/>
          <w:sz w:val="18"/>
        </w:rPr>
        <w:t>¶2</w:t>
      </w:r>
    </w:p>
    <w:p>
      <w:r>
        <w:rPr>
          <w:rFonts w:ascii="Arial" w:hAnsi="Arial"/>
          <w:i w:val="0"/>
          <w:color w:val="1A2433"/>
          <w:sz w:val="22"/>
        </w:rPr>
        <w:t>COEQWAL runs CalSim 3 many times, changing two things between runs: the management strategy (the rules, priorities, and policies for allocating water) and the hydroclimate (the temperature, rain, and snow that determine how much water there is). Each strategy-and-hydroclimate pairing is one scenario, simulated over a 100-year period. How the pairings are constructed is described in the companion brief on the scenario library.</w:t>
      </w:r>
    </w:p>
    <w:p>
      <w:pPr>
        <w:pStyle w:val="Heading2"/>
      </w:pPr>
      <w:r>
        <w:rPr>
          <w:rFonts w:ascii="Arial" w:hAnsi="Arial"/>
          <w:b/>
          <w:color w:val="0B2545"/>
          <w:sz w:val="26"/>
        </w:rPr>
        <w:t>§5 What the project produces</w:t>
      </w:r>
    </w:p>
    <w:p>
      <w:r>
        <w:rPr>
          <w:rFonts w:ascii="Arial" w:hAnsi="Arial"/>
          <w:b/>
          <w:color w:val="0B2545"/>
          <w:sz w:val="18"/>
        </w:rPr>
        <w:t>¶1</w:t>
      </w:r>
    </w:p>
    <w:p>
      <w:r>
        <w:rPr>
          <w:rFonts w:ascii="Arial" w:hAnsi="Arial"/>
          <w:i w:val="0"/>
          <w:color w:val="1A2433"/>
          <w:sz w:val="22"/>
        </w:rPr>
        <w:t>The project's central product is the scenario library: 24 management strategies, each simulated under five hydroclimates. On the COEQWAL website, visitors can learn how water in the Central Valley is managed, explore how modeled results shift across scenarios, and share scenarios of interest.</w:t>
      </w:r>
    </w:p>
    <w:p>
      <w:r>
        <w:rPr>
          <w:rFonts w:ascii="Arial" w:hAnsi="Arial"/>
          <w:b/>
          <w:color w:val="0B2545"/>
          <w:sz w:val="18"/>
        </w:rPr>
        <w:t>¶2</w:t>
      </w:r>
    </w:p>
    <w:p>
      <w:r>
        <w:rPr>
          <w:rFonts w:ascii="Arial" w:hAnsi="Arial"/>
          <w:i w:val="0"/>
          <w:color w:val="1A2433"/>
          <w:sz w:val="22"/>
        </w:rPr>
        <w:t>The website reports the CalSim results at three levels of detail. The first level is the tiers: the explore tools report every result on a four-tier scale — Optimal, Acceptable, At-risk, Critical — that places each of nine sectors of the water system, and the individual locations of interest (LOIs) within each sector, on a common scale. The tier summarization was developed by the COEQWAL project, and it is the most efficient path to a general understanding of the patterns and trade-offs across scenarios, and to comparing one scenario with another. How the tiers are computed is described in the tier-calculation briefs.</w:t>
      </w:r>
    </w:p>
    <w:p>
      <w:r>
        <w:rPr>
          <w:rFonts w:ascii="Arial" w:hAnsi="Arial"/>
          <w:b/>
          <w:color w:val="0B2545"/>
          <w:sz w:val="18"/>
        </w:rPr>
        <w:t>¶3</w:t>
      </w:r>
    </w:p>
    <w:p>
      <w:r>
        <w:rPr>
          <w:rFonts w:ascii="Arial" w:hAnsi="Arial"/>
          <w:i w:val="0"/>
          <w:color w:val="1A2433"/>
          <w:sz w:val="22"/>
        </w:rPr>
        <w:t>The second level is the In-depth section, which reports selected model variables at the model's monthly time step, summarized in views such as exceedance plots and year-to-year variability. It serves part of the model record, not all of it; variables and detail beyond what the In-depth tools expose are in the downloads.</w:t>
      </w:r>
    </w:p>
    <w:p>
      <w:r>
        <w:rPr>
          <w:rFonts w:ascii="Arial" w:hAnsi="Arial"/>
          <w:b/>
          <w:color w:val="0B2545"/>
          <w:sz w:val="18"/>
        </w:rPr>
        <w:t>¶4</w:t>
      </w:r>
    </w:p>
    <w:p>
      <w:r>
        <w:rPr>
          <w:rFonts w:ascii="Arial" w:hAnsi="Arial"/>
          <w:i w:val="0"/>
          <w:color w:val="1A2433"/>
          <w:sz w:val="22"/>
        </w:rPr>
        <w:t>The third level is the raw model output. The Data and Downloads section provides the CalSim output files themselves, in two forms: the model's native DSS files, which carry the complete record and require specialized tools to read, and CSV files, which are easier to work with and carry a subset of what the DSS files contain. The same results are also available through the COEQWAL data API, which serves scenario metadata, tier results, and summary statistics in machine-readable form for users building their own analyses.</w:t>
      </w:r>
    </w:p>
    <w:p>
      <w:r>
        <w:rPr>
          <w:rFonts w:ascii="Arial" w:hAnsi="Arial"/>
          <w:b/>
          <w:color w:val="0B2545"/>
          <w:sz w:val="18"/>
        </w:rPr>
        <w:t>¶5</w:t>
      </w:r>
    </w:p>
    <w:p>
      <w:r>
        <w:rPr>
          <w:rFonts w:ascii="Arial" w:hAnsi="Arial"/>
          <w:i w:val="0"/>
          <w:color w:val="1A2433"/>
          <w:sz w:val="22"/>
        </w:rPr>
        <w:t>Briefs — curated, printable summaries like this one — sit alongside these levels and report either background (reference briefs) or modeled tier results (results briefs).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COEQWAL reports modeled results from specific simulations. It does not predict what will happen, evaluate whether results are acceptable, or recommend any course of action. Scenarios are simulations, not forecasts and not policy proposals; the project does not identify a best strategy. The tier framework provides definitional categories; the meaning of those categories for any individual reader, community, or decision is not specified by COEQWAL.</w:t>
      </w:r>
    </w:p>
    <w:p>
      <w:pPr>
        <w:pStyle w:val="Heading2"/>
      </w:pPr>
      <w:r>
        <w:rPr>
          <w:rFonts w:ascii="Arial" w:hAnsi="Arial"/>
          <w:b/>
          <w:color w:val="0B2545"/>
          <w:sz w:val="26"/>
        </w:rPr>
        <w:t>§7 Where to go next</w:t>
      </w:r>
    </w:p>
    <w:p>
      <w:r>
        <w:rPr>
          <w:rFonts w:ascii="Arial" w:hAnsi="Arial"/>
          <w:b/>
          <w:color w:val="0B2545"/>
          <w:sz w:val="18"/>
        </w:rPr>
        <w:t>¶1</w:t>
      </w:r>
    </w:p>
    <w:p>
      <w:r>
        <w:rPr>
          <w:rFonts w:ascii="Arial" w:hAnsi="Arial"/>
          <w:i w:val="0"/>
          <w:color w:val="1A2433"/>
          <w:sz w:val="22"/>
        </w:rPr>
        <w:t>For how the scenarios are constructed — strategies, hydroclimates, and the runs behind them — see the companion reference brief, The COEQWAL scenario library. For modeled results, start with the baseline brief or a theme brief on the findings page.</w:t>
      </w:r>
    </w:p>
    <w:p>
      <w:r>
        <w:rPr>
          <w:rFonts w:ascii="Arial" w:hAnsi="Arial"/>
          <w:b/>
          <w:color w:val="0B2545"/>
          <w:sz w:val="18"/>
        </w:rPr>
        <w:t>Explorer link</w:t>
      </w:r>
    </w:p>
    <w:p>
      <w:r>
        <w:rPr>
          <w:rFonts w:ascii="Arial" w:hAnsi="Arial"/>
          <w:i w:val="0"/>
          <w:color w:val="1A2433"/>
          <w:sz w:val="22"/>
        </w:rPr>
        <w:t>Open the data explorer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