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The COEQWAL scenario library — COEQWAL Findings — Copy Deck for Language Review</w:t>
      </w:r>
    </w:p>
    <w:p>
      <w:r>
        <w:rPr>
          <w:rFonts w:ascii="Arial" w:hAnsi="Arial"/>
          <w:i/>
          <w:color w:val="667085"/>
          <w:sz w:val="19"/>
        </w:rPr>
        <w:t>Source: scenario_library_brief_prototype_v0_1.html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Reference Brief · Background</w:t>
      </w:r>
    </w:p>
    <w:p>
      <w:r>
        <w:rPr>
          <w:rFonts w:ascii="Arial" w:hAnsi="Arial"/>
          <w:b/>
          <w:color w:val="0B2545"/>
          <w:sz w:val="18"/>
        </w:rPr>
        <w:t>Eyebrow (sector)</w:t>
      </w:r>
    </w:p>
    <w:p>
      <w:r>
        <w:rPr>
          <w:rFonts w:ascii="Arial" w:hAnsi="Arial"/>
          <w:i w:val="0"/>
          <w:color w:val="1A2433"/>
          <w:sz w:val="22"/>
        </w:rPr>
        <w:t>Reference Brief · The Scenario Library</w:t>
      </w:r>
    </w:p>
    <w:p>
      <w:r>
        <w:rPr>
          <w:rFonts w:ascii="Arial" w:hAnsi="Arial"/>
          <w:b/>
          <w:color w:val="0B2545"/>
          <w:sz w:val="18"/>
        </w:rPr>
        <w:t>Headline (H1)</w:t>
      </w:r>
    </w:p>
    <w:p>
      <w:r>
        <w:rPr>
          <w:rFonts w:ascii="Arial" w:hAnsi="Arial"/>
          <w:i w:val="0"/>
          <w:color w:val="1A2433"/>
          <w:sz w:val="22"/>
        </w:rPr>
        <w:t>The COEQWAL scenario library How the scenarios are built: strategies, hydroclimates, and the model runs behind them</w:t>
      </w:r>
    </w:p>
    <w:p>
      <w:r>
        <w:rPr>
          <w:rFonts w:ascii="Arial" w:hAnsi="Arial"/>
          <w:b/>
          <w:color w:val="0B2545"/>
          <w:sz w:val="18"/>
        </w:rPr>
        <w:t>Headline / pull-quote (TL;DR)</w:t>
      </w:r>
    </w:p>
    <w:p>
      <w:r>
        <w:rPr>
          <w:rFonts w:ascii="Arial" w:hAnsi="Arial"/>
          <w:i w:val="0"/>
          <w:color w:val="1A2433"/>
          <w:sz w:val="22"/>
        </w:rPr>
        <w:t>The scenario library pairs 24 water management strategies with five hydroclimates. Each pairing is one scenario — one CalSim 3 simulation over a 100-year period. Of the 120 designed combinations, 115 are currently served on the website. Every tier result COEQWAL reports traces to one of these runs.</w:t>
      </w:r>
    </w:p>
    <w:p>
      <w:r>
        <w:rPr>
          <w:rFonts w:ascii="Arial" w:hAnsi="Arial"/>
          <w:b/>
          <w:color w:val="0B2545"/>
          <w:sz w:val="18"/>
        </w:rPr>
        <w:t>Identity sentence</w:t>
      </w:r>
    </w:p>
    <w:p>
      <w:r>
        <w:rPr>
          <w:rFonts w:ascii="Arial" w:hAnsi="Arial"/>
          <w:i w:val="0"/>
          <w:color w:val="1A2433"/>
          <w:sz w:val="22"/>
        </w:rPr>
        <w:t>This brief describes how the scenario library is constructed. It is a reference brief — part of the project's background material — and carries no modeled results. For what the runs produce, see the results briefs on the findings page.</w:t>
      </w:r>
    </w:p>
    <w:p>
      <w:r>
        <w:rPr>
          <w:rFonts w:ascii="Arial" w:hAnsi="Arial"/>
          <w:b/>
          <w:color w:val="0B2545"/>
          <w:sz w:val="18"/>
        </w:rPr>
        <w:t>Search / meta description</w:t>
      </w:r>
    </w:p>
    <w:p>
      <w:r>
        <w:rPr>
          <w:rFonts w:ascii="Arial" w:hAnsi="Arial"/>
          <w:i w:val="0"/>
          <w:color w:val="1A2433"/>
          <w:sz w:val="22"/>
        </w:rPr>
        <w:t>A COEQWAL reference brief describing how the scenario library is built: 24 water management strategies, five hydroclimates, and the CalSim runs behind them. Background only — no modeled results.</w:t>
      </w:r>
    </w:p>
    <w:p>
      <w:pPr>
        <w:pStyle w:val="Heading2"/>
      </w:pPr>
      <w:r>
        <w:rPr>
          <w:rFonts w:ascii="Arial" w:hAnsi="Arial"/>
          <w:b/>
          <w:color w:val="0B2545"/>
          <w:sz w:val="26"/>
        </w:rPr>
        <w:t>§2 What a scenario is</w:t>
      </w:r>
    </w:p>
    <w:p>
      <w:r>
        <w:rPr>
          <w:rFonts w:ascii="Arial" w:hAnsi="Arial"/>
          <w:b/>
          <w:color w:val="0B2545"/>
          <w:sz w:val="18"/>
        </w:rPr>
        <w:t>¶1</w:t>
      </w:r>
    </w:p>
    <w:p>
      <w:r>
        <w:rPr>
          <w:rFonts w:ascii="Arial" w:hAnsi="Arial"/>
          <w:i w:val="0"/>
          <w:color w:val="1A2433"/>
          <w:sz w:val="22"/>
        </w:rPr>
        <w:t>Every scenario pairs one water management strategy with one hydroclimate. The strategy describes the decisions, priorities, and policies that determine how water is allocated — the part of the system that can be controlled. The hydroclimate describes the temperature and the patterns of rain and snow that determine how much water is available — the part that cannot.</w:t>
      </w:r>
    </w:p>
    <w:p>
      <w:r>
        <w:rPr>
          <w:rFonts w:ascii="Arial" w:hAnsi="Arial"/>
          <w:b/>
          <w:color w:val="0B2545"/>
          <w:sz w:val="18"/>
        </w:rPr>
        <w:t>¶2</w:t>
      </w:r>
    </w:p>
    <w:p>
      <w:r>
        <w:rPr>
          <w:rFonts w:ascii="Arial" w:hAnsi="Arial"/>
          <w:i w:val="0"/>
          <w:color w:val="1A2433"/>
          <w:sz w:val="22"/>
        </w:rPr>
        <w:t>The pairing is the unit of analysis. A result belongs to the pair, never to a strategy alone: the same strategy can produce different results under different hydroclimates, and comparing a strategy across hydroclimates is one of the central readings the library is structured to support.</w:t>
      </w:r>
    </w:p>
    <w:p>
      <w:pPr>
        <w:pStyle w:val="Heading2"/>
      </w:pPr>
      <w:r>
        <w:rPr>
          <w:rFonts w:ascii="Arial" w:hAnsi="Arial"/>
          <w:b/>
          <w:color w:val="0B2545"/>
          <w:sz w:val="26"/>
        </w:rPr>
        <w:t>§3 The 24 strategies</w:t>
      </w:r>
    </w:p>
    <w:p>
      <w:r>
        <w:rPr>
          <w:rFonts w:ascii="Arial" w:hAnsi="Arial"/>
          <w:b/>
          <w:color w:val="0B2545"/>
          <w:sz w:val="18"/>
        </w:rPr>
        <w:t>¶1</w:t>
      </w:r>
    </w:p>
    <w:p>
      <w:r>
        <w:rPr>
          <w:rFonts w:ascii="Arial" w:hAnsi="Arial"/>
          <w:i w:val="0"/>
          <w:color w:val="1A2433"/>
          <w:sz w:val="22"/>
        </w:rPr>
        <w:t>The strategies span the main levers of Central Valley water management, in seven families: five current-operations variants (differing in agency rule set, land use, and drought provisions); four groundwater pumping limits reflecting SGMA compliance, with and without reduced crop acreage; five river flow configurations, including functional environmental flows, salmon-friendly flows, and a no-minimum-flows variant; three community water system delivery priorities; four Delta outflow levels, from 35% to 65% of unimpaired flow; two storage and salinity operations; and the Delta Conveyance Project.</w:t>
      </w:r>
    </w:p>
    <w:p>
      <w:r>
        <w:rPr>
          <w:rFonts w:ascii="Arial" w:hAnsi="Arial"/>
          <w:b/>
          <w:color w:val="0B2545"/>
          <w:sz w:val="18"/>
        </w:rPr>
        <w:t>¶2</w:t>
      </w:r>
    </w:p>
    <w:p>
      <w:r>
        <w:rPr>
          <w:rFonts w:ascii="Arial" w:hAnsi="Arial"/>
          <w:i w:val="0"/>
          <w:color w:val="1A2433"/>
          <w:sz w:val="22"/>
        </w:rPr>
        <w:t>A strategy's public identity is its descriptive name — for example, functional environmental flows or groundwater pumping limits in the San Joaquin Valley. Each strategy is described in its own reference brief; the full set is listed in the strategies-at-a-glance table on the findings page.</w:t>
      </w:r>
    </w:p>
    <w:p>
      <w:pPr>
        <w:pStyle w:val="Heading2"/>
      </w:pPr>
      <w:r>
        <w:rPr>
          <w:rFonts w:ascii="Arial" w:hAnsi="Arial"/>
          <w:b/>
          <w:color w:val="0B2545"/>
          <w:sz w:val="26"/>
        </w:rPr>
        <w:t>§4 The five hydroclimates</w:t>
      </w:r>
    </w:p>
    <w:p>
      <w:r>
        <w:rPr>
          <w:rFonts w:ascii="Arial" w:hAnsi="Arial"/>
          <w:b/>
          <w:color w:val="0B2545"/>
          <w:sz w:val="18"/>
        </w:rPr>
        <w:t>¶1</w:t>
      </w:r>
    </w:p>
    <w:p>
      <w:r>
        <w:rPr>
          <w:rFonts w:ascii="Arial" w:hAnsi="Arial"/>
          <w:i w:val="0"/>
          <w:color w:val="1A2433"/>
          <w:sz w:val="22"/>
        </w:rPr>
        <w:t>Each strategy is simulated once under each of five hydroclimates: the historical record, and four projected climates named by their level of stress on the water system. The four projections are a sample of possible futures drawn from state planning studies and downscaled global climate models — they are not predictions, and they are not stages of a single timeline. Each is a complete simulation period in its own right.</w:t>
      </w:r>
    </w:p>
    <w:p>
      <w:pPr>
        <w:pStyle w:val="Heading2"/>
      </w:pPr>
      <w:r>
        <w:rPr>
          <w:rFonts w:ascii="Arial" w:hAnsi="Arial"/>
          <w:b/>
          <w:color w:val="0B2545"/>
          <w:sz w:val="26"/>
        </w:rPr>
        <w:t>§5 Current operations and the baseline</w:t>
      </w:r>
    </w:p>
    <w:p>
      <w:r>
        <w:rPr>
          <w:rFonts w:ascii="Arial" w:hAnsi="Arial"/>
          <w:b/>
          <w:color w:val="0B2545"/>
          <w:sz w:val="18"/>
        </w:rPr>
        <w:t>¶1</w:t>
      </w:r>
    </w:p>
    <w:p>
      <w:r>
        <w:rPr>
          <w:rFonts w:ascii="Arial" w:hAnsi="Arial"/>
          <w:i w:val="0"/>
          <w:color w:val="1A2433"/>
          <w:sz w:val="22"/>
        </w:rPr>
        <w:t>One strategy — current operations — represents existing operational rules as specified by the California Department of Water Resources in 2023, with recent (2020) land use and drought provisions. It is simulated under all five hydroclimates, like every other strategy, and it is the reference every other strategy is compared against.</w:t>
      </w:r>
    </w:p>
    <w:p>
      <w:r>
        <w:rPr>
          <w:rFonts w:ascii="Arial" w:hAnsi="Arial"/>
          <w:b/>
          <w:color w:val="0B2545"/>
          <w:sz w:val="18"/>
        </w:rPr>
        <w:t>¶2</w:t>
      </w:r>
    </w:p>
    <w:p>
      <w:r>
        <w:rPr>
          <w:rFonts w:ascii="Arial" w:hAnsi="Arial"/>
          <w:i w:val="0"/>
          <w:color w:val="1A2433"/>
          <w:sz w:val="22"/>
        </w:rPr>
        <w:t>Comparisons are always matched by hydroclimate: an alternative strategy under a given hydroclimate is compared with current operations under that same hydroclimate. Current operations under the historical hydroclimate is the baseline — the scenario that represents the lived status quo. Current operations under a projected hydroclimate is a climate-projected baseline: an independent model run showing where current management would land if the climate changed but the rules did not. It is a full simulation, not an adjustment applied to the historical run.</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The library is a sample, not a census. The 24 strategies do not cover every possible way of managing Central Valley water, and the five hydroclimates do not cover every possible climate; the absence of a combination from the library is not evidence about that combination. No scenario is a prediction of what will happen, and the library does not identify a best strategy. Strategies as modeled are idealized representations in CalSim, not policy proposals or implementation plans.</w:t>
      </w:r>
    </w:p>
    <w:p>
      <w:pPr>
        <w:pStyle w:val="Heading2"/>
      </w:pPr>
      <w:r>
        <w:rPr>
          <w:rFonts w:ascii="Arial" w:hAnsi="Arial"/>
          <w:b/>
          <w:color w:val="0B2545"/>
          <w:sz w:val="26"/>
        </w:rPr>
        <w:t>§7 Where to go next</w:t>
      </w:r>
    </w:p>
    <w:p>
      <w:r>
        <w:rPr>
          <w:rFonts w:ascii="Arial" w:hAnsi="Arial"/>
          <w:b/>
          <w:color w:val="0B2545"/>
          <w:sz w:val="18"/>
        </w:rPr>
        <w:t>¶1</w:t>
      </w:r>
    </w:p>
    <w:p>
      <w:r>
        <w:rPr>
          <w:rFonts w:ascii="Arial" w:hAnsi="Arial"/>
          <w:i w:val="0"/>
          <w:color w:val="1A2433"/>
          <w:sz w:val="22"/>
        </w:rPr>
        <w:t>For what the project is and why the library exists, see the companion reference brief, The COEQWAL project. For any single strategy, see its strategy brief. For the full strategy × hydroclimate matrix, see the strategies-at-a-glance table on the findings page. For modeled results, start with the baseline brief.</w:t>
      </w:r>
    </w:p>
    <w:p>
      <w:r>
        <w:rPr>
          <w:rFonts w:ascii="Arial" w:hAnsi="Arial"/>
          <w:b/>
          <w:color w:val="0B2545"/>
          <w:sz w:val="18"/>
        </w:rPr>
        <w:t>Explorer link</w:t>
      </w:r>
    </w:p>
    <w:p>
      <w:r>
        <w:rPr>
          <w:rFonts w:ascii="Arial" w:hAnsi="Arial"/>
          <w:i w:val="0"/>
          <w:color w:val="1A2433"/>
          <w:sz w:val="22"/>
        </w:rPr>
        <w:t>Browse the scenario library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Every scenario is one CalSim 3 run. The run identifiers for each strategy, under each of the five hydroclimates, are listed in the references note of that strategy's brief and in the strategies-at-a-glance table's records, so any result can be traced to a specific model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