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Current operations with historical land use — COEQWAL Findings — Copy Deck for Language Review</w:t>
      </w:r>
    </w:p>
    <w:p>
      <w:r>
        <w:rPr>
          <w:rFonts w:ascii="Arial" w:hAnsi="Arial"/>
          <w:i/>
          <w:color w:val="667085"/>
          <w:sz w:val="19"/>
        </w:rPr>
        <w:t>Source: strategy_brief_current-operations-with-historical-land-use_v0_1.html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Baseline</w:t>
      </w:r>
    </w:p>
    <w:p>
      <w:r>
        <w:rPr>
          <w:rFonts w:ascii="Arial" w:hAnsi="Arial"/>
          <w:b/>
          <w:color w:val="0B2545"/>
          <w:sz w:val="18"/>
        </w:rPr>
        <w:t>Headline (H1)</w:t>
      </w:r>
    </w:p>
    <w:p>
      <w:r>
        <w:rPr>
          <w:rFonts w:ascii="Arial" w:hAnsi="Arial"/>
          <w:i w:val="0"/>
          <w:color w:val="1A2433"/>
          <w:sz w:val="22"/>
        </w:rPr>
        <w:t>Current operations with historical land use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is current operations with one change: agricultural water demands are set from the older 2004–2013 average land-use dataset instead of the 2020 LandIQ map. Operating rules, TUCP actions, and everything else match current operations.</w:t>
      </w:r>
    </w:p>
    <w:p>
      <w:r>
        <w:rPr>
          <w:rFonts w:ascii="Arial" w:hAnsi="Arial"/>
          <w:b/>
          <w:color w:val="0B2545"/>
          <w:sz w:val="18"/>
        </w:rPr>
        <w:t>Identity sentence</w:t>
      </w:r>
    </w:p>
    <w:p>
      <w:r>
        <w:rPr>
          <w:rFonts w:ascii="Arial" w:hAnsi="Arial"/>
          <w:i w:val="0"/>
          <w:color w:val="1A2433"/>
          <w:sz w:val="22"/>
        </w:rPr>
        <w:t>This brief describes current operations with historical land use,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current operations with historical land use, one of 24 management strategies in the COEQWAL scenario library: current operations with agricultural demands set from the older 2004–2013 average land use.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changes the land-use assumption that sets agricultural water demands. Current operations uses a 2020 map of irrigated agriculture (the LandIQ dataset); this strategy instead uses the 2004–2013 average land use carried in DWR's 2023 Delivery Capability Report release.</w:t>
      </w:r>
    </w:p>
    <w:p>
      <w:r>
        <w:rPr>
          <w:rFonts w:ascii="Arial" w:hAnsi="Arial"/>
          <w:b/>
          <w:color w:val="0B2545"/>
          <w:sz w:val="18"/>
        </w:rPr>
        <w:t>¶2</w:t>
      </w:r>
    </w:p>
    <w:p>
      <w:r>
        <w:rPr>
          <w:rFonts w:ascii="Arial" w:hAnsi="Arial"/>
          <w:i w:val="0"/>
          <w:color w:val="1A2433"/>
          <w:sz w:val="22"/>
        </w:rPr>
        <w:t>Land use enters CalSim through the irrigation demands calculated for each demand unit, so the difference between the two datasets appears in the model as a difference in how much water agriculture requests, and where. All operating rules — TUCP actions included — are unchanged from current operations.</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is DWR's 2023 Delivery Capability Report baseline with TUCP actions activated — the intermediate configuration from which current operations was built. Current operations then updated the land use to the 2020 LandIQ dataset; this strategy retains the earlier 2004–2013 average, so the pair isolates the land-use assumption.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Baseline</w:t>
      </w:r>
    </w:p>
    <w:p>
      <w:r>
        <w:rPr>
          <w:rFonts w:ascii="Arial" w:hAnsi="Arial"/>
          <w:b/>
          <w:color w:val="0B2545"/>
          <w:sz w:val="18"/>
        </w:rPr>
        <w:t>List item</w:t>
      </w:r>
    </w:p>
    <w:p>
      <w:r>
        <w:rPr>
          <w:rFonts w:ascii="Arial" w:hAnsi="Arial"/>
          <w:i w:val="0"/>
          <w:color w:val="1A2433"/>
          <w:sz w:val="22"/>
        </w:rPr>
        <w:t>Current operations. Existing operational rules with recent (2020) land use and TUCP actions — the current-operations anchor the other strategies are compared against.</w:t>
      </w:r>
    </w:p>
    <w:p>
      <w:r>
        <w:rPr>
          <w:rFonts w:ascii="Arial" w:hAnsi="Arial"/>
          <w:b/>
          <w:color w:val="0B2545"/>
          <w:sz w:val="18"/>
        </w:rPr>
        <w:t>List item</w:t>
      </w:r>
    </w:p>
    <w:p>
      <w:r>
        <w:rPr>
          <w:rFonts w:ascii="Arial" w:hAnsi="Arial"/>
          <w:i w:val="0"/>
          <w:color w:val="1A2433"/>
          <w:sz w:val="22"/>
        </w:rPr>
        <w:t>Current operations without TUCPs. Current operations with TUCP actions deactivated.</w:t>
      </w:r>
    </w:p>
    <w:p>
      <w:r>
        <w:rPr>
          <w:rFonts w:ascii="Arial" w:hAnsi="Arial"/>
          <w:b/>
          <w:color w:val="0B2545"/>
          <w:sz w:val="18"/>
        </w:rPr>
        <w:t>List item</w:t>
      </w:r>
    </w:p>
    <w:p>
      <w:r>
        <w:rPr>
          <w:rFonts w:ascii="Arial" w:hAnsi="Arial"/>
          <w:i w:val="0"/>
          <w:color w:val="1A2433"/>
          <w:sz w:val="22"/>
        </w:rPr>
        <w:t>Current USBR operations without TUCPs. Operating rules from USBR's 2024 Long-Term Operations plan (Alt2v1), with TUCP actions deactivated.</w:t>
      </w:r>
    </w:p>
    <w:p>
      <w:r>
        <w:rPr>
          <w:rFonts w:ascii="Arial" w:hAnsi="Arial"/>
          <w:b/>
          <w:color w:val="0B2545"/>
          <w:sz w:val="18"/>
        </w:rPr>
        <w:t>List item</w:t>
      </w:r>
    </w:p>
    <w:p>
      <w:r>
        <w:rPr>
          <w:rFonts w:ascii="Arial" w:hAnsi="Arial"/>
          <w:i w:val="0"/>
          <w:color w:val="1A2433"/>
          <w:sz w:val="22"/>
        </w:rPr>
        <w:t>Current USBR operations. Operating rules from USBR's 2024 Long-Term Operations plan (Alt2v1), with 2020 land use and TUCP actions active.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for the current-operations family across all nine sectors at the reference hydroclimate, see the BASELINES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agricultural locations in the Sacramento and San Joaquin valleys.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