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Current operations without TUCPs — COEQWAL Findings — Copy Deck for Language Review</w:t>
      </w:r>
    </w:p>
    <w:p>
      <w:r>
        <w:rPr>
          <w:rFonts w:ascii="Arial" w:hAnsi="Arial"/>
          <w:i/>
          <w:color w:val="667085"/>
          <w:sz w:val="19"/>
        </w:rPr>
        <w:t>Source: strategy_brief_current-operations-without-tucps_v0_1.html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Baseline</w:t>
      </w:r>
    </w:p>
    <w:p>
      <w:r>
        <w:rPr>
          <w:rFonts w:ascii="Arial" w:hAnsi="Arial"/>
          <w:b/>
          <w:color w:val="0B2545"/>
          <w:sz w:val="18"/>
        </w:rPr>
        <w:t>Headline (H1)</w:t>
      </w:r>
    </w:p>
    <w:p>
      <w:r>
        <w:rPr>
          <w:rFonts w:ascii="Arial" w:hAnsi="Arial"/>
          <w:i w:val="0"/>
          <w:color w:val="1A2433"/>
          <w:sz w:val="22"/>
        </w:rPr>
        <w:t>Current operations without TUCPs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is current operations with one change: Temporary Urgency Change Petition (TUCP) actions are deactivated. Under current operations, TUCP actions can temporarily modify Delta requirements during dry conditions; this strategy runs the same system without them.</w:t>
      </w:r>
    </w:p>
    <w:p>
      <w:r>
        <w:rPr>
          <w:rFonts w:ascii="Arial" w:hAnsi="Arial"/>
          <w:b/>
          <w:color w:val="0B2545"/>
          <w:sz w:val="18"/>
        </w:rPr>
        <w:t>Identity sentence</w:t>
      </w:r>
    </w:p>
    <w:p>
      <w:r>
        <w:rPr>
          <w:rFonts w:ascii="Arial" w:hAnsi="Arial"/>
          <w:i w:val="0"/>
          <w:color w:val="1A2433"/>
          <w:sz w:val="22"/>
        </w:rPr>
        <w:t>This brief describes current operations without TUCPs,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current operations without TUCPs, one of 24 management strategies in the COEQWAL scenario library: current operations with TUCP actions deactivated.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deactivates TUCP actions in the model. Under current operations, TUCP actions can be triggered February through May when the Sacramento Valley index and Shasta storage both fall below certain thresholds, temporarily modifying Delta requirements during dry conditions.</w:t>
      </w:r>
    </w:p>
    <w:p>
      <w:r>
        <w:rPr>
          <w:rFonts w:ascii="Arial" w:hAnsi="Arial"/>
          <w:b/>
          <w:color w:val="0B2545"/>
          <w:sz w:val="18"/>
        </w:rPr>
        <w:t>¶2</w:t>
      </w:r>
    </w:p>
    <w:p>
      <w:r>
        <w:rPr>
          <w:rFonts w:ascii="Arial" w:hAnsi="Arial"/>
          <w:i w:val="0"/>
          <w:color w:val="1A2433"/>
          <w:sz w:val="22"/>
        </w:rPr>
        <w:t>Everything else matches current operations: the same operating rules, the same 2020 LandIQ land use, and the same flow and allocation logic. The pair of configurations isolates the TUCP switch.</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configuration was created from current operations by deactivating the TUCP simulation switch in the model code; it is otherwise identical to current operations.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Baseline</w:t>
      </w:r>
    </w:p>
    <w:p>
      <w:r>
        <w:rPr>
          <w:rFonts w:ascii="Arial" w:hAnsi="Arial"/>
          <w:b/>
          <w:color w:val="0B2545"/>
          <w:sz w:val="18"/>
        </w:rPr>
        <w:t>List item</w:t>
      </w:r>
    </w:p>
    <w:p>
      <w:r>
        <w:rPr>
          <w:rFonts w:ascii="Arial" w:hAnsi="Arial"/>
          <w:i w:val="0"/>
          <w:color w:val="1A2433"/>
          <w:sz w:val="22"/>
        </w:rPr>
        <w:t>Current operations with historical land use. Current operational rules with agricultural demands set from the older 2004–2013 average land use.</w:t>
      </w:r>
    </w:p>
    <w:p>
      <w:r>
        <w:rPr>
          <w:rFonts w:ascii="Arial" w:hAnsi="Arial"/>
          <w:b/>
          <w:color w:val="0B2545"/>
          <w:sz w:val="18"/>
        </w:rPr>
        <w:t>List item</w:t>
      </w:r>
    </w:p>
    <w:p>
      <w:r>
        <w:rPr>
          <w:rFonts w:ascii="Arial" w:hAnsi="Arial"/>
          <w:i w:val="0"/>
          <w:color w:val="1A2433"/>
          <w:sz w:val="22"/>
        </w:rPr>
        <w:t>Current operations. Existing operational rules with recent (2020) land use and TUCP actions — the current-operations anchor the other strategies are compared against.</w:t>
      </w:r>
    </w:p>
    <w:p>
      <w:r>
        <w:rPr>
          <w:rFonts w:ascii="Arial" w:hAnsi="Arial"/>
          <w:b/>
          <w:color w:val="0B2545"/>
          <w:sz w:val="18"/>
        </w:rPr>
        <w:t>List item</w:t>
      </w:r>
    </w:p>
    <w:p>
      <w:r>
        <w:rPr>
          <w:rFonts w:ascii="Arial" w:hAnsi="Arial"/>
          <w:i w:val="0"/>
          <w:color w:val="1A2433"/>
          <w:sz w:val="22"/>
        </w:rPr>
        <w:t>Current USBR operations without TUCPs. Operating rules from USBR's 2024 Long-Term Operations plan (Alt2v1), with TUCP actions deactivated.</w:t>
      </w:r>
    </w:p>
    <w:p>
      <w:r>
        <w:rPr>
          <w:rFonts w:ascii="Arial" w:hAnsi="Arial"/>
          <w:b/>
          <w:color w:val="0B2545"/>
          <w:sz w:val="18"/>
        </w:rPr>
        <w:t>List item</w:t>
      </w:r>
    </w:p>
    <w:p>
      <w:r>
        <w:rPr>
          <w:rFonts w:ascii="Arial" w:hAnsi="Arial"/>
          <w:i w:val="0"/>
          <w:color w:val="1A2433"/>
          <w:sz w:val="22"/>
        </w:rPr>
        <w:t>Current USBR operations. Operating rules from USBR's 2024 Long-Term Operations plan (Alt2v1), with 2020 land use and TUCP actions active.</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for the current-operations family across all nine sectors at the reference hydroclimate, see the BASELINES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Delta locations and community water systems.</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