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Current operations — COEQWAL Findings — Copy Deck for Language Review</w:t>
      </w:r>
    </w:p>
    <w:p>
      <w:r>
        <w:rPr>
          <w:rFonts w:ascii="Arial" w:hAnsi="Arial"/>
          <w:i/>
          <w:color w:val="667085"/>
          <w:sz w:val="19"/>
        </w:rPr>
        <w:t>Source: strategy_brief_current-operations_v0_1.html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Strategy Brief · Background</w:t>
      </w:r>
    </w:p>
    <w:p>
      <w:r>
        <w:rPr>
          <w:rFonts w:ascii="Arial" w:hAnsi="Arial"/>
          <w:b/>
          <w:color w:val="0B2545"/>
          <w:sz w:val="18"/>
        </w:rPr>
        <w:t>Eyebrow (sector)</w:t>
      </w:r>
    </w:p>
    <w:p>
      <w:r>
        <w:rPr>
          <w:rFonts w:ascii="Arial" w:hAnsi="Arial"/>
          <w:i w:val="0"/>
          <w:color w:val="1A2433"/>
          <w:sz w:val="22"/>
        </w:rPr>
        <w:t>Operational Strategy · Baseline</w:t>
      </w:r>
    </w:p>
    <w:p>
      <w:r>
        <w:rPr>
          <w:rFonts w:ascii="Arial" w:hAnsi="Arial"/>
          <w:b/>
          <w:color w:val="0B2545"/>
          <w:sz w:val="18"/>
        </w:rPr>
        <w:t>Headline (H1)</w:t>
      </w:r>
    </w:p>
    <w:p>
      <w:r>
        <w:rPr>
          <w:rFonts w:ascii="Arial" w:hAnsi="Arial"/>
          <w:i w:val="0"/>
          <w:color w:val="1A2433"/>
          <w:sz w:val="22"/>
        </w:rPr>
        <w:t>Current operations A management strategy in the COEQWAL scenario library</w:t>
      </w:r>
    </w:p>
    <w:p>
      <w:r>
        <w:rPr>
          <w:rFonts w:ascii="Arial" w:hAnsi="Arial"/>
          <w:b/>
          <w:color w:val="0B2545"/>
          <w:sz w:val="18"/>
        </w:rPr>
        <w:t>Headline / pull-quote (TL;DR)</w:t>
      </w:r>
    </w:p>
    <w:p>
      <w:r>
        <w:rPr>
          <w:rFonts w:ascii="Arial" w:hAnsi="Arial"/>
          <w:i w:val="0"/>
          <w:color w:val="1A2433"/>
          <w:sz w:val="22"/>
        </w:rPr>
        <w:t>This strategy represents current operating rules for the major Central Valley water systems: the operational logic of DWR's 2023 Delivery Capability Report, with agricultural demands set by the 2020 LandIQ land-use dataset and Temporary Urgency Change Petition (TUCP) actions active. It is the comparison anchor for the scenario library — every other strategy brief describes its configuration as a set of changes from this one.</w:t>
      </w:r>
    </w:p>
    <w:p>
      <w:r>
        <w:rPr>
          <w:rFonts w:ascii="Arial" w:hAnsi="Arial"/>
          <w:b/>
          <w:color w:val="0B2545"/>
          <w:sz w:val="18"/>
        </w:rPr>
        <w:t>Identity sentence</w:t>
      </w:r>
    </w:p>
    <w:p>
      <w:r>
        <w:rPr>
          <w:rFonts w:ascii="Arial" w:hAnsi="Arial"/>
          <w:i w:val="0"/>
          <w:color w:val="1A2433"/>
          <w:sz w:val="22"/>
        </w:rPr>
        <w:t>This brief describes current operations, one of 24 management strategies in the COEQWAL scenario library. Each strategy is simulated once under each of five hydroclimates; the references note at the end of this brief lists the model runs.</w:t>
      </w:r>
    </w:p>
    <w:p>
      <w:r>
        <w:rPr>
          <w:rFonts w:ascii="Arial" w:hAnsi="Arial"/>
          <w:b/>
          <w:color w:val="0B2545"/>
          <w:sz w:val="18"/>
        </w:rPr>
        <w:t>Search / meta description</w:t>
      </w:r>
    </w:p>
    <w:p>
      <w:r>
        <w:rPr>
          <w:rFonts w:ascii="Arial" w:hAnsi="Arial"/>
          <w:i w:val="0"/>
          <w:color w:val="1A2433"/>
          <w:sz w:val="22"/>
        </w:rPr>
        <w:t>A COEQWAL strategy background brief describing current operations, one of 24 management strategies in the COEQWAL scenario library: the current operating rules for the major Central Valley systems, with 2020 land use and TUCP actions — the library's comparison anchor. Background only — no modeled results.</w:t>
      </w:r>
    </w:p>
    <w:p>
      <w:pPr>
        <w:pStyle w:val="Heading2"/>
      </w:pPr>
      <w:r>
        <w:rPr>
          <w:rFonts w:ascii="Arial" w:hAnsi="Arial"/>
          <w:b/>
          <w:color w:val="0B2545"/>
          <w:sz w:val="26"/>
        </w:rPr>
        <w:t>§2 What this strategy changes</w:t>
      </w:r>
    </w:p>
    <w:p>
      <w:r>
        <w:rPr>
          <w:rFonts w:ascii="Arial" w:hAnsi="Arial"/>
          <w:b/>
          <w:color w:val="0B2545"/>
          <w:sz w:val="18"/>
        </w:rPr>
        <w:t>¶1</w:t>
      </w:r>
    </w:p>
    <w:p>
      <w:r>
        <w:rPr>
          <w:rFonts w:ascii="Arial" w:hAnsi="Arial"/>
          <w:i w:val="0"/>
          <w:color w:val="1A2433"/>
          <w:sz w:val="22"/>
        </w:rPr>
        <w:t>This strategy makes no intentional change: it is the current-operations reference the other strategies in the library are compared against. The model code and operating rules were taken directly from DWR's 2023 Delivery Capability Report (DCR) final version and represent the operating rules for the major Central Valley systems up to and including the 2019 Biological Opinions and the 2020 SWP Incidental Take Permit.</w:t>
      </w:r>
    </w:p>
    <w:p>
      <w:r>
        <w:rPr>
          <w:rFonts w:ascii="Arial" w:hAnsi="Arial"/>
          <w:b/>
          <w:color w:val="0B2545"/>
          <w:sz w:val="18"/>
        </w:rPr>
        <w:t>¶2</w:t>
      </w:r>
    </w:p>
    <w:p>
      <w:r>
        <w:rPr>
          <w:rFonts w:ascii="Arial" w:hAnsi="Arial"/>
          <w:i w:val="0"/>
          <w:color w:val="1A2433"/>
          <w:sz w:val="22"/>
        </w:rPr>
        <w:t>Two details distinguish this configuration from the DCR release it is built on: agricultural demands are set from a 2020 map of irrigated agriculture (the LandIQ dataset) rather than the older 2004–2013 average, and TUCP actions are activated. TUCP actions can be triggered February through May when the Sacramento Valley index and Shasta storage both fall below certain thresholds.</w:t>
      </w:r>
    </w:p>
    <w:p>
      <w:r>
        <w:rPr>
          <w:rFonts w:ascii="Arial" w:hAnsi="Arial"/>
          <w:b/>
          <w:color w:val="0B2545"/>
          <w:sz w:val="18"/>
        </w:rPr>
        <w:t>¶3</w:t>
      </w:r>
    </w:p>
    <w:p>
      <w:r>
        <w:rPr>
          <w:rFonts w:ascii="Arial" w:hAnsi="Arial"/>
          <w:i w:val="0"/>
          <w:color w:val="1A2433"/>
          <w:sz w:val="22"/>
        </w:rPr>
        <w:t>Because this strategy is the comparison anchor, the configuration table in §3 shows every field at its reference value — the strategy's own values fill both columns, and every row reads as a match by definition.</w:t>
      </w:r>
    </w:p>
    <w:p>
      <w:pPr>
        <w:pStyle w:val="Heading2"/>
      </w:pPr>
      <w:r>
        <w:rPr>
          <w:rFonts w:ascii="Arial" w:hAnsi="Arial"/>
          <w:b/>
          <w:color w:val="0B2545"/>
          <w:sz w:val="26"/>
        </w:rPr>
        <w:t>§3 The configuration in detail</w:t>
      </w:r>
    </w:p>
    <w:p>
      <w:r>
        <w:rPr>
          <w:rFonts w:ascii="Arial" w:hAnsi="Arial"/>
          <w:b/>
          <w:color w:val="0B2545"/>
          <w:sz w:val="18"/>
        </w:rPr>
        <w:t>¶1</w:t>
      </w:r>
    </w:p>
    <w:p>
      <w:r>
        <w:rPr>
          <w:rFonts w:ascii="Arial" w:hAnsi="Arial"/>
          <w:i w:val="0"/>
          <w:color w:val="1A2433"/>
          <w:sz w:val="22"/>
        </w:rPr>
        <w:t>This strategy is the comparison anchor: the eight operational fields below define current operations, and the other strategy briefs compare against these values. Both columns therefore show the same values, and every row reads as a match by definition.</w:t>
      </w:r>
    </w:p>
    <w:p>
      <w:pPr>
        <w:pStyle w:val="Heading2"/>
      </w:pPr>
      <w:r>
        <w:rPr>
          <w:rFonts w:ascii="Arial" w:hAnsi="Arial"/>
          <w:b/>
          <w:color w:val="0B2545"/>
          <w:sz w:val="26"/>
        </w:rPr>
        <w:t>§4 Lineage and source</w:t>
      </w:r>
    </w:p>
    <w:p>
      <w:r>
        <w:rPr>
          <w:rFonts w:ascii="Arial" w:hAnsi="Arial"/>
          <w:b/>
          <w:color w:val="0B2545"/>
          <w:sz w:val="18"/>
        </w:rPr>
        <w:t>¶1</w:t>
      </w:r>
    </w:p>
    <w:p>
      <w:r>
        <w:rPr>
          <w:rFonts w:ascii="Arial" w:hAnsi="Arial"/>
          <w:i w:val="0"/>
          <w:color w:val="1A2433"/>
          <w:sz w:val="22"/>
        </w:rPr>
        <w:t>This configuration was assembled by the COEQWAL team from DWR's 2023 Delivery Capability Report model release in two steps: TUCP actions were activated on the DCR baseline, and agricultural land use was then updated to the 2020 LandIQ dataset. Unless otherwise noted, the operations and assumptions in this configuration form the basis of the other strategies in the library. The CalSim model files for this strategy are referenced by the run IDs in the references note at the end of this brief.</w:t>
      </w:r>
    </w:p>
    <w:p>
      <w:pPr>
        <w:pStyle w:val="Heading2"/>
      </w:pPr>
      <w:r>
        <w:rPr>
          <w:rFonts w:ascii="Arial" w:hAnsi="Arial"/>
          <w:b/>
          <w:color w:val="0B2545"/>
          <w:sz w:val="26"/>
        </w:rPr>
        <w:t>§5 Related strategies</w:t>
      </w:r>
    </w:p>
    <w:p>
      <w:r>
        <w:rPr>
          <w:rFonts w:ascii="Arial" w:hAnsi="Arial"/>
          <w:b/>
          <w:color w:val="0B2545"/>
          <w:sz w:val="18"/>
        </w:rPr>
        <w:t>Subheading</w:t>
      </w:r>
    </w:p>
    <w:p>
      <w:r>
        <w:rPr>
          <w:rFonts w:ascii="Arial" w:hAnsi="Arial"/>
          <w:i w:val="0"/>
          <w:color w:val="1A2433"/>
          <w:sz w:val="22"/>
        </w:rPr>
        <w:t>Related strategies — Baseline</w:t>
      </w:r>
    </w:p>
    <w:p>
      <w:r>
        <w:rPr>
          <w:rFonts w:ascii="Arial" w:hAnsi="Arial"/>
          <w:b/>
          <w:color w:val="0B2545"/>
          <w:sz w:val="18"/>
        </w:rPr>
        <w:t>List item</w:t>
      </w:r>
    </w:p>
    <w:p>
      <w:r>
        <w:rPr>
          <w:rFonts w:ascii="Arial" w:hAnsi="Arial"/>
          <w:i w:val="0"/>
          <w:color w:val="1A2433"/>
          <w:sz w:val="22"/>
        </w:rPr>
        <w:t>Current operations with historical land use. Current operational rules with agricultural demands set from the older 2004–2013 average land use.</w:t>
      </w:r>
    </w:p>
    <w:p>
      <w:r>
        <w:rPr>
          <w:rFonts w:ascii="Arial" w:hAnsi="Arial"/>
          <w:b/>
          <w:color w:val="0B2545"/>
          <w:sz w:val="18"/>
        </w:rPr>
        <w:t>List item</w:t>
      </w:r>
    </w:p>
    <w:p>
      <w:r>
        <w:rPr>
          <w:rFonts w:ascii="Arial" w:hAnsi="Arial"/>
          <w:i w:val="0"/>
          <w:color w:val="1A2433"/>
          <w:sz w:val="22"/>
        </w:rPr>
        <w:t>Current operations without TUCPs. Current operations with TUCP actions deactivated.</w:t>
      </w:r>
    </w:p>
    <w:p>
      <w:r>
        <w:rPr>
          <w:rFonts w:ascii="Arial" w:hAnsi="Arial"/>
          <w:b/>
          <w:color w:val="0B2545"/>
          <w:sz w:val="18"/>
        </w:rPr>
        <w:t>List item</w:t>
      </w:r>
    </w:p>
    <w:p>
      <w:r>
        <w:rPr>
          <w:rFonts w:ascii="Arial" w:hAnsi="Arial"/>
          <w:i w:val="0"/>
          <w:color w:val="1A2433"/>
          <w:sz w:val="22"/>
        </w:rPr>
        <w:t>Current USBR operations without TUCPs. Operating rules from USBR's 2024 Long-Term Operations plan (Alt2v1), with TUCP actions deactivated.</w:t>
      </w:r>
    </w:p>
    <w:p>
      <w:r>
        <w:rPr>
          <w:rFonts w:ascii="Arial" w:hAnsi="Arial"/>
          <w:b/>
          <w:color w:val="0B2545"/>
          <w:sz w:val="18"/>
        </w:rPr>
        <w:t>List item</w:t>
      </w:r>
    </w:p>
    <w:p>
      <w:r>
        <w:rPr>
          <w:rFonts w:ascii="Arial" w:hAnsi="Arial"/>
          <w:i w:val="0"/>
          <w:color w:val="1A2433"/>
          <w:sz w:val="22"/>
        </w:rPr>
        <w:t>Current USBR operations. Operating rules from USBR's 2024 Long-Term Operations plan (Alt2v1), with 2020 land use and TUCP actions active.</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This brief describes an idealized representation in CalSim, not a real-world policy proposal or implementation plan. The strategy as modeled may not capture all details necessary to support direct translation to actual operations. The brief does not predict, evaluate, or recommend any outcome — it describes what the scenario changes about CalSim's representation of the system. For what the model produces under this strategy, see the result briefs referenced in §7.</w:t>
      </w:r>
    </w:p>
    <w:p>
      <w:pPr>
        <w:pStyle w:val="Heading2"/>
      </w:pPr>
      <w:r>
        <w:rPr>
          <w:rFonts w:ascii="Arial" w:hAnsi="Arial"/>
          <w:b/>
          <w:color w:val="0B2545"/>
          <w:sz w:val="26"/>
        </w:rPr>
        <w:t>§7 See results for this strategy</w:t>
      </w:r>
    </w:p>
    <w:p>
      <w:r>
        <w:rPr>
          <w:rFonts w:ascii="Arial" w:hAnsi="Arial"/>
          <w:b/>
          <w:color w:val="0B2545"/>
          <w:sz w:val="18"/>
        </w:rPr>
        <w:t>¶1</w:t>
      </w:r>
    </w:p>
    <w:p>
      <w:r>
        <w:rPr>
          <w:rFonts w:ascii="Arial" w:hAnsi="Arial"/>
          <w:i w:val="0"/>
          <w:color w:val="1A2433"/>
          <w:sz w:val="22"/>
        </w:rPr>
        <w:t>To see modeled outcomes for the current-operations family across all nine sectors at the reference hydroclimate, see the BASELINES brief.</w:t>
      </w:r>
    </w:p>
    <w:p>
      <w:r>
        <w:rPr>
          <w:rFonts w:ascii="Arial" w:hAnsi="Arial"/>
          <w:b/>
          <w:color w:val="0B2545"/>
          <w:sz w:val="18"/>
        </w:rPr>
        <w:t>¶2</w:t>
      </w:r>
    </w:p>
    <w:p>
      <w:r>
        <w:rPr>
          <w:rFonts w:ascii="Arial" w:hAnsi="Arial"/>
          <w:i w:val="0"/>
          <w:color w:val="1A2433"/>
          <w:sz w:val="22"/>
        </w:rPr>
        <w:t>To see outcomes at a specific place, see the relevant LOI briefs — particularly those for the locations closest to your question — the LOI set spans rivers, reservoirs, groundwater basins, and community water systems.</w:t>
      </w:r>
    </w:p>
    <w:p>
      <w:r>
        <w:rPr>
          <w:rFonts w:ascii="Arial" w:hAnsi="Arial"/>
          <w:b/>
          <w:color w:val="0B2545"/>
          <w:sz w:val="18"/>
        </w:rPr>
        <w:t>Explorer link</w:t>
      </w:r>
    </w:p>
    <w:p>
      <w:r>
        <w:rPr>
          <w:rFonts w:ascii="Arial" w:hAnsi="Arial"/>
          <w:i w:val="0"/>
          <w:color w:val="1A2433"/>
          <w:sz w:val="22"/>
        </w:rPr>
        <w:t>Compare this strategy in the data explorer →</w:t>
      </w:r>
    </w:p>
    <w:p>
      <w:pPr>
        <w:pStyle w:val="Heading2"/>
      </w:pPr>
      <w:r>
        <w:rPr>
          <w:rFonts w:ascii="Arial" w:hAnsi="Arial"/>
          <w:b/>
          <w:color w:val="0B2545"/>
          <w:sz w:val="26"/>
        </w:rPr>
        <w:t>References — model runs</w:t>
      </w:r>
    </w:p>
    <w:p>
      <w:r>
        <w:rPr>
          <w:rFonts w:ascii="Arial" w:hAnsi="Arial"/>
          <w:b/>
          <w:color w:val="0B2545"/>
          <w:sz w:val="18"/>
        </w:rPr>
        <w:t>¶1</w:t>
      </w:r>
    </w:p>
    <w:p>
      <w:r>
        <w:rPr>
          <w:rFonts w:ascii="Arial" w:hAnsi="Arial"/>
          <w:i w:val="0"/>
          <w:color w:val="1A2433"/>
          <w:sz w:val="22"/>
        </w:rPr>
        <w:t>Each strategy is simulated once under each of five hydroclimates. The table lists the model run behind this strategy and the current-operations run it is compared against, for each hydroclimate, so any reader can trace this page to specific CalSim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