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Current USBR operations without TUCPs — COEQWAL Findings — Copy Deck for Language Review</w:t>
      </w:r>
    </w:p>
    <w:p>
      <w:r>
        <w:rPr>
          <w:rFonts w:ascii="Arial" w:hAnsi="Arial"/>
          <w:i/>
          <w:color w:val="667085"/>
          <w:sz w:val="19"/>
        </w:rPr>
        <w:t>Source: strategy_brief_current-usbr-operations-without-tucps_v0_1.html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Baseline</w:t>
      </w:r>
    </w:p>
    <w:p>
      <w:r>
        <w:rPr>
          <w:rFonts w:ascii="Arial" w:hAnsi="Arial"/>
          <w:b/>
          <w:color w:val="0B2545"/>
          <w:sz w:val="18"/>
        </w:rPr>
        <w:t>Headline (H1)</w:t>
      </w:r>
    </w:p>
    <w:p>
      <w:r>
        <w:rPr>
          <w:rFonts w:ascii="Arial" w:hAnsi="Arial"/>
          <w:i w:val="0"/>
          <w:color w:val="1A2433"/>
          <w:sz w:val="22"/>
        </w:rPr>
        <w:t>Current USBR operations without TUCPs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represents USBR's 2024 long-term operations plan (Alternative 2 version 1) with TUCP actions deactivated, run with the same hydrology and 2020 land use as current operations. Two fields differ from current operations: the biological-opinion rules and the TUCP setting.</w:t>
      </w:r>
    </w:p>
    <w:p>
      <w:r>
        <w:rPr>
          <w:rFonts w:ascii="Arial" w:hAnsi="Arial"/>
          <w:b/>
          <w:color w:val="0B2545"/>
          <w:sz w:val="18"/>
        </w:rPr>
        <w:t>Identity sentence</w:t>
      </w:r>
    </w:p>
    <w:p>
      <w:r>
        <w:rPr>
          <w:rFonts w:ascii="Arial" w:hAnsi="Arial"/>
          <w:i w:val="0"/>
          <w:color w:val="1A2433"/>
          <w:sz w:val="22"/>
        </w:rPr>
        <w:t>This brief describes current USBR operations without TUCPs,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current USBR operations without TUCPs, one of 24 management strategies in the COEQWAL scenario library: USBR's 2024 long-term operations plan (Alt2v1) with TUCP actions deactivated.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replaces the operating rules of current operations with those of USBR's 2024 final Long-Term Operations (LTO) scenario Alt2 version 1 — a variation on USBR's proposed-action alternatives from the consultation with fisheries agencies that concluded in December 2024. TUCP actions are not active in this configuration, as in the source study.</w:t>
      </w:r>
    </w:p>
    <w:p>
      <w:r>
        <w:rPr>
          <w:rFonts w:ascii="Arial" w:hAnsi="Arial"/>
          <w:b/>
          <w:color w:val="0B2545"/>
          <w:sz w:val="18"/>
        </w:rPr>
        <w:t>¶2</w:t>
      </w:r>
    </w:p>
    <w:p>
      <w:r>
        <w:rPr>
          <w:rFonts w:ascii="Arial" w:hAnsi="Arial"/>
          <w:i w:val="0"/>
          <w:color w:val="1A2433"/>
          <w:sz w:val="22"/>
        </w:rPr>
        <w:t>Actions in this configuration that differ from the DWR-based current operations include, but are not limited to, modified Shasta storage rules and CVP allocation rules oriented toward winter-run Chinook salmon. The companion strategy Current USBR operations runs the same package with TUCP actions activated; the pair isolates the TUCP switch within the USBR ruleset.</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The model code and input structure were taken from USBR's 2024 final Long-Term Operations scenario Alt2v1. The COEQWAL team replaced the original USBR hydrology (which reflected a climate centered on 2022) with DWR's adjusted historical dataset and updated the crop maps used to estimate irrigation demands to the 2020 LandIQ dataset. TUCP actions remain deactivated, as in the source study.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Baseline</w:t>
      </w:r>
    </w:p>
    <w:p>
      <w:r>
        <w:rPr>
          <w:rFonts w:ascii="Arial" w:hAnsi="Arial"/>
          <w:b/>
          <w:color w:val="0B2545"/>
          <w:sz w:val="18"/>
        </w:rPr>
        <w:t>List item</w:t>
      </w:r>
    </w:p>
    <w:p>
      <w:r>
        <w:rPr>
          <w:rFonts w:ascii="Arial" w:hAnsi="Arial"/>
          <w:i w:val="0"/>
          <w:color w:val="1A2433"/>
          <w:sz w:val="22"/>
        </w:rPr>
        <w:t>Current operations with historical land use. Current operational rules with agricultural demands set from the older 2004–2013 average land use.</w:t>
      </w:r>
    </w:p>
    <w:p>
      <w:r>
        <w:rPr>
          <w:rFonts w:ascii="Arial" w:hAnsi="Arial"/>
          <w:b/>
          <w:color w:val="0B2545"/>
          <w:sz w:val="18"/>
        </w:rPr>
        <w:t>List item</w:t>
      </w:r>
    </w:p>
    <w:p>
      <w:r>
        <w:rPr>
          <w:rFonts w:ascii="Arial" w:hAnsi="Arial"/>
          <w:i w:val="0"/>
          <w:color w:val="1A2433"/>
          <w:sz w:val="22"/>
        </w:rPr>
        <w:t>Current operations. Existing operational rules with recent (2020) land use and TUCP actions — the current-operations anchor the other strategies are compared against.</w:t>
      </w:r>
    </w:p>
    <w:p>
      <w:r>
        <w:rPr>
          <w:rFonts w:ascii="Arial" w:hAnsi="Arial"/>
          <w:b/>
          <w:color w:val="0B2545"/>
          <w:sz w:val="18"/>
        </w:rPr>
        <w:t>List item</w:t>
      </w:r>
    </w:p>
    <w:p>
      <w:r>
        <w:rPr>
          <w:rFonts w:ascii="Arial" w:hAnsi="Arial"/>
          <w:i w:val="0"/>
          <w:color w:val="1A2433"/>
          <w:sz w:val="22"/>
        </w:rPr>
        <w:t>Current operations without TUCPs. Current operations with TUCP actions deactivated.</w:t>
      </w:r>
    </w:p>
    <w:p>
      <w:r>
        <w:rPr>
          <w:rFonts w:ascii="Arial" w:hAnsi="Arial"/>
          <w:b/>
          <w:color w:val="0B2545"/>
          <w:sz w:val="18"/>
        </w:rPr>
        <w:t>List item</w:t>
      </w:r>
    </w:p>
    <w:p>
      <w:r>
        <w:rPr>
          <w:rFonts w:ascii="Arial" w:hAnsi="Arial"/>
          <w:i w:val="0"/>
          <w:color w:val="1A2433"/>
          <w:sz w:val="22"/>
        </w:rPr>
        <w:t>Current USBR operations. Operating rules from USBR's 2024 Long-Term Operations plan (Alt2v1), with 2020 land use and TUCP actions active.</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for the current-operations family across all nine sectors at the reference hydroclimate, see the BASELINES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Shasta reservoir, Sacramento River locations, and the export service areas.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