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Current USBR operations — COEQWAL Findings — Copy Deck for Language Review</w:t>
      </w:r>
    </w:p>
    <w:p>
      <w:r>
        <w:rPr>
          <w:rFonts w:ascii="Arial" w:hAnsi="Arial"/>
          <w:i/>
          <w:color w:val="667085"/>
          <w:sz w:val="19"/>
        </w:rPr>
        <w:t>Source: strategy_brief_current-usbr-operations_v0_1.html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Baseline</w:t>
      </w:r>
    </w:p>
    <w:p>
      <w:r>
        <w:rPr>
          <w:rFonts w:ascii="Arial" w:hAnsi="Arial"/>
          <w:b/>
          <w:color w:val="0B2545"/>
          <w:sz w:val="18"/>
        </w:rPr>
        <w:t>Headline (H1)</w:t>
      </w:r>
    </w:p>
    <w:p>
      <w:r>
        <w:rPr>
          <w:rFonts w:ascii="Arial" w:hAnsi="Arial"/>
          <w:i w:val="0"/>
          <w:color w:val="1A2433"/>
          <w:sz w:val="22"/>
        </w:rPr>
        <w:t>Current USBR operations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represents USBR's 2024 long-term operations plan (Alternative 2 version 1) rather than the DWR operating rules used in current operations, run with the same hydrology, the same 2020 land use, and TUCP actions active. In the configuration table the operational difference is carried in the biological-opinions field: the 2024 USBR consultation package in place of the 2019 Biological Opinions and 2020 ITP.</w:t>
      </w:r>
    </w:p>
    <w:p>
      <w:r>
        <w:rPr>
          <w:rFonts w:ascii="Arial" w:hAnsi="Arial"/>
          <w:b/>
          <w:color w:val="0B2545"/>
          <w:sz w:val="18"/>
        </w:rPr>
        <w:t>Identity sentence</w:t>
      </w:r>
    </w:p>
    <w:p>
      <w:r>
        <w:rPr>
          <w:rFonts w:ascii="Arial" w:hAnsi="Arial"/>
          <w:i w:val="0"/>
          <w:color w:val="1A2433"/>
          <w:sz w:val="22"/>
        </w:rPr>
        <w:t>This brief describes current USBR operations,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current USBR operations, one of 24 management strategies in the COEQWAL scenario library: USBR's 2024 long-term operations plan (Alt2v1) with 2020 land use and TUCP actions active.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replaces the operating rules of current operations with those of USBR's 2024 final Long-Term Operations (LTO) scenario Alt2 version 1 — a variation on USBR's proposed-action alternatives from the consultation with fisheries agencies that concluded in December 2024.</w:t>
      </w:r>
    </w:p>
    <w:p>
      <w:r>
        <w:rPr>
          <w:rFonts w:ascii="Arial" w:hAnsi="Arial"/>
          <w:b/>
          <w:color w:val="0B2545"/>
          <w:sz w:val="18"/>
        </w:rPr>
        <w:t>¶2</w:t>
      </w:r>
    </w:p>
    <w:p>
      <w:r>
        <w:rPr>
          <w:rFonts w:ascii="Arial" w:hAnsi="Arial"/>
          <w:i w:val="0"/>
          <w:color w:val="1A2433"/>
          <w:sz w:val="22"/>
        </w:rPr>
        <w:t>Actions in this configuration that differ from the DWR-based current operations include, but are not limited to, modified Shasta storage rules and CVP allocation rules oriented toward winter-run Chinook salmon, and a different internal hydrologic forecast mechanism. TUCP actions are active in this configuration, which makes it comparable to current operations on that axis.</w:t>
      </w:r>
    </w:p>
    <w:p>
      <w:r>
        <w:rPr>
          <w:rFonts w:ascii="Arial" w:hAnsi="Arial"/>
          <w:b/>
          <w:color w:val="0B2545"/>
          <w:sz w:val="18"/>
        </w:rPr>
        <w:t>¶3</w:t>
      </w:r>
    </w:p>
    <w:p>
      <w:r>
        <w:rPr>
          <w:rFonts w:ascii="Arial" w:hAnsi="Arial"/>
          <w:i w:val="0"/>
          <w:color w:val="1A2433"/>
          <w:sz w:val="22"/>
        </w:rPr>
        <w:t>In the eight-field table in §3 these operational differences are carried in a single field — the biological opinions (BiOps) — because the USBR package enters the model as a distinct consultation ruleset. The other fields hold at their current-operations values.</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The base model code was taken from USBR's 2024 final Long-Term Operations scenario Alt2v1. The COEQWAL team replaced USBR's original hydrology (which reflected a climate centered on 2022) with DWR's adjusted historical dataset, updated agricultural demands to the 2020 LandIQ land use, and activated TUCP actions.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Baseline</w:t>
      </w:r>
    </w:p>
    <w:p>
      <w:r>
        <w:rPr>
          <w:rFonts w:ascii="Arial" w:hAnsi="Arial"/>
          <w:b/>
          <w:color w:val="0B2545"/>
          <w:sz w:val="18"/>
        </w:rPr>
        <w:t>List item</w:t>
      </w:r>
    </w:p>
    <w:p>
      <w:r>
        <w:rPr>
          <w:rFonts w:ascii="Arial" w:hAnsi="Arial"/>
          <w:i w:val="0"/>
          <w:color w:val="1A2433"/>
          <w:sz w:val="22"/>
        </w:rPr>
        <w:t>Current operations with historical land use. Current operational rules with agricultural demands set from the older 2004–2013 average land use.</w:t>
      </w:r>
    </w:p>
    <w:p>
      <w:r>
        <w:rPr>
          <w:rFonts w:ascii="Arial" w:hAnsi="Arial"/>
          <w:b/>
          <w:color w:val="0B2545"/>
          <w:sz w:val="18"/>
        </w:rPr>
        <w:t>List item</w:t>
      </w:r>
    </w:p>
    <w:p>
      <w:r>
        <w:rPr>
          <w:rFonts w:ascii="Arial" w:hAnsi="Arial"/>
          <w:i w:val="0"/>
          <w:color w:val="1A2433"/>
          <w:sz w:val="22"/>
        </w:rPr>
        <w:t>Current operations. Existing operational rules with recent (2020) land use and TUCP actions — the current-operations anchor the other strategies are compared against.</w:t>
      </w:r>
    </w:p>
    <w:p>
      <w:r>
        <w:rPr>
          <w:rFonts w:ascii="Arial" w:hAnsi="Arial"/>
          <w:b/>
          <w:color w:val="0B2545"/>
          <w:sz w:val="18"/>
        </w:rPr>
        <w:t>List item</w:t>
      </w:r>
    </w:p>
    <w:p>
      <w:r>
        <w:rPr>
          <w:rFonts w:ascii="Arial" w:hAnsi="Arial"/>
          <w:i w:val="0"/>
          <w:color w:val="1A2433"/>
          <w:sz w:val="22"/>
        </w:rPr>
        <w:t>Current operations without TUCPs. Current operations with TUCP actions deactivated.</w:t>
      </w:r>
    </w:p>
    <w:p>
      <w:r>
        <w:rPr>
          <w:rFonts w:ascii="Arial" w:hAnsi="Arial"/>
          <w:b/>
          <w:color w:val="0B2545"/>
          <w:sz w:val="18"/>
        </w:rPr>
        <w:t>List item</w:t>
      </w:r>
    </w:p>
    <w:p>
      <w:r>
        <w:rPr>
          <w:rFonts w:ascii="Arial" w:hAnsi="Arial"/>
          <w:i w:val="0"/>
          <w:color w:val="1A2433"/>
          <w:sz w:val="22"/>
        </w:rPr>
        <w:t>Current USBR operations without TUCPs. Operating rules from USBR's 2024 Long-Term Operations plan (Alt2v1), with TUCP actions deactivated.</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for the current-operations family across all nine sectors at the reference hydroclimate, see the BASELINES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Shasta reservoir, Sacramento River locations, and the export service areas.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