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Delta Conveyance Project — COEQWAL Findings — Copy Deck for Language Review</w:t>
      </w:r>
    </w:p>
    <w:p>
      <w:r>
        <w:rPr>
          <w:rFonts w:ascii="Arial" w:hAnsi="Arial"/>
          <w:i/>
          <w:color w:val="667085"/>
          <w:sz w:val="19"/>
        </w:rPr>
        <w:t>Source: strategy_brief_delta-conveyance-project_v0_1.html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w:t>
      </w:r>
    </w:p>
    <w:p>
      <w:r>
        <w:rPr>
          <w:rFonts w:ascii="Arial" w:hAnsi="Arial"/>
          <w:b/>
          <w:color w:val="0B2545"/>
          <w:sz w:val="18"/>
        </w:rPr>
        <w:t>Headline (H1)</w:t>
      </w:r>
    </w:p>
    <w:p>
      <w:r>
        <w:rPr>
          <w:rFonts w:ascii="Arial" w:hAnsi="Arial"/>
          <w:i w:val="0"/>
          <w:color w:val="1A2433"/>
          <w:sz w:val="22"/>
        </w:rPr>
        <w:t>Delta Conveyance Project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represents the Delta Conveyance Project — a tunnel conveying water around the Delta with a 6,000 cfs North Delta Diversion capacity — using DWR's 2025 climate-adaptation model version as its base, adapted to the hydrology and land-use conditions shared across the COEQWAL library. It also carries the 2025 voluntary-agreement (“Healthy Rivers and Landscapes”) actions: additional flows and some rice-acreage fallowing in the Sacramento Valley.</w:t>
      </w:r>
    </w:p>
    <w:p>
      <w:r>
        <w:rPr>
          <w:rFonts w:ascii="Arial" w:hAnsi="Arial"/>
          <w:b/>
          <w:color w:val="0B2545"/>
          <w:sz w:val="18"/>
        </w:rPr>
        <w:t>Identity sentence</w:t>
      </w:r>
    </w:p>
    <w:p>
      <w:r>
        <w:rPr>
          <w:rFonts w:ascii="Arial" w:hAnsi="Arial"/>
          <w:i w:val="0"/>
          <w:color w:val="1A2433"/>
          <w:sz w:val="22"/>
        </w:rPr>
        <w:t>This brief describes Delta Conveyance Project,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Delta Conveyance Project, one of 24 management strategies in the COEQWAL scenario library: the Delta Conveyance tunnel (6,000 cfs North Delta Diversion) with 2025 voluntary-agreement actions.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uses DWR's 2025 climate-adaptation scenario (model version CCA6) as its base. The sea-level-rise, land-use, and hydrology assumptions were adapted to match the conditions used across the COEQWAL library: DWR's adjusted historical hydrology, no sea-level rise, and the 2020 LandIQ land use.</w:t>
      </w:r>
    </w:p>
    <w:p>
      <w:r>
        <w:rPr>
          <w:rFonts w:ascii="Arial" w:hAnsi="Arial"/>
          <w:b/>
          <w:color w:val="0B2545"/>
          <w:sz w:val="18"/>
        </w:rPr>
        <w:t>¶2</w:t>
      </w:r>
    </w:p>
    <w:p>
      <w:r>
        <w:rPr>
          <w:rFonts w:ascii="Arial" w:hAnsi="Arial"/>
          <w:i w:val="0"/>
          <w:color w:val="1A2433"/>
          <w:sz w:val="22"/>
        </w:rPr>
        <w:t>The infrastructure change is the Delta Conveyance tunnel, with a North Delta Diversion capacity of 6,000 cfs, conveying water around the Delta.</w:t>
      </w:r>
    </w:p>
    <w:p>
      <w:r>
        <w:rPr>
          <w:rFonts w:ascii="Arial" w:hAnsi="Arial"/>
          <w:b/>
          <w:color w:val="0B2545"/>
          <w:sz w:val="18"/>
        </w:rPr>
        <w:t>¶3</w:t>
      </w:r>
    </w:p>
    <w:p>
      <w:r>
        <w:rPr>
          <w:rFonts w:ascii="Arial" w:hAnsi="Arial"/>
          <w:i w:val="0"/>
          <w:color w:val="1A2433"/>
          <w:sz w:val="22"/>
        </w:rPr>
        <w:t>Unlike earlier Delta Conveyance model versions, this configuration includes Voluntary Agreement — “Healthy Rivers and Landscapes” — actions, which previous DCP scenarios did not. These include additional flows and some rice-acreage fallowing in the Sacramento Valley, reflected in the land-use and flows fields of the configuration table.</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is built from DWR's publicly released 2025 climate-adaptation scenario CCA6, adapted by the COEQWAL team for comparability with the rest of the library (historical adjusted hydrology, no sea-level rise, 2020 LandIQ land use).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the export service areas.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