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Increase Delta outflows (55% of unimpaired flow) — COEQWAL Findings — Copy Deck for Language Review</w:t>
      </w:r>
    </w:p>
    <w:p>
      <w:r>
        <w:rPr>
          <w:rFonts w:ascii="Arial" w:hAnsi="Arial"/>
          <w:i/>
          <w:color w:val="667085"/>
          <w:sz w:val="19"/>
        </w:rPr>
        <w:t>Source: strategy_brief_increase-delta-outflows-55-of-unimpaired-flow_v0_1.html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The Delta as a living place · Environment</w:t>
      </w:r>
    </w:p>
    <w:p>
      <w:r>
        <w:rPr>
          <w:rFonts w:ascii="Arial" w:hAnsi="Arial"/>
          <w:b/>
          <w:color w:val="0B2545"/>
          <w:sz w:val="18"/>
        </w:rPr>
        <w:t>Headline (H1)</w:t>
      </w:r>
    </w:p>
    <w:p>
      <w:r>
        <w:rPr>
          <w:rFonts w:ascii="Arial" w:hAnsi="Arial"/>
          <w:i w:val="0"/>
          <w:color w:val="1A2433"/>
          <w:sz w:val="22"/>
        </w:rPr>
        <w:t>Increase Delta outflows (55% of unimpaired flow)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adapts USBR's “Alternative 3” configuration — increased Delta outflow requirements supported by upstream actions — with the December–May outflow requirement set to roughly 55% of unimpaired flow.</w:t>
      </w:r>
    </w:p>
    <w:p>
      <w:r>
        <w:rPr>
          <w:rFonts w:ascii="Arial" w:hAnsi="Arial"/>
          <w:b/>
          <w:color w:val="0B2545"/>
          <w:sz w:val="18"/>
        </w:rPr>
        <w:t>Identity sentence</w:t>
      </w:r>
    </w:p>
    <w:p>
      <w:r>
        <w:rPr>
          <w:rFonts w:ascii="Arial" w:hAnsi="Arial"/>
          <w:i w:val="0"/>
          <w:color w:val="1A2433"/>
          <w:sz w:val="22"/>
        </w:rPr>
        <w:t>This brief describes increase Delta outflows (55% of unimpaired flow),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increase Delta outflows (55% of unimpaired flow), one of 24 management strategies in the COEQWAL scenario library: USBR's Alternative 3 configuration with the Delta outflow requirement at roughly 55% of unimpaired flow.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USBR undertook an exploratory modeling exercise while developing scenarios for what became the 2024 Long-Term Operations consultation. One set of scenarios, informed by discussions with environmental and non-governmental organizations, included increased Delta outflows and upstream actions to conserve water for environmental and ecological purposes. USBR formalized these actions as its “Alt3” (modified natural hydrograph) scenario; a detailed description appears in Chapter 3 of the Final Environmental Impact Statement for the consultation, published in November 2024.</w:t>
      </w:r>
    </w:p>
    <w:p>
      <w:r>
        <w:rPr>
          <w:rFonts w:ascii="Arial" w:hAnsi="Arial"/>
          <w:b/>
          <w:color w:val="0B2545"/>
          <w:sz w:val="18"/>
        </w:rPr>
        <w:t>¶2</w:t>
      </w:r>
    </w:p>
    <w:p>
      <w:r>
        <w:rPr>
          <w:rFonts w:ascii="Arial" w:hAnsi="Arial"/>
          <w:i w:val="0"/>
          <w:color w:val="1A2433"/>
          <w:sz w:val="22"/>
        </w:rPr>
        <w:t>This member of the set applies the Delta outflow requirement at roughly 55% of unimpaired flow, scaled down from the 65% level used in the original USBR studies. The NGO flow schedule that substitutes for the percentage requirement under a range of common conditions is scaled back proportionally.</w:t>
      </w:r>
    </w:p>
    <w:p>
      <w:r>
        <w:rPr>
          <w:rFonts w:ascii="Arial" w:hAnsi="Arial"/>
          <w:b/>
          <w:color w:val="0B2545"/>
          <w:sz w:val="18"/>
        </w:rPr>
        <w:t>¶3</w:t>
      </w:r>
    </w:p>
    <w:p>
      <w:r>
        <w:rPr>
          <w:rFonts w:ascii="Arial" w:hAnsi="Arial"/>
          <w:i w:val="0"/>
          <w:color w:val="1A2433"/>
          <w:sz w:val="22"/>
        </w:rPr>
        <w:t>The unimpaired-flow requirement applies only December through May and carries numerous overriding and off-ramping contingencies — simulated Delta outflow should not be expected to strictly match a 55%-of-unimpaired condition. Where unregulated flows are available (runoff on the valley floor during storms, for example), outflows can exceed the requirement level.</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configuration was adapted from USBR's Alt3 scenario, made available after the Long-Term Operations consultation concluded in December 2024. The COEQWAL team replaced the hydrology with DWR's adjusted historical dataset, updated agricultural demands to the 2020 LandIQ land-use dataset, and set the outflow requirement to this strategy's level.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The Delta as a living place</w:t>
      </w:r>
    </w:p>
    <w:p>
      <w:r>
        <w:rPr>
          <w:rFonts w:ascii="Arial" w:hAnsi="Arial"/>
          <w:b/>
          <w:color w:val="0B2545"/>
          <w:sz w:val="18"/>
        </w:rPr>
        <w:t>List item</w:t>
      </w:r>
    </w:p>
    <w:p>
      <w:r>
        <w:rPr>
          <w:rFonts w:ascii="Arial" w:hAnsi="Arial"/>
          <w:i w:val="0"/>
          <w:color w:val="1A2433"/>
          <w:sz w:val="22"/>
        </w:rPr>
        <w:t>Increase Delta outflows (65% of unimpaired flow). USBR Alternative 3 for the Long-Term Operation of the Central Valley Project, with Delta outflow requirements set to roughly 65% of unimpaired volume.</w:t>
      </w:r>
    </w:p>
    <w:p>
      <w:r>
        <w:rPr>
          <w:rFonts w:ascii="Arial" w:hAnsi="Arial"/>
          <w:b/>
          <w:color w:val="0B2545"/>
          <w:sz w:val="18"/>
        </w:rPr>
        <w:t>List item</w:t>
      </w:r>
    </w:p>
    <w:p>
      <w:r>
        <w:rPr>
          <w:rFonts w:ascii="Arial" w:hAnsi="Arial"/>
          <w:i w:val="0"/>
          <w:color w:val="1A2433"/>
          <w:sz w:val="22"/>
        </w:rPr>
        <w:t>Reduce Delta outflows (35% of unimpaired flow). USBR Alternative 3 for the Long-Term Operation of the Central Valley Project, with Delta outflow requirements set to roughly 35% of unimpaired volume.</w:t>
      </w:r>
    </w:p>
    <w:p>
      <w:r>
        <w:rPr>
          <w:rFonts w:ascii="Arial" w:hAnsi="Arial"/>
          <w:b/>
          <w:color w:val="0B2545"/>
          <w:sz w:val="18"/>
        </w:rPr>
        <w:t>List item</w:t>
      </w:r>
    </w:p>
    <w:p>
      <w:r>
        <w:rPr>
          <w:rFonts w:ascii="Arial" w:hAnsi="Arial"/>
          <w:i w:val="0"/>
          <w:color w:val="1A2433"/>
          <w:sz w:val="22"/>
        </w:rPr>
        <w:t>Maintain Delta outflows (45% of unimpaired flow). USBR Alternative 3 for the Long-Term Operation of the Central Valley Project, with Delta outflow requirements set to roughly 45% of unimpaired volume.</w:t>
      </w:r>
    </w:p>
    <w:p>
      <w:r>
        <w:rPr>
          <w:rFonts w:ascii="Arial" w:hAnsi="Arial"/>
          <w:b/>
          <w:color w:val="0B2545"/>
          <w:sz w:val="18"/>
        </w:rPr>
        <w:t>List item</w:t>
      </w:r>
    </w:p>
    <w:p>
      <w:r>
        <w:rPr>
          <w:rFonts w:ascii="Arial" w:hAnsi="Arial"/>
          <w:i w:val="0"/>
          <w:color w:val="1A2433"/>
          <w:sz w:val="22"/>
        </w:rPr>
        <w:t>Increase Shasta carry-over storage. Spring CVP allocation reductions that raise the target carry-over storage in Shasta reservoir by 20% relative to current operations.</w:t>
      </w:r>
    </w:p>
    <w:p>
      <w:r>
        <w:rPr>
          <w:rFonts w:ascii="Arial" w:hAnsi="Arial"/>
          <w:b/>
          <w:color w:val="0B2545"/>
          <w:sz w:val="18"/>
        </w:rPr>
        <w:t>List item</w:t>
      </w:r>
    </w:p>
    <w:p>
      <w:r>
        <w:rPr>
          <w:rFonts w:ascii="Arial" w:hAnsi="Arial"/>
          <w:i w:val="0"/>
          <w:color w:val="1A2433"/>
          <w:sz w:val="22"/>
        </w:rPr>
        <w:t>Relax Delta salinity standards. Current operations with the fall X2 salinity requirement removed; other Delta flow and salinity requirements remain in place.</w:t>
      </w:r>
    </w:p>
    <w:p>
      <w:r>
        <w:rPr>
          <w:rFonts w:ascii="Arial" w:hAnsi="Arial"/>
          <w:b/>
          <w:color w:val="0B2545"/>
          <w:sz w:val="18"/>
        </w:rPr>
        <w:t>List item</w:t>
      </w:r>
    </w:p>
    <w:p>
      <w:r>
        <w:rPr>
          <w:rFonts w:ascii="Arial" w:hAnsi="Arial"/>
          <w:i w:val="0"/>
          <w:color w:val="1A2433"/>
          <w:sz w:val="22"/>
        </w:rPr>
        <w:t>Delta Conveyance Project. The Delta Conveyance tunnel (6,000 cfs North Delta Diversion capacity) with 2025 voluntary-agreement flows and Sacramento Valley rice-fallowing actions.</w:t>
      </w:r>
    </w:p>
    <w:p>
      <w:r>
        <w:rPr>
          <w:rFonts w:ascii="Arial" w:hAnsi="Arial"/>
          <w:b/>
          <w:color w:val="0B2545"/>
          <w:sz w:val="18"/>
        </w:rPr>
        <w:t>Subheading</w:t>
      </w:r>
    </w:p>
    <w:p>
      <w:r>
        <w:rPr>
          <w:rFonts w:ascii="Arial" w:hAnsi="Arial"/>
          <w:i w:val="0"/>
          <w:color w:val="1A2433"/>
          <w:sz w:val="22"/>
        </w:rPr>
        <w:t>Related strategies — Environment</w:t>
      </w:r>
    </w:p>
    <w:p>
      <w:r>
        <w:rPr>
          <w:rFonts w:ascii="Arial" w:hAnsi="Arial"/>
          <w:b/>
          <w:color w:val="0B2545"/>
          <w:sz w:val="18"/>
        </w:rPr>
        <w:t>List item</w:t>
      </w:r>
    </w:p>
    <w:p>
      <w:r>
        <w:rPr>
          <w:rFonts w:ascii="Arial" w:hAnsi="Arial"/>
          <w:i w:val="0"/>
          <w:color w:val="1A2433"/>
          <w:sz w:val="22"/>
        </w:rPr>
        <w:t>No minimum flow requirements. Current operations without minimum flow requirements on Central Valley rivers.</w:t>
      </w:r>
    </w:p>
    <w:p>
      <w:r>
        <w:rPr>
          <w:rFonts w:ascii="Arial" w:hAnsi="Arial"/>
          <w:b/>
          <w:color w:val="0B2545"/>
          <w:sz w:val="18"/>
        </w:rPr>
        <w:t>List item</w:t>
      </w:r>
    </w:p>
    <w:p>
      <w:r>
        <w:rPr>
          <w:rFonts w:ascii="Arial" w:hAnsi="Arial"/>
          <w:i w:val="0"/>
          <w:color w:val="1A2433"/>
          <w:sz w:val="22"/>
        </w:rPr>
        <w:t>Salmon-friendly flows. Sacramento River flow requirements and Shasta cold-water storage protection to support Sacramento River winter-run Chinook salmon life-cycle needs.</w:t>
      </w:r>
    </w:p>
    <w:p>
      <w:r>
        <w:rPr>
          <w:rFonts w:ascii="Arial" w:hAnsi="Arial"/>
          <w:b/>
          <w:color w:val="0B2545"/>
          <w:sz w:val="18"/>
        </w:rPr>
        <w:t>List item</w:t>
      </w:r>
    </w:p>
    <w:p>
      <w:r>
        <w:rPr>
          <w:rFonts w:ascii="Arial" w:hAnsi="Arial"/>
          <w:i w:val="0"/>
          <w:color w:val="1A2433"/>
          <w:sz w:val="22"/>
        </w:rPr>
        <w:t>Functional environmental flows with groundwater regulations. Functional flow requirements combined with reduced irrigated acreage across the Central Valley, reflecting groundwater management under SGMA.</w:t>
      </w:r>
    </w:p>
    <w:p>
      <w:r>
        <w:rPr>
          <w:rFonts w:ascii="Arial" w:hAnsi="Arial"/>
          <w:b/>
          <w:color w:val="0B2545"/>
          <w:sz w:val="18"/>
        </w:rPr>
        <w:t>List item</w:t>
      </w:r>
    </w:p>
    <w:p>
      <w:r>
        <w:rPr>
          <w:rFonts w:ascii="Arial" w:hAnsi="Arial"/>
          <w:i w:val="0"/>
          <w:color w:val="1A2433"/>
          <w:sz w:val="22"/>
        </w:rPr>
        <w:t>Salmon-friendly flows with groundwater regulations. The salmon-friendly flows combined with reduced irrigated acreage across the Central Valley, reflecting groundwater management under SGMA.</w:t>
      </w:r>
    </w:p>
    <w:p>
      <w:r>
        <w:rPr>
          <w:rFonts w:ascii="Arial" w:hAnsi="Arial"/>
          <w:b/>
          <w:color w:val="0B2545"/>
          <w:sz w:val="18"/>
        </w:rPr>
        <w:t>List item</w:t>
      </w:r>
    </w:p>
    <w:p>
      <w:r>
        <w:rPr>
          <w:rFonts w:ascii="Arial" w:hAnsi="Arial"/>
          <w:i w:val="0"/>
          <w:color w:val="1A2433"/>
          <w:sz w:val="22"/>
        </w:rPr>
        <w:t>Increase Delta outflows (65% of unimpaired flow). USBR Alternative 3 for the Long-Term Operation of the Central Valley Project, with Delta outflow requirements set to roughly 65% of unimpaired volume.</w:t>
      </w:r>
    </w:p>
    <w:p>
      <w:r>
        <w:rPr>
          <w:rFonts w:ascii="Arial" w:hAnsi="Arial"/>
          <w:b/>
          <w:color w:val="0B2545"/>
          <w:sz w:val="18"/>
        </w:rPr>
        <w:t>List item</w:t>
      </w:r>
    </w:p>
    <w:p>
      <w:r>
        <w:rPr>
          <w:rFonts w:ascii="Arial" w:hAnsi="Arial"/>
          <w:i w:val="0"/>
          <w:color w:val="1A2433"/>
          <w:sz w:val="22"/>
        </w:rPr>
        <w:t>Functional environmental flows. Functional minimum flow requirements on tributaries to the Sacramento and San Joaquin rivers, derived from natural-flow estimates.</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The Delta as a living place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Delta locations and the tributaries that contribute to Delta outflow.</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