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Increase Delta outflows (65% of unimpaired flow) — COEQWAL Findings — Copy Deck for Language Review</w:t>
      </w:r>
    </w:p>
    <w:p>
      <w:r>
        <w:rPr>
          <w:rFonts w:ascii="Arial" w:hAnsi="Arial"/>
          <w:i/>
          <w:color w:val="667085"/>
          <w:sz w:val="19"/>
        </w:rPr>
        <w:t>Source: strategy_brief_increase-delta-outflows-65-of-unimpaired-flow_v0_1.html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The Delta as a living place · Environment</w:t>
      </w:r>
    </w:p>
    <w:p>
      <w:r>
        <w:rPr>
          <w:rFonts w:ascii="Arial" w:hAnsi="Arial"/>
          <w:b/>
          <w:color w:val="0B2545"/>
          <w:sz w:val="18"/>
        </w:rPr>
        <w:t>Headline (H1)</w:t>
      </w:r>
    </w:p>
    <w:p>
      <w:r>
        <w:rPr>
          <w:rFonts w:ascii="Arial" w:hAnsi="Arial"/>
          <w:i w:val="0"/>
          <w:color w:val="1A2433"/>
          <w:sz w:val="22"/>
        </w:rPr>
        <w:t>Increase Delta outflows (65% of unimpaired flow)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adapts USBR's “Alternative 3” configuration — increased Delta outflow requirements supported by upstream actions — with the December–May outflow requirement set to roughly 65% of unimpaired flow, as in the original USBR studies, the highest level among the four Delta-outflow strategies in the library.</w:t>
      </w:r>
    </w:p>
    <w:p>
      <w:r>
        <w:rPr>
          <w:rFonts w:ascii="Arial" w:hAnsi="Arial"/>
          <w:b/>
          <w:color w:val="0B2545"/>
          <w:sz w:val="18"/>
        </w:rPr>
        <w:t>Identity sentence</w:t>
      </w:r>
    </w:p>
    <w:p>
      <w:r>
        <w:rPr>
          <w:rFonts w:ascii="Arial" w:hAnsi="Arial"/>
          <w:i w:val="0"/>
          <w:color w:val="1A2433"/>
          <w:sz w:val="22"/>
        </w:rPr>
        <w:t>This brief describes increase Delta outflows (65% of unimpaired flow),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increase Delta outflows (65% of unimpaired flow), one of 24 management strategies in the COEQWAL scenario library: USBR's Alternative 3 configuration with the Delta outflow requirement at roughly 65% of unimpaired flow.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USBR undertook an exploratory modeling exercise while developing scenarios for what became the 2024 Long-Term Operations consultation. One set of scenarios, informed by discussions with environmental and non-governmental organizations, included increased Delta outflows and upstream actions to conserve water for environmental and ecological purposes, attempting to balance flows in rivers and the Delta with reservoir storage in Shasta to support cold-water habitat. USBR formalized these actions as its “Alt3” (modified natural hydrograph) scenario; a detailed description appears in Chapter 3 of the Final Environmental Impact Statement for the consultation, published in November 2024.</w:t>
      </w:r>
    </w:p>
    <w:p>
      <w:r>
        <w:rPr>
          <w:rFonts w:ascii="Arial" w:hAnsi="Arial"/>
          <w:b/>
          <w:color w:val="0B2545"/>
          <w:sz w:val="18"/>
        </w:rPr>
        <w:t>¶2</w:t>
      </w:r>
    </w:p>
    <w:p>
      <w:r>
        <w:rPr>
          <w:rFonts w:ascii="Arial" w:hAnsi="Arial"/>
          <w:i w:val="0"/>
          <w:color w:val="1A2433"/>
          <w:sz w:val="22"/>
        </w:rPr>
        <w:t>This member of the set applies the Delta outflow requirement at roughly 65% of unimpaired flow, as was done in the original USBR studies. The companion strategies apply the same configuration at the 55%, 45%, and 35% levels.</w:t>
      </w:r>
    </w:p>
    <w:p>
      <w:r>
        <w:rPr>
          <w:rFonts w:ascii="Arial" w:hAnsi="Arial"/>
          <w:b/>
          <w:color w:val="0B2545"/>
          <w:sz w:val="18"/>
        </w:rPr>
        <w:t>¶3</w:t>
      </w:r>
    </w:p>
    <w:p>
      <w:r>
        <w:rPr>
          <w:rFonts w:ascii="Arial" w:hAnsi="Arial"/>
          <w:i w:val="0"/>
          <w:color w:val="1A2433"/>
          <w:sz w:val="22"/>
        </w:rPr>
        <w:t>The unimpaired-flow requirement applies only December through May and carries numerous overriding and off-ramping contingencies — simulated Delta outflow should not be expected to strictly match a 65%-of-unimpaired condition. Where unregulated flows are available (runoff on the valley floor during storms, for example), outflows can exceed the requirement level.</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was adapted from USBR's Alt3 scenario, made available after the Long-Term Operations consultation concluded in December 2024. The COEQWAL team replaced the hydrology with DWR's adjusted historical dataset and updated agricultural demands to the 2020 LandIQ land-use dataset; the 65% outflow requirement is carried over from the original USBR studies.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The Delta as a living place</w:t>
      </w:r>
    </w:p>
    <w:p>
      <w:r>
        <w:rPr>
          <w:rFonts w:ascii="Arial" w:hAnsi="Arial"/>
          <w:b/>
          <w:color w:val="0B2545"/>
          <w:sz w:val="18"/>
        </w:rPr>
        <w:t>List item</w:t>
      </w:r>
    </w:p>
    <w:p>
      <w:r>
        <w:rPr>
          <w:rFonts w:ascii="Arial" w:hAnsi="Arial"/>
          <w:i w:val="0"/>
          <w:color w:val="1A2433"/>
          <w:sz w:val="22"/>
        </w:rPr>
        <w:t>Reduce Delta outflows (35% of unimpaired flow). USBR Alternative 3 for the Long-Term Operation of the Central Valley Project, with Delta outflow requirements set to roughly 35% of unimpaired volume.</w:t>
      </w:r>
    </w:p>
    <w:p>
      <w:r>
        <w:rPr>
          <w:rFonts w:ascii="Arial" w:hAnsi="Arial"/>
          <w:b/>
          <w:color w:val="0B2545"/>
          <w:sz w:val="18"/>
        </w:rPr>
        <w:t>List item</w:t>
      </w:r>
    </w:p>
    <w:p>
      <w:r>
        <w:rPr>
          <w:rFonts w:ascii="Arial" w:hAnsi="Arial"/>
          <w:i w:val="0"/>
          <w:color w:val="1A2433"/>
          <w:sz w:val="22"/>
        </w:rPr>
        <w:t>Maintain Delta outflows (45% of unimpaired flow). USBR Alternative 3 for the Long-Term Operation of the Central Valley Project, with Delta outflow requirements set to roughly 45%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Increase Shasta carry-over storage. Spring CVP allocation reductions that raise the target carry-over storage in Shasta reservoir by 20% relative to current operations.</w:t>
      </w:r>
    </w:p>
    <w:p>
      <w:r>
        <w:rPr>
          <w:rFonts w:ascii="Arial" w:hAnsi="Arial"/>
          <w:b/>
          <w:color w:val="0B2545"/>
          <w:sz w:val="18"/>
        </w:rPr>
        <w:t>List item</w:t>
      </w:r>
    </w:p>
    <w:p>
      <w:r>
        <w:rPr>
          <w:rFonts w:ascii="Arial" w:hAnsi="Arial"/>
          <w:i w:val="0"/>
          <w:color w:val="1A2433"/>
          <w:sz w:val="22"/>
        </w:rPr>
        <w:t>Relax Delta salinity standards. Current operations with the fall X2 salinity requirement removed; other Delta flow and salinity requirements remain in place.</w:t>
      </w:r>
    </w:p>
    <w:p>
      <w:r>
        <w:rPr>
          <w:rFonts w:ascii="Arial" w:hAnsi="Arial"/>
          <w:b/>
          <w:color w:val="0B2545"/>
          <w:sz w:val="18"/>
        </w:rPr>
        <w:t>List item</w:t>
      </w:r>
    </w:p>
    <w:p>
      <w:r>
        <w:rPr>
          <w:rFonts w:ascii="Arial" w:hAnsi="Arial"/>
          <w:i w:val="0"/>
          <w:color w:val="1A2433"/>
          <w:sz w:val="22"/>
        </w:rPr>
        <w:t>Delta Conveyance Project. The Delta Conveyance tunnel (6,000 cfs North Delta Diversion capacity) with 2025 voluntary-agreement flows and Sacramento Valley rice-fallowing actions.</w:t>
      </w:r>
    </w:p>
    <w:p>
      <w:r>
        <w:rPr>
          <w:rFonts w:ascii="Arial" w:hAnsi="Arial"/>
          <w:b/>
          <w:color w:val="0B2545"/>
          <w:sz w:val="18"/>
        </w:rPr>
        <w:t>Subheading</w:t>
      </w:r>
    </w:p>
    <w:p>
      <w:r>
        <w:rPr>
          <w:rFonts w:ascii="Arial" w:hAnsi="Arial"/>
          <w:i w:val="0"/>
          <w:color w:val="1A2433"/>
          <w:sz w:val="22"/>
        </w:rPr>
        <w:t>Related strategies — Environment</w:t>
      </w:r>
    </w:p>
    <w:p>
      <w:r>
        <w:rPr>
          <w:rFonts w:ascii="Arial" w:hAnsi="Arial"/>
          <w:b/>
          <w:color w:val="0B2545"/>
          <w:sz w:val="18"/>
        </w:rPr>
        <w:t>List item</w:t>
      </w:r>
    </w:p>
    <w:p>
      <w:r>
        <w:rPr>
          <w:rFonts w:ascii="Arial" w:hAnsi="Arial"/>
          <w:i w:val="0"/>
          <w:color w:val="1A2433"/>
          <w:sz w:val="22"/>
        </w:rPr>
        <w:t>No minimum flow requirements. Current operations without minimum flow requirements on Central Valley rivers.</w:t>
      </w:r>
    </w:p>
    <w:p>
      <w:r>
        <w:rPr>
          <w:rFonts w:ascii="Arial" w:hAnsi="Arial"/>
          <w:b/>
          <w:color w:val="0B2545"/>
          <w:sz w:val="18"/>
        </w:rPr>
        <w:t>List item</w:t>
      </w:r>
    </w:p>
    <w:p>
      <w:r>
        <w:rPr>
          <w:rFonts w:ascii="Arial" w:hAnsi="Arial"/>
          <w:i w:val="0"/>
          <w:color w:val="1A2433"/>
          <w:sz w:val="22"/>
        </w:rPr>
        <w:t>Salmon-friendly flows. Sacramento River flow requirements and Shasta cold-water storage protection to support Sacramento River winter-run Chinook salmon life-cycle needs.</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Functional environmental flows. Functional minimum flow requirements on tributaries to the Sacramento and San Joaquin rivers, derived from natural-flow estimates.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The Delta as a living place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Delta locations and the tributaries that contribute to Delta outflow.</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