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b/>
          <w:color w:val="0B2545"/>
          <w:sz w:val="34"/>
        </w:rPr>
        <w:t>Increase Shasta carry-over storage — COEQWAL Findings — Copy Deck for Language Review</w:t>
      </w:r>
    </w:p>
    <w:p>
      <w:r>
        <w:rPr>
          <w:rFonts w:ascii="Arial" w:hAnsi="Arial"/>
          <w:i/>
          <w:color w:val="667085"/>
          <w:sz w:val="19"/>
        </w:rPr>
        <w:t>Source: strategy_brief_increase-shasta-carry-over-storage_v0_1.html</w:t>
      </w:r>
    </w:p>
    <w:p>
      <w:r>
        <w:rPr>
          <w:rFonts w:ascii="Arial" w:hAnsi="Arial"/>
          <w:i/>
          <w:color w:val="667085"/>
          <w:sz w:val="19"/>
        </w:rPr>
        <w:t>This is a background brief — it reports no modeled results. The values in the text (scenario identifiers, configuration settings, and percentages) are fixed facts about the scenario, not data that will be regenerated. Edit the wording, not those values.</w:t>
      </w:r>
    </w:p>
    <w:p>
      <w:pPr>
        <w:pStyle w:val="Heading2"/>
      </w:pPr>
      <w:r>
        <w:rPr>
          <w:rFonts w:ascii="Arial" w:hAnsi="Arial"/>
          <w:b/>
          <w:color w:val="0B2545"/>
          <w:sz w:val="26"/>
        </w:rPr>
        <w:t>How to use this document</w:t>
      </w:r>
    </w:p>
    <w:p>
      <w:r>
        <w:rPr>
          <w:rFonts w:ascii="Arial" w:hAnsi="Arial"/>
          <w:i w:val="0"/>
          <w:color w:val="1A2433"/>
          <w:sz w:val="22"/>
        </w:rPr>
        <w:t>This holds only the words a reader sees in the brief, block by block, each with a label that matches a spot in the page. To suggest wording changes, turn on Track Changes (Review tab → Track Changes) and edit the text directly. Accepted edits are then applied back to the brief's HTML.</w:t>
      </w:r>
    </w:p>
    <w:p>
      <w:r>
        <w:rPr>
          <w:rFonts w:ascii="Arial" w:hAnsi="Arial"/>
          <w:i w:val="0"/>
          <w:color w:val="1A2433"/>
          <w:sz w:val="22"/>
        </w:rPr>
        <w:t>Edit wording only. Numbers, tier values, and counts are inserted from data — leave them as-is; they will be regenerated. The block labels and section headings are signposts, not part of the brief; don't edit those.</w:t>
      </w:r>
    </w:p>
    <w:p>
      <w:r>
        <w:rPr>
          <w:rFonts w:ascii="Arial" w:hAnsi="Arial"/>
          <w:i w:val="0"/>
          <w:color w:val="1A2433"/>
          <w:sz w:val="22"/>
        </w:rPr>
        <w:t>Every brief keeps all nine sections in fixed order, including any that don't apply (kept with a short note). Please keep that structure.</w:t>
      </w:r>
    </w:p>
    <w:p>
      <w:r>
        <w:rPr>
          <w:rFonts w:ascii="Arial" w:hAnsi="Arial"/>
          <w:b/>
          <w:color w:val="0B2545"/>
          <w:sz w:val="18"/>
        </w:rPr>
        <w:t>Front matter</w:t>
      </w:r>
    </w:p>
    <w:p>
      <w:r>
        <w:rPr>
          <w:rFonts w:ascii="Arial" w:hAnsi="Arial"/>
          <w:b/>
          <w:color w:val="0B2545"/>
          <w:sz w:val="18"/>
        </w:rPr>
        <w:t>Masthead (top strip)</w:t>
      </w:r>
    </w:p>
    <w:p>
      <w:r>
        <w:rPr>
          <w:rFonts w:ascii="Arial" w:hAnsi="Arial"/>
          <w:i w:val="0"/>
          <w:color w:val="1A2433"/>
          <w:sz w:val="22"/>
        </w:rPr>
        <w:t>COEQWAL Strategy Brief · Background</w:t>
      </w:r>
    </w:p>
    <w:p>
      <w:r>
        <w:rPr>
          <w:rFonts w:ascii="Arial" w:hAnsi="Arial"/>
          <w:b/>
          <w:color w:val="0B2545"/>
          <w:sz w:val="18"/>
        </w:rPr>
        <w:t>Eyebrow (sector)</w:t>
      </w:r>
    </w:p>
    <w:p>
      <w:r>
        <w:rPr>
          <w:rFonts w:ascii="Arial" w:hAnsi="Arial"/>
          <w:i w:val="0"/>
          <w:color w:val="1A2433"/>
          <w:sz w:val="22"/>
        </w:rPr>
        <w:t>Operational Strategy · The Delta as a living place</w:t>
      </w:r>
    </w:p>
    <w:p>
      <w:r>
        <w:rPr>
          <w:rFonts w:ascii="Arial" w:hAnsi="Arial"/>
          <w:b/>
          <w:color w:val="0B2545"/>
          <w:sz w:val="18"/>
        </w:rPr>
        <w:t>Headline (H1)</w:t>
      </w:r>
    </w:p>
    <w:p>
      <w:r>
        <w:rPr>
          <w:rFonts w:ascii="Arial" w:hAnsi="Arial"/>
          <w:i w:val="0"/>
          <w:color w:val="1A2433"/>
          <w:sz w:val="22"/>
        </w:rPr>
        <w:t>Increase Shasta carry-over storage A management strategy in the COEQWAL scenario library</w:t>
      </w:r>
    </w:p>
    <w:p>
      <w:r>
        <w:rPr>
          <w:rFonts w:ascii="Arial" w:hAnsi="Arial"/>
          <w:b/>
          <w:color w:val="0B2545"/>
          <w:sz w:val="18"/>
        </w:rPr>
        <w:t>Headline / pull-quote (TL;DR)</w:t>
      </w:r>
    </w:p>
    <w:p>
      <w:r>
        <w:rPr>
          <w:rFonts w:ascii="Arial" w:hAnsi="Arial"/>
          <w:i w:val="0"/>
          <w:color w:val="1A2433"/>
          <w:sz w:val="22"/>
        </w:rPr>
        <w:t>This strategy reduces CVP allocations in the spring as needed to raise the target carry-over storage in Shasta reservoir by 20% relative to current operations. Because CalSim sets allocations before the year's water supply is known, the carry-over condition is not guaranteed to be met in a given year.</w:t>
      </w:r>
    </w:p>
    <w:p>
      <w:r>
        <w:rPr>
          <w:rFonts w:ascii="Arial" w:hAnsi="Arial"/>
          <w:b/>
          <w:color w:val="0B2545"/>
          <w:sz w:val="18"/>
        </w:rPr>
        <w:t>Identity sentence</w:t>
      </w:r>
    </w:p>
    <w:p>
      <w:r>
        <w:rPr>
          <w:rFonts w:ascii="Arial" w:hAnsi="Arial"/>
          <w:i w:val="0"/>
          <w:color w:val="1A2433"/>
          <w:sz w:val="22"/>
        </w:rPr>
        <w:t>This brief describes increase Shasta carry-over storage, one of 24 management strategies in the COEQWAL scenario library. Each strategy is simulated once under each of five hydroclimates; the references note at the end of this brief lists the model runs.</w:t>
      </w:r>
    </w:p>
    <w:p>
      <w:r>
        <w:rPr>
          <w:rFonts w:ascii="Arial" w:hAnsi="Arial"/>
          <w:b/>
          <w:color w:val="0B2545"/>
          <w:sz w:val="18"/>
        </w:rPr>
        <w:t>Search / meta description</w:t>
      </w:r>
    </w:p>
    <w:p>
      <w:r>
        <w:rPr>
          <w:rFonts w:ascii="Arial" w:hAnsi="Arial"/>
          <w:i w:val="0"/>
          <w:color w:val="1A2433"/>
          <w:sz w:val="22"/>
        </w:rPr>
        <w:t>A COEQWAL strategy background brief describing increase Shasta carry-over storage, one of 24 management strategies in the COEQWAL scenario library: spring CVP allocation reductions that raise the Shasta carry-over storage target by 20%. Background only — no modeled results.</w:t>
      </w:r>
    </w:p>
    <w:p>
      <w:pPr>
        <w:pStyle w:val="Heading2"/>
      </w:pPr>
      <w:r>
        <w:rPr>
          <w:rFonts w:ascii="Arial" w:hAnsi="Arial"/>
          <w:b/>
          <w:color w:val="0B2545"/>
          <w:sz w:val="26"/>
        </w:rPr>
        <w:t>§2 What this strategy changes</w:t>
      </w:r>
    </w:p>
    <w:p>
      <w:r>
        <w:rPr>
          <w:rFonts w:ascii="Arial" w:hAnsi="Arial"/>
          <w:b/>
          <w:color w:val="0B2545"/>
          <w:sz w:val="18"/>
        </w:rPr>
        <w:t>¶1</w:t>
      </w:r>
    </w:p>
    <w:p>
      <w:r>
        <w:rPr>
          <w:rFonts w:ascii="Arial" w:hAnsi="Arial"/>
          <w:i w:val="0"/>
          <w:color w:val="1A2433"/>
          <w:sz w:val="22"/>
        </w:rPr>
        <w:t>The strategy reduces CVP allocations in the spring to increase the target carry-over storage in Shasta reservoir by 20% relative to current operations. Settlement Contractor allocations may be reduced as needed to meet the storage target.</w:t>
      </w:r>
    </w:p>
    <w:p>
      <w:r>
        <w:rPr>
          <w:rFonts w:ascii="Arial" w:hAnsi="Arial"/>
          <w:b/>
          <w:color w:val="0B2545"/>
          <w:sz w:val="18"/>
        </w:rPr>
        <w:t>¶2</w:t>
      </w:r>
    </w:p>
    <w:p>
      <w:r>
        <w:rPr>
          <w:rFonts w:ascii="Arial" w:hAnsi="Arial"/>
          <w:i w:val="0"/>
          <w:color w:val="1A2433"/>
          <w:sz w:val="22"/>
        </w:rPr>
        <w:t>Because of uncertainty in water supply at the time allocations are set in CalSim3 — the model does not “know” how much water the year will bring — the carry-over condition is not guaranteed to be met in a given year.</w:t>
      </w:r>
    </w:p>
    <w:p>
      <w:r>
        <w:rPr>
          <w:rFonts w:ascii="Arial" w:hAnsi="Arial"/>
          <w:b/>
          <w:color w:val="0B2545"/>
          <w:sz w:val="18"/>
        </w:rPr>
        <w:t>¶3</w:t>
      </w:r>
    </w:p>
    <w:p>
      <w:r>
        <w:rPr>
          <w:rFonts w:ascii="Arial" w:hAnsi="Arial"/>
          <w:i w:val="0"/>
          <w:color w:val="1A2433"/>
          <w:sz w:val="22"/>
        </w:rPr>
        <w:t>The modified allocations, Shasta storage, and deliveries may affect hydrology and reservoir conditions in parts of the system not targeted by this strategy's actions. This is a consequence of the interconnections in the Central Valley water management and hydrologic system, as reflected in a complex but incomplete model.</w:t>
      </w:r>
    </w:p>
    <w:p>
      <w:pPr>
        <w:pStyle w:val="Heading2"/>
      </w:pPr>
      <w:r>
        <w:rPr>
          <w:rFonts w:ascii="Arial" w:hAnsi="Arial"/>
          <w:b/>
          <w:color w:val="0B2545"/>
          <w:sz w:val="26"/>
        </w:rPr>
        <w:t>§3 The configuration in detail</w:t>
      </w:r>
    </w:p>
    <w:p>
      <w:r>
        <w:rPr>
          <w:rFonts w:ascii="Arial" w:hAnsi="Arial"/>
          <w:b/>
          <w:color w:val="0B2545"/>
          <w:sz w:val="18"/>
        </w:rPr>
        <w:t>¶1</w:t>
      </w:r>
    </w:p>
    <w:p>
      <w:r>
        <w:rPr>
          <w:rFonts w:ascii="Arial" w:hAnsi="Arial"/>
          <w:i w:val="0"/>
          <w:color w:val="1A2433"/>
          <w:sz w:val="22"/>
        </w:rPr>
        <w:t>The table compares the eight operational fields that define this strategy against current operations — the strategy that represents existing operational rules, recent (2020) land use, and TUCPs. Rows that match current operations are shown in light gray; rows that differ are highlighted.</w:t>
      </w:r>
    </w:p>
    <w:p>
      <w:pPr>
        <w:pStyle w:val="Heading2"/>
      </w:pPr>
      <w:r>
        <w:rPr>
          <w:rFonts w:ascii="Arial" w:hAnsi="Arial"/>
          <w:b/>
          <w:color w:val="0B2545"/>
          <w:sz w:val="26"/>
        </w:rPr>
        <w:t>§4 Lineage and source</w:t>
      </w:r>
    </w:p>
    <w:p>
      <w:r>
        <w:rPr>
          <w:rFonts w:ascii="Arial" w:hAnsi="Arial"/>
          <w:b/>
          <w:color w:val="0B2545"/>
          <w:sz w:val="18"/>
        </w:rPr>
        <w:t>¶1</w:t>
      </w:r>
    </w:p>
    <w:p>
      <w:r>
        <w:rPr>
          <w:rFonts w:ascii="Arial" w:hAnsi="Arial"/>
          <w:i w:val="0"/>
          <w:color w:val="1A2433"/>
          <w:sz w:val="22"/>
        </w:rPr>
        <w:t>This strategy was developed by the COEQWAL team, in part by adapting the allocation logic of USBR's Alt3 scenario onto the current-operations base. It is built on current operations under DWR's adjusted historical hydrology with the 2020 LandIQ land-use dataset. The CalSim model files for this strategy are referenced by the run IDs in the references note at the end of this brief.</w:t>
      </w:r>
    </w:p>
    <w:p>
      <w:pPr>
        <w:pStyle w:val="Heading2"/>
      </w:pPr>
      <w:r>
        <w:rPr>
          <w:rFonts w:ascii="Arial" w:hAnsi="Arial"/>
          <w:b/>
          <w:color w:val="0B2545"/>
          <w:sz w:val="26"/>
        </w:rPr>
        <w:t>§5 Related strategies</w:t>
      </w:r>
    </w:p>
    <w:p>
      <w:r>
        <w:rPr>
          <w:rFonts w:ascii="Arial" w:hAnsi="Arial"/>
          <w:b/>
          <w:color w:val="0B2545"/>
          <w:sz w:val="18"/>
        </w:rPr>
        <w:t>Subheading</w:t>
      </w:r>
    </w:p>
    <w:p>
      <w:r>
        <w:rPr>
          <w:rFonts w:ascii="Arial" w:hAnsi="Arial"/>
          <w:i w:val="0"/>
          <w:color w:val="1A2433"/>
          <w:sz w:val="22"/>
        </w:rPr>
        <w:t>Related strategies — The Delta as a living place</w:t>
      </w:r>
    </w:p>
    <w:p>
      <w:r>
        <w:rPr>
          <w:rFonts w:ascii="Arial" w:hAnsi="Arial"/>
          <w:b/>
          <w:color w:val="0B2545"/>
          <w:sz w:val="18"/>
        </w:rPr>
        <w:t>List item</w:t>
      </w:r>
    </w:p>
    <w:p>
      <w:r>
        <w:rPr>
          <w:rFonts w:ascii="Arial" w:hAnsi="Arial"/>
          <w:i w:val="0"/>
          <w:color w:val="1A2433"/>
          <w:sz w:val="22"/>
        </w:rPr>
        <w:t>Increase Delta outflows (65% of unimpaired flow). USBR Alternative 3 for the Long-Term Operation of the Central Valley Project, with Delta outflow requirements set to roughly 65% of unimpaired volume.</w:t>
      </w:r>
    </w:p>
    <w:p>
      <w:r>
        <w:rPr>
          <w:rFonts w:ascii="Arial" w:hAnsi="Arial"/>
          <w:b/>
          <w:color w:val="0B2545"/>
          <w:sz w:val="18"/>
        </w:rPr>
        <w:t>List item</w:t>
      </w:r>
    </w:p>
    <w:p>
      <w:r>
        <w:rPr>
          <w:rFonts w:ascii="Arial" w:hAnsi="Arial"/>
          <w:i w:val="0"/>
          <w:color w:val="1A2433"/>
          <w:sz w:val="22"/>
        </w:rPr>
        <w:t>Reduce Delta outflows (35% of unimpaired flow). USBR Alternative 3 for the Long-Term Operation of the Central Valley Project, with Delta outflow requirements set to roughly 35% of unimpaired volume.</w:t>
      </w:r>
    </w:p>
    <w:p>
      <w:r>
        <w:rPr>
          <w:rFonts w:ascii="Arial" w:hAnsi="Arial"/>
          <w:b/>
          <w:color w:val="0B2545"/>
          <w:sz w:val="18"/>
        </w:rPr>
        <w:t>List item</w:t>
      </w:r>
    </w:p>
    <w:p>
      <w:r>
        <w:rPr>
          <w:rFonts w:ascii="Arial" w:hAnsi="Arial"/>
          <w:i w:val="0"/>
          <w:color w:val="1A2433"/>
          <w:sz w:val="22"/>
        </w:rPr>
        <w:t>Maintain Delta outflows (45% of unimpaired flow). USBR Alternative 3 for the Long-Term Operation of the Central Valley Project, with Delta outflow requirements set to roughly 45% of unimpaired volume.</w:t>
      </w:r>
    </w:p>
    <w:p>
      <w:r>
        <w:rPr>
          <w:rFonts w:ascii="Arial" w:hAnsi="Arial"/>
          <w:b/>
          <w:color w:val="0B2545"/>
          <w:sz w:val="18"/>
        </w:rPr>
        <w:t>List item</w:t>
      </w:r>
    </w:p>
    <w:p>
      <w:r>
        <w:rPr>
          <w:rFonts w:ascii="Arial" w:hAnsi="Arial"/>
          <w:i w:val="0"/>
          <w:color w:val="1A2433"/>
          <w:sz w:val="22"/>
        </w:rPr>
        <w:t>Increase Delta outflows (55% of unimpaired flow). USBR Alternative 3 for the Long-Term Operation of the Central Valley Project, with Delta outflow requirements set to roughly 55% of unimpaired volume.</w:t>
      </w:r>
    </w:p>
    <w:p>
      <w:r>
        <w:rPr>
          <w:rFonts w:ascii="Arial" w:hAnsi="Arial"/>
          <w:b/>
          <w:color w:val="0B2545"/>
          <w:sz w:val="18"/>
        </w:rPr>
        <w:t>List item</w:t>
      </w:r>
    </w:p>
    <w:p>
      <w:r>
        <w:rPr>
          <w:rFonts w:ascii="Arial" w:hAnsi="Arial"/>
          <w:i w:val="0"/>
          <w:color w:val="1A2433"/>
          <w:sz w:val="22"/>
        </w:rPr>
        <w:t>Relax Delta salinity standards. Current operations with the fall X2 salinity requirement removed; other Delta flow and salinity requirements remain in place.</w:t>
      </w:r>
    </w:p>
    <w:p>
      <w:r>
        <w:rPr>
          <w:rFonts w:ascii="Arial" w:hAnsi="Arial"/>
          <w:b/>
          <w:color w:val="0B2545"/>
          <w:sz w:val="18"/>
        </w:rPr>
        <w:t>List item</w:t>
      </w:r>
    </w:p>
    <w:p>
      <w:r>
        <w:rPr>
          <w:rFonts w:ascii="Arial" w:hAnsi="Arial"/>
          <w:i w:val="0"/>
          <w:color w:val="1A2433"/>
          <w:sz w:val="22"/>
        </w:rPr>
        <w:t>Delta Conveyance Project. The Delta Conveyance tunnel (6,000 cfs North Delta Diversion capacity) with 2025 voluntary-agreement flows and Sacramento Valley rice-fallowing actions.</w:t>
      </w:r>
    </w:p>
    <w:p>
      <w:pPr>
        <w:pStyle w:val="Heading2"/>
      </w:pPr>
      <w:r>
        <w:rPr>
          <w:rFonts w:ascii="Arial" w:hAnsi="Arial"/>
          <w:b/>
          <w:color w:val="0B2545"/>
          <w:sz w:val="26"/>
        </w:rPr>
        <w:t>§6 What this doesn't say</w:t>
      </w:r>
    </w:p>
    <w:p>
      <w:r>
        <w:rPr>
          <w:rFonts w:ascii="Arial" w:hAnsi="Arial"/>
          <w:b/>
          <w:color w:val="0B2545"/>
          <w:sz w:val="18"/>
        </w:rPr>
        <w:t>¶1</w:t>
      </w:r>
    </w:p>
    <w:p>
      <w:r>
        <w:rPr>
          <w:rFonts w:ascii="Arial" w:hAnsi="Arial"/>
          <w:i w:val="0"/>
          <w:color w:val="1A2433"/>
          <w:sz w:val="22"/>
        </w:rPr>
        <w:t>This brief describes an idealized representation in CalSim, not a real-world policy proposal or implementation plan. The strategy as modeled may not capture all details necessary to support direct translation to actual operations. The brief does not predict, evaluate, or recommend any outcome — it describes what the scenario changes about CalSim's representation of the system. For what the model produces under this strategy, see the result briefs referenced in §7.</w:t>
      </w:r>
    </w:p>
    <w:p>
      <w:pPr>
        <w:pStyle w:val="Heading2"/>
      </w:pPr>
      <w:r>
        <w:rPr>
          <w:rFonts w:ascii="Arial" w:hAnsi="Arial"/>
          <w:b/>
          <w:color w:val="0B2545"/>
          <w:sz w:val="26"/>
        </w:rPr>
        <w:t>§7 See results for this strategy</w:t>
      </w:r>
    </w:p>
    <w:p>
      <w:r>
        <w:rPr>
          <w:rFonts w:ascii="Arial" w:hAnsi="Arial"/>
          <w:b/>
          <w:color w:val="0B2545"/>
          <w:sz w:val="18"/>
        </w:rPr>
        <w:t>¶1</w:t>
      </w:r>
    </w:p>
    <w:p>
      <w:r>
        <w:rPr>
          <w:rFonts w:ascii="Arial" w:hAnsi="Arial"/>
          <w:i w:val="0"/>
          <w:color w:val="1A2433"/>
          <w:sz w:val="22"/>
        </w:rPr>
        <w:t>To see modeled outcomes under this strategy across all nine sectors at the reference hydroclimate, see the The Delta as a living place theme brief.</w:t>
      </w:r>
    </w:p>
    <w:p>
      <w:r>
        <w:rPr>
          <w:rFonts w:ascii="Arial" w:hAnsi="Arial"/>
          <w:b/>
          <w:color w:val="0B2545"/>
          <w:sz w:val="18"/>
        </w:rPr>
        <w:t>¶2</w:t>
      </w:r>
    </w:p>
    <w:p>
      <w:r>
        <w:rPr>
          <w:rFonts w:ascii="Arial" w:hAnsi="Arial"/>
          <w:i w:val="0"/>
          <w:color w:val="1A2433"/>
          <w:sz w:val="22"/>
        </w:rPr>
        <w:t>To see outcomes at a specific place, see the relevant LOI briefs — particularly those for Shasta reservoir and locations on the Sacramento River.</w:t>
      </w:r>
    </w:p>
    <w:p>
      <w:r>
        <w:rPr>
          <w:rFonts w:ascii="Arial" w:hAnsi="Arial"/>
          <w:b/>
          <w:color w:val="0B2545"/>
          <w:sz w:val="18"/>
        </w:rPr>
        <w:t>Explorer link</w:t>
      </w:r>
    </w:p>
    <w:p>
      <w:r>
        <w:rPr>
          <w:rFonts w:ascii="Arial" w:hAnsi="Arial"/>
          <w:i w:val="0"/>
          <w:color w:val="1A2433"/>
          <w:sz w:val="22"/>
        </w:rPr>
        <w:t>Compare this strategy in the data explorer →</w:t>
      </w:r>
    </w:p>
    <w:p>
      <w:pPr>
        <w:pStyle w:val="Heading2"/>
      </w:pPr>
      <w:r>
        <w:rPr>
          <w:rFonts w:ascii="Arial" w:hAnsi="Arial"/>
          <w:b/>
          <w:color w:val="0B2545"/>
          <w:sz w:val="26"/>
        </w:rPr>
        <w:t>References — model runs</w:t>
      </w:r>
    </w:p>
    <w:p>
      <w:r>
        <w:rPr>
          <w:rFonts w:ascii="Arial" w:hAnsi="Arial"/>
          <w:b/>
          <w:color w:val="0B2545"/>
          <w:sz w:val="18"/>
        </w:rPr>
        <w:t>¶1</w:t>
      </w:r>
    </w:p>
    <w:p>
      <w:r>
        <w:rPr>
          <w:rFonts w:ascii="Arial" w:hAnsi="Arial"/>
          <w:i w:val="0"/>
          <w:color w:val="1A2433"/>
          <w:sz w:val="22"/>
        </w:rPr>
        <w:t>Each strategy is simulated once under each of five hydroclimates. The table lists the model run behind this strategy and the current-operations run it is compared against, for each hydroclimate, so any reader can trace this page to specific CalSim runs.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