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No minimum flow requirements — COEQWAL Findings — Copy Deck for Language Review</w:t>
      </w:r>
    </w:p>
    <w:p>
      <w:r>
        <w:rPr>
          <w:rFonts w:ascii="Arial" w:hAnsi="Arial"/>
          <w:i/>
          <w:color w:val="667085"/>
          <w:sz w:val="19"/>
        </w:rPr>
        <w:t>Source: strategy_brief_no-minimum-flow-requirements_v0_1.html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Environment</w:t>
      </w:r>
    </w:p>
    <w:p>
      <w:r>
        <w:rPr>
          <w:rFonts w:ascii="Arial" w:hAnsi="Arial"/>
          <w:b/>
          <w:color w:val="0B2545"/>
          <w:sz w:val="18"/>
        </w:rPr>
        <w:t>Headline (H1)</w:t>
      </w:r>
    </w:p>
    <w:p>
      <w:r>
        <w:rPr>
          <w:rFonts w:ascii="Arial" w:hAnsi="Arial"/>
          <w:i w:val="0"/>
          <w:color w:val="1A2433"/>
          <w:sz w:val="22"/>
        </w:rPr>
        <w:t>No minimum flow requirements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removes minimum flow requirements on rivers and streams throughout the Central Valley, the Trinity River, and rim watersheds where they are defined in CalSim3. Delta outflow requirements are not removed: D1641 and biological-opinion requirements remain in place, as under current operations.</w:t>
      </w:r>
    </w:p>
    <w:p>
      <w:r>
        <w:rPr>
          <w:rFonts w:ascii="Arial" w:hAnsi="Arial"/>
          <w:b/>
          <w:color w:val="0B2545"/>
          <w:sz w:val="18"/>
        </w:rPr>
        <w:t>Identity sentence</w:t>
      </w:r>
    </w:p>
    <w:p>
      <w:r>
        <w:rPr>
          <w:rFonts w:ascii="Arial" w:hAnsi="Arial"/>
          <w:i w:val="0"/>
          <w:color w:val="1A2433"/>
          <w:sz w:val="22"/>
        </w:rPr>
        <w:t>This brief describes no minimum flow requirements,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no minimum flow requirements, one of 24 management strategies in the COEQWAL scenario library: removal of minimum flow requirements on Central Valley rivers, with Delta outflow requirements kept in place.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sets existing minimum flow requirements to zero on rivers and streams throughout the Central Valley, the Trinity River, and rim watersheds where such requirements are defined in the model. Delta outflow requirements are not removed — the requirements of D1641 and the biological opinions remain in place as they are set under current operations.</w:t>
      </w:r>
    </w:p>
    <w:p>
      <w:r>
        <w:rPr>
          <w:rFonts w:ascii="Arial" w:hAnsi="Arial"/>
          <w:b/>
          <w:color w:val="0B2545"/>
          <w:sz w:val="18"/>
        </w:rPr>
        <w:t>¶2</w:t>
      </w:r>
    </w:p>
    <w:p>
      <w:r>
        <w:rPr>
          <w:rFonts w:ascii="Arial" w:hAnsi="Arial"/>
          <w:i w:val="0"/>
          <w:color w:val="1A2433"/>
          <w:sz w:val="22"/>
        </w:rPr>
        <w:t>The configuration was created by switching flow-requirement options off where switches exist in the model code and manually setting requirements to zero elsewhere. The team could not locate a complete listing of the minimum-flow variables in CalSim3 before setting up the run, so some requirements may have been missed, although the search through the model code was fairly exhaustive.</w:t>
      </w:r>
    </w:p>
    <w:p>
      <w:r>
        <w:rPr>
          <w:rFonts w:ascii="Arial" w:hAnsi="Arial"/>
          <w:b/>
          <w:color w:val="0B2545"/>
          <w:sz w:val="18"/>
        </w:rPr>
        <w:t>¶3</w:t>
      </w:r>
    </w:p>
    <w:p>
      <w:r>
        <w:rPr>
          <w:rFonts w:ascii="Arial" w:hAnsi="Arial"/>
          <w:i w:val="0"/>
          <w:color w:val="1A2433"/>
          <w:sz w:val="22"/>
        </w:rPr>
        <w:t>The strategy was envisioned as an exploratory reference point against which high-flow-requirement configurations — the functional-flows strategies — and the standard flow requirements can be compared.</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created by the COEQWAL team by copying the broader functional-flows study and deactivating all flow requirements — the functional flows along with the pre-existing minimums. It is built on current operations under DWR's adjusted historical hydrology with the 2020 LandIQ land-use dataset.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Environment</w:t>
      </w:r>
    </w:p>
    <w:p>
      <w:r>
        <w:rPr>
          <w:rFonts w:ascii="Arial" w:hAnsi="Arial"/>
          <w:b/>
          <w:color w:val="0B2545"/>
          <w:sz w:val="18"/>
        </w:rPr>
        <w:t>List item</w:t>
      </w:r>
    </w:p>
    <w:p>
      <w:r>
        <w:rPr>
          <w:rFonts w:ascii="Arial" w:hAnsi="Arial"/>
          <w:i w:val="0"/>
          <w:color w:val="1A2433"/>
          <w:sz w:val="22"/>
        </w:rPr>
        <w:t>Salmon-friendly flows. Sacramento River flow requirements and Shasta cold-water storage protection to support Sacramento River winter-run Chinook salmon life-cycle needs.</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Functional environmental flows. Functional minimum flow requirements on tributaries to the Sacramento and San Joaquin rivers, derived from natural-flow estimates.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Rivers, salmon and the Delta ecosystem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locations on the Sacramento and San Joaquin rivers and their tributaries.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