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Prioritizing full demands of community water systems — COEQWAL Findings — Copy Deck for Language Review</w:t>
      </w:r>
    </w:p>
    <w:p>
      <w:r>
        <w:rPr>
          <w:rFonts w:ascii="Arial" w:hAnsi="Arial"/>
          <w:i/>
          <w:color w:val="667085"/>
          <w:sz w:val="19"/>
        </w:rPr>
        <w:t>Source: strategy_brief_prioritizing-full-demands-of-community-water-systems_v0_1.html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Community water systems</w:t>
      </w:r>
    </w:p>
    <w:p>
      <w:r>
        <w:rPr>
          <w:rFonts w:ascii="Arial" w:hAnsi="Arial"/>
          <w:b/>
          <w:color w:val="0B2545"/>
          <w:sz w:val="18"/>
        </w:rPr>
        <w:t>Headline (H1)</w:t>
      </w:r>
    </w:p>
    <w:p>
      <w:r>
        <w:rPr>
          <w:rFonts w:ascii="Arial" w:hAnsi="Arial"/>
          <w:i w:val="0"/>
          <w:color w:val="1A2433"/>
          <w:sz w:val="22"/>
        </w:rPr>
        <w:t>Prioritizing full demands of community water systems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changes the allocation of CVP and SWP surface supplies so that deliveries to municipal and industrial contractors sufficient to meet as much of the full contract entitlements as possible receive top priority. Remaining supply, if any, is allocated to agricultural contracts.</w:t>
      </w:r>
    </w:p>
    <w:p>
      <w:r>
        <w:rPr>
          <w:rFonts w:ascii="Arial" w:hAnsi="Arial"/>
          <w:b/>
          <w:color w:val="0B2545"/>
          <w:sz w:val="18"/>
        </w:rPr>
        <w:t>Identity sentence</w:t>
      </w:r>
    </w:p>
    <w:p>
      <w:r>
        <w:rPr>
          <w:rFonts w:ascii="Arial" w:hAnsi="Arial"/>
          <w:i w:val="0"/>
          <w:color w:val="1A2433"/>
          <w:sz w:val="22"/>
        </w:rPr>
        <w:t>This brief describes prioritizing full demands of community water systems,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prioritizing full demands of community water systems, one of 24 management strategies in the COEQWAL scenario library: CVP and SWP allocation rules prioritizing full contract deliveries to community water systems.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prioritizes the allocation of surface supplies in the CVP and SWP systems to municipal and industrial (M&amp;I) contractors sufficient to meet as much of the full contract entitlements as possible. CVP agricultural contracts (including Settlement and Exchange) are assigned a lower priority than under standard allocation procedures to accommodate the prioritized M&amp;I deliveries. SWP contracts are split into agricultural and M&amp;I, with a higher-priority allocation made to the first 100% of M&amp;I contract amounts; remaining available supply, if there is any, is allocated to agricultural contracts. All demands considered in allocations are set by maximum contract entitlements on an annual basis.</w:t>
      </w:r>
    </w:p>
    <w:p>
      <w:r>
        <w:rPr>
          <w:rFonts w:ascii="Arial" w:hAnsi="Arial"/>
          <w:b/>
          <w:color w:val="0B2545"/>
          <w:sz w:val="18"/>
        </w:rPr>
        <w:t>¶2</w:t>
      </w:r>
    </w:p>
    <w:p>
      <w:r>
        <w:rPr>
          <w:rFonts w:ascii="Arial" w:hAnsi="Arial"/>
          <w:i w:val="0"/>
          <w:color w:val="1A2433"/>
          <w:sz w:val="22"/>
        </w:rPr>
        <w:t>No allocation adjustments are made for non-project M&amp;I deliveries, although, where the existing code structure supported it, deliveries to those users are prioritized through higher weights (or penalties for shortages).</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strategy was developed by the COEQWAL team from current operations, in coordination with the project's Drinking Water / Community Water Systems group. The change is confined to the allocation and priority logic.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Community water systems</w:t>
      </w:r>
    </w:p>
    <w:p>
      <w:r>
        <w:rPr>
          <w:rFonts w:ascii="Arial" w:hAnsi="Arial"/>
          <w:b/>
          <w:color w:val="0B2545"/>
          <w:sz w:val="18"/>
        </w:rPr>
        <w:t>List item</w:t>
      </w:r>
    </w:p>
    <w:p>
      <w:r>
        <w:rPr>
          <w:rFonts w:ascii="Arial" w:hAnsi="Arial"/>
          <w:i w:val="0"/>
          <w:color w:val="1A2433"/>
          <w:sz w:val="22"/>
        </w:rPr>
        <w:t>Prioritizing human health delivery levels to community water systems. Surface-water allocation rules placing top priority on health-and-human-safety delivery levels to community water systems.</w:t>
      </w:r>
    </w:p>
    <w:p>
      <w:r>
        <w:rPr>
          <w:rFonts w:ascii="Arial" w:hAnsi="Arial"/>
          <w:b/>
          <w:color w:val="0B2545"/>
          <w:sz w:val="18"/>
        </w:rPr>
        <w:t>List item</w:t>
      </w:r>
    </w:p>
    <w:p>
      <w:r>
        <w:rPr>
          <w:rFonts w:ascii="Arial" w:hAnsi="Arial"/>
          <w:i w:val="0"/>
          <w:color w:val="1A2433"/>
          <w:sz w:val="22"/>
        </w:rPr>
        <w:t>Prioritizing functional delivery levels to community water systems. Surface-water allocation rules placing top priority on a functional delivery level — 70% of contract entitlement — to community water systems.</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Community water systems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community water systems.</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