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b/>
          <w:color w:val="0B2545"/>
          <w:sz w:val="34"/>
        </w:rPr>
        <w:t>Prioritizing functional delivery levels to community water systems — COEQWAL Findings — Copy Deck for Language Review</w:t>
      </w:r>
    </w:p>
    <w:p>
      <w:r>
        <w:rPr>
          <w:rFonts w:ascii="Arial" w:hAnsi="Arial"/>
          <w:i/>
          <w:color w:val="667085"/>
          <w:sz w:val="19"/>
        </w:rPr>
        <w:t>Source: strategy_brief_prioritizing-functional-delivery-levels-to-community-water-systems_v0_1.html</w:t>
      </w:r>
    </w:p>
    <w:p>
      <w:r>
        <w:rPr>
          <w:rFonts w:ascii="Arial" w:hAnsi="Arial"/>
          <w:i/>
          <w:color w:val="667085"/>
          <w:sz w:val="19"/>
        </w:rPr>
        <w:t>This is a background brief — it reports no modeled results. The values in the text (scenario identifiers, configuration settings, and percentages) are fixed facts about the scenario, not data that will be regenerated. Edit the wording, not those values.</w:t>
      </w:r>
    </w:p>
    <w:p>
      <w:pPr>
        <w:pStyle w:val="Heading2"/>
      </w:pPr>
      <w:r>
        <w:rPr>
          <w:rFonts w:ascii="Arial" w:hAnsi="Arial"/>
          <w:b/>
          <w:color w:val="0B2545"/>
          <w:sz w:val="26"/>
        </w:rPr>
        <w:t>How to use this document</w:t>
      </w:r>
    </w:p>
    <w:p>
      <w:r>
        <w:rPr>
          <w:rFonts w:ascii="Arial" w:hAnsi="Arial"/>
          <w:i w:val="0"/>
          <w:color w:val="1A2433"/>
          <w:sz w:val="22"/>
        </w:rPr>
        <w:t>This holds only the words a reader sees in the brief, block by block, each with a label that matches a spot in the page. To suggest wording changes, turn on Track Changes (Review tab → Track Changes) and edit the text directly. Accepted edits are then applied back to the brief's HTML.</w:t>
      </w:r>
    </w:p>
    <w:p>
      <w:r>
        <w:rPr>
          <w:rFonts w:ascii="Arial" w:hAnsi="Arial"/>
          <w:i w:val="0"/>
          <w:color w:val="1A2433"/>
          <w:sz w:val="22"/>
        </w:rPr>
        <w:t>Edit wording only. Numbers, tier values, and counts are inserted from data — leave them as-is; they will be regenerated. The block labels and section headings are signposts, not part of the brief; don't edit those.</w:t>
      </w:r>
    </w:p>
    <w:p>
      <w:r>
        <w:rPr>
          <w:rFonts w:ascii="Arial" w:hAnsi="Arial"/>
          <w:i w:val="0"/>
          <w:color w:val="1A2433"/>
          <w:sz w:val="22"/>
        </w:rPr>
        <w:t>Every brief keeps all nine sections in fixed order, including any that don't apply (kept with a short note). Please keep that structure.</w:t>
      </w:r>
    </w:p>
    <w:p>
      <w:r>
        <w:rPr>
          <w:rFonts w:ascii="Arial" w:hAnsi="Arial"/>
          <w:b/>
          <w:color w:val="0B2545"/>
          <w:sz w:val="18"/>
        </w:rPr>
        <w:t>Front matter</w:t>
      </w:r>
    </w:p>
    <w:p>
      <w:r>
        <w:rPr>
          <w:rFonts w:ascii="Arial" w:hAnsi="Arial"/>
          <w:b/>
          <w:color w:val="0B2545"/>
          <w:sz w:val="18"/>
        </w:rPr>
        <w:t>Masthead (top strip)</w:t>
      </w:r>
    </w:p>
    <w:p>
      <w:r>
        <w:rPr>
          <w:rFonts w:ascii="Arial" w:hAnsi="Arial"/>
          <w:i w:val="0"/>
          <w:color w:val="1A2433"/>
          <w:sz w:val="22"/>
        </w:rPr>
        <w:t>COEQWAL Strategy Brief · Background</w:t>
      </w:r>
    </w:p>
    <w:p>
      <w:r>
        <w:rPr>
          <w:rFonts w:ascii="Arial" w:hAnsi="Arial"/>
          <w:b/>
          <w:color w:val="0B2545"/>
          <w:sz w:val="18"/>
        </w:rPr>
        <w:t>Eyebrow (sector)</w:t>
      </w:r>
    </w:p>
    <w:p>
      <w:r>
        <w:rPr>
          <w:rFonts w:ascii="Arial" w:hAnsi="Arial"/>
          <w:i w:val="0"/>
          <w:color w:val="1A2433"/>
          <w:sz w:val="22"/>
        </w:rPr>
        <w:t>Operational Strategy · Community water systems</w:t>
      </w:r>
    </w:p>
    <w:p>
      <w:r>
        <w:rPr>
          <w:rFonts w:ascii="Arial" w:hAnsi="Arial"/>
          <w:b/>
          <w:color w:val="0B2545"/>
          <w:sz w:val="18"/>
        </w:rPr>
        <w:t>Headline (H1)</w:t>
      </w:r>
    </w:p>
    <w:p>
      <w:r>
        <w:rPr>
          <w:rFonts w:ascii="Arial" w:hAnsi="Arial"/>
          <w:i w:val="0"/>
          <w:color w:val="1A2433"/>
          <w:sz w:val="22"/>
        </w:rPr>
        <w:t>Prioritizing functional delivery levels to community water systems A management strategy in the COEQWAL scenario library</w:t>
      </w:r>
    </w:p>
    <w:p>
      <w:r>
        <w:rPr>
          <w:rFonts w:ascii="Arial" w:hAnsi="Arial"/>
          <w:b/>
          <w:color w:val="0B2545"/>
          <w:sz w:val="18"/>
        </w:rPr>
        <w:t>Headline / pull-quote (TL;DR)</w:t>
      </w:r>
    </w:p>
    <w:p>
      <w:r>
        <w:rPr>
          <w:rFonts w:ascii="Arial" w:hAnsi="Arial"/>
          <w:i w:val="0"/>
          <w:color w:val="1A2433"/>
          <w:sz w:val="22"/>
        </w:rPr>
        <w:t>This strategy changes the allocation of CVP and SWP surface supplies so that deliveries to municipal and industrial contractors sufficient to meet a “functional” level of use — set at 70% of maximum contract entitlement — receive top priority. Remaining supply is allocated to agricultural contracts before M&amp;I allocations rise above the functional level.</w:t>
      </w:r>
    </w:p>
    <w:p>
      <w:r>
        <w:rPr>
          <w:rFonts w:ascii="Arial" w:hAnsi="Arial"/>
          <w:b/>
          <w:color w:val="0B2545"/>
          <w:sz w:val="18"/>
        </w:rPr>
        <w:t>Identity sentence</w:t>
      </w:r>
    </w:p>
    <w:p>
      <w:r>
        <w:rPr>
          <w:rFonts w:ascii="Arial" w:hAnsi="Arial"/>
          <w:i w:val="0"/>
          <w:color w:val="1A2433"/>
          <w:sz w:val="22"/>
        </w:rPr>
        <w:t>This brief describes prioritizing functional delivery levels to community water systems, one of 24 management strategies in the COEQWAL scenario library. Each strategy is simulated once under each of five hydroclimates; the references note at the end of this brief lists the model runs.</w:t>
      </w:r>
    </w:p>
    <w:p>
      <w:r>
        <w:rPr>
          <w:rFonts w:ascii="Arial" w:hAnsi="Arial"/>
          <w:b/>
          <w:color w:val="0B2545"/>
          <w:sz w:val="18"/>
        </w:rPr>
        <w:t>Search / meta description</w:t>
      </w:r>
    </w:p>
    <w:p>
      <w:r>
        <w:rPr>
          <w:rFonts w:ascii="Arial" w:hAnsi="Arial"/>
          <w:i w:val="0"/>
          <w:color w:val="1A2433"/>
          <w:sz w:val="22"/>
        </w:rPr>
        <w:t>A COEQWAL strategy background brief describing prioritizing functional delivery levels to community water systems, one of 24 management strategies in the COEQWAL scenario library: CVP and SWP allocation rules prioritizing a functional delivery level (70% of contract) to community water systems. Background only — no modeled results.</w:t>
      </w:r>
    </w:p>
    <w:p>
      <w:pPr>
        <w:pStyle w:val="Heading2"/>
      </w:pPr>
      <w:r>
        <w:rPr>
          <w:rFonts w:ascii="Arial" w:hAnsi="Arial"/>
          <w:b/>
          <w:color w:val="0B2545"/>
          <w:sz w:val="26"/>
        </w:rPr>
        <w:t>§2 What this strategy changes</w:t>
      </w:r>
    </w:p>
    <w:p>
      <w:r>
        <w:rPr>
          <w:rFonts w:ascii="Arial" w:hAnsi="Arial"/>
          <w:b/>
          <w:color w:val="0B2545"/>
          <w:sz w:val="18"/>
        </w:rPr>
        <w:t>¶1</w:t>
      </w:r>
    </w:p>
    <w:p>
      <w:r>
        <w:rPr>
          <w:rFonts w:ascii="Arial" w:hAnsi="Arial"/>
          <w:i w:val="0"/>
          <w:color w:val="1A2433"/>
          <w:sz w:val="22"/>
        </w:rPr>
        <w:t>The strategy prioritizes the allocation of surface supplies in the CVP and SWP systems to municipal and industrial (M&amp;I) contractors sufficient to meet a “functional” level of use as defined by the project's Drinking Water / Community Water Systems group. The functional level is set at 70% of the maximum contract entitlement.</w:t>
      </w:r>
    </w:p>
    <w:p>
      <w:r>
        <w:rPr>
          <w:rFonts w:ascii="Arial" w:hAnsi="Arial"/>
          <w:b/>
          <w:color w:val="0B2545"/>
          <w:sz w:val="18"/>
        </w:rPr>
        <w:t>¶2</w:t>
      </w:r>
    </w:p>
    <w:p>
      <w:r>
        <w:rPr>
          <w:rFonts w:ascii="Arial" w:hAnsi="Arial"/>
          <w:i w:val="0"/>
          <w:color w:val="1A2433"/>
          <w:sz w:val="22"/>
        </w:rPr>
        <w:t>CVP agricultural contracts (including Settlement and Exchange) are assigned a lower priority than under standard allocation procedures to accommodate the prioritized M&amp;I deliveries. SWP contracts are split into agricultural and M&amp;I, with a higher-priority allocation made to the first 70% of M&amp;I contract amounts. Remaining available supply is allocated to agricultural contracts before M&amp;I allocations are increased above the 70% level. All demands considered in allocations are set by maximum contract entitlements on an annual basis.</w:t>
      </w:r>
    </w:p>
    <w:p>
      <w:pPr>
        <w:pStyle w:val="Heading2"/>
      </w:pPr>
      <w:r>
        <w:rPr>
          <w:rFonts w:ascii="Arial" w:hAnsi="Arial"/>
          <w:b/>
          <w:color w:val="0B2545"/>
          <w:sz w:val="26"/>
        </w:rPr>
        <w:t>§3 The configuration in detail</w:t>
      </w:r>
    </w:p>
    <w:p>
      <w:r>
        <w:rPr>
          <w:rFonts w:ascii="Arial" w:hAnsi="Arial"/>
          <w:b/>
          <w:color w:val="0B2545"/>
          <w:sz w:val="18"/>
        </w:rPr>
        <w:t>¶1</w:t>
      </w:r>
    </w:p>
    <w:p>
      <w:r>
        <w:rPr>
          <w:rFonts w:ascii="Arial" w:hAnsi="Arial"/>
          <w:i w:val="0"/>
          <w:color w:val="1A2433"/>
          <w:sz w:val="22"/>
        </w:rPr>
        <w:t>The table compares the eight operational fields that define this strategy against current operations — the strategy that represents existing operational rules, recent (2020) land use, and TUCPs. Rows that match current operations are shown in light gray; rows that differ are highlighted.</w:t>
      </w:r>
    </w:p>
    <w:p>
      <w:pPr>
        <w:pStyle w:val="Heading2"/>
      </w:pPr>
      <w:r>
        <w:rPr>
          <w:rFonts w:ascii="Arial" w:hAnsi="Arial"/>
          <w:b/>
          <w:color w:val="0B2545"/>
          <w:sz w:val="26"/>
        </w:rPr>
        <w:t>§4 Lineage and source</w:t>
      </w:r>
    </w:p>
    <w:p>
      <w:r>
        <w:rPr>
          <w:rFonts w:ascii="Arial" w:hAnsi="Arial"/>
          <w:b/>
          <w:color w:val="0B2545"/>
          <w:sz w:val="18"/>
        </w:rPr>
        <w:t>¶1</w:t>
      </w:r>
    </w:p>
    <w:p>
      <w:r>
        <w:rPr>
          <w:rFonts w:ascii="Arial" w:hAnsi="Arial"/>
          <w:i w:val="0"/>
          <w:color w:val="1A2433"/>
          <w:sz w:val="22"/>
        </w:rPr>
        <w:t>This strategy was developed by the COEQWAL team from current operations, in coordination with the project's Drinking Water / Community Water Systems group, which defined the functional delivery level used as the priority target. The change is confined to the allocation and priority logic. The CalSim model files for this strategy are referenced by the run IDs in the references note at the end of this brief.</w:t>
      </w:r>
    </w:p>
    <w:p>
      <w:pPr>
        <w:pStyle w:val="Heading2"/>
      </w:pPr>
      <w:r>
        <w:rPr>
          <w:rFonts w:ascii="Arial" w:hAnsi="Arial"/>
          <w:b/>
          <w:color w:val="0B2545"/>
          <w:sz w:val="26"/>
        </w:rPr>
        <w:t>§5 Related strategies</w:t>
      </w:r>
    </w:p>
    <w:p>
      <w:r>
        <w:rPr>
          <w:rFonts w:ascii="Arial" w:hAnsi="Arial"/>
          <w:b/>
          <w:color w:val="0B2545"/>
          <w:sz w:val="18"/>
        </w:rPr>
        <w:t>Subheading</w:t>
      </w:r>
    </w:p>
    <w:p>
      <w:r>
        <w:rPr>
          <w:rFonts w:ascii="Arial" w:hAnsi="Arial"/>
          <w:i w:val="0"/>
          <w:color w:val="1A2433"/>
          <w:sz w:val="22"/>
        </w:rPr>
        <w:t>Related strategies — Community water systems</w:t>
      </w:r>
    </w:p>
    <w:p>
      <w:r>
        <w:rPr>
          <w:rFonts w:ascii="Arial" w:hAnsi="Arial"/>
          <w:b/>
          <w:color w:val="0B2545"/>
          <w:sz w:val="18"/>
        </w:rPr>
        <w:t>List item</w:t>
      </w:r>
    </w:p>
    <w:p>
      <w:r>
        <w:rPr>
          <w:rFonts w:ascii="Arial" w:hAnsi="Arial"/>
          <w:i w:val="0"/>
          <w:color w:val="1A2433"/>
          <w:sz w:val="22"/>
        </w:rPr>
        <w:t>Prioritizing human health delivery levels to community water systems. Surface-water allocation rules placing top priority on health-and-human-safety delivery levels to community water systems.</w:t>
      </w:r>
    </w:p>
    <w:p>
      <w:r>
        <w:rPr>
          <w:rFonts w:ascii="Arial" w:hAnsi="Arial"/>
          <w:b/>
          <w:color w:val="0B2545"/>
          <w:sz w:val="18"/>
        </w:rPr>
        <w:t>List item</w:t>
      </w:r>
    </w:p>
    <w:p>
      <w:r>
        <w:rPr>
          <w:rFonts w:ascii="Arial" w:hAnsi="Arial"/>
          <w:i w:val="0"/>
          <w:color w:val="1A2433"/>
          <w:sz w:val="22"/>
        </w:rPr>
        <w:t>Prioritizing full demands of community water systems. Surface-water allocation rules placing top priority on full contract deliveries to community water systems.</w:t>
      </w:r>
    </w:p>
    <w:p>
      <w:pPr>
        <w:pStyle w:val="Heading2"/>
      </w:pPr>
      <w:r>
        <w:rPr>
          <w:rFonts w:ascii="Arial" w:hAnsi="Arial"/>
          <w:b/>
          <w:color w:val="0B2545"/>
          <w:sz w:val="26"/>
        </w:rPr>
        <w:t>§6 What this doesn't say</w:t>
      </w:r>
    </w:p>
    <w:p>
      <w:r>
        <w:rPr>
          <w:rFonts w:ascii="Arial" w:hAnsi="Arial"/>
          <w:b/>
          <w:color w:val="0B2545"/>
          <w:sz w:val="18"/>
        </w:rPr>
        <w:t>¶1</w:t>
      </w:r>
    </w:p>
    <w:p>
      <w:r>
        <w:rPr>
          <w:rFonts w:ascii="Arial" w:hAnsi="Arial"/>
          <w:i w:val="0"/>
          <w:color w:val="1A2433"/>
          <w:sz w:val="22"/>
        </w:rPr>
        <w:t>This brief describes an idealized representation in CalSim, not a real-world policy proposal or implementation plan. The strategy as modeled may not capture all details necessary to support direct translation to actual operations. The brief does not predict, evaluate, or recommend any outcome — it describes what the scenario changes about CalSim's representation of the system. For what the model produces under this strategy, see the result briefs referenced in §7.</w:t>
      </w:r>
    </w:p>
    <w:p>
      <w:pPr>
        <w:pStyle w:val="Heading2"/>
      </w:pPr>
      <w:r>
        <w:rPr>
          <w:rFonts w:ascii="Arial" w:hAnsi="Arial"/>
          <w:b/>
          <w:color w:val="0B2545"/>
          <w:sz w:val="26"/>
        </w:rPr>
        <w:t>§7 See results for this strategy</w:t>
      </w:r>
    </w:p>
    <w:p>
      <w:r>
        <w:rPr>
          <w:rFonts w:ascii="Arial" w:hAnsi="Arial"/>
          <w:b/>
          <w:color w:val="0B2545"/>
          <w:sz w:val="18"/>
        </w:rPr>
        <w:t>¶1</w:t>
      </w:r>
    </w:p>
    <w:p>
      <w:r>
        <w:rPr>
          <w:rFonts w:ascii="Arial" w:hAnsi="Arial"/>
          <w:i w:val="0"/>
          <w:color w:val="1A2433"/>
          <w:sz w:val="22"/>
        </w:rPr>
        <w:t>To see modeled outcomes under this strategy across all nine sectors at the reference hydroclimate, see the Community water systems theme brief.</w:t>
      </w:r>
    </w:p>
    <w:p>
      <w:r>
        <w:rPr>
          <w:rFonts w:ascii="Arial" w:hAnsi="Arial"/>
          <w:b/>
          <w:color w:val="0B2545"/>
          <w:sz w:val="18"/>
        </w:rPr>
        <w:t>¶2</w:t>
      </w:r>
    </w:p>
    <w:p>
      <w:r>
        <w:rPr>
          <w:rFonts w:ascii="Arial" w:hAnsi="Arial"/>
          <w:i w:val="0"/>
          <w:color w:val="1A2433"/>
          <w:sz w:val="22"/>
        </w:rPr>
        <w:t>To see outcomes at a specific place, see the relevant LOI briefs — particularly those for community water systems.</w:t>
      </w:r>
    </w:p>
    <w:p>
      <w:r>
        <w:rPr>
          <w:rFonts w:ascii="Arial" w:hAnsi="Arial"/>
          <w:b/>
          <w:color w:val="0B2545"/>
          <w:sz w:val="18"/>
        </w:rPr>
        <w:t>Explorer link</w:t>
      </w:r>
    </w:p>
    <w:p>
      <w:r>
        <w:rPr>
          <w:rFonts w:ascii="Arial" w:hAnsi="Arial"/>
          <w:i w:val="0"/>
          <w:color w:val="1A2433"/>
          <w:sz w:val="22"/>
        </w:rPr>
        <w:t>Compare this strategy in the data explorer →</w:t>
      </w:r>
    </w:p>
    <w:p>
      <w:pPr>
        <w:pStyle w:val="Heading2"/>
      </w:pPr>
      <w:r>
        <w:rPr>
          <w:rFonts w:ascii="Arial" w:hAnsi="Arial"/>
          <w:b/>
          <w:color w:val="0B2545"/>
          <w:sz w:val="26"/>
        </w:rPr>
        <w:t>References — model runs</w:t>
      </w:r>
    </w:p>
    <w:p>
      <w:r>
        <w:rPr>
          <w:rFonts w:ascii="Arial" w:hAnsi="Arial"/>
          <w:b/>
          <w:color w:val="0B2545"/>
          <w:sz w:val="18"/>
        </w:rPr>
        <w:t>¶1</w:t>
      </w:r>
    </w:p>
    <w:p>
      <w:r>
        <w:rPr>
          <w:rFonts w:ascii="Arial" w:hAnsi="Arial"/>
          <w:i w:val="0"/>
          <w:color w:val="1A2433"/>
          <w:sz w:val="22"/>
        </w:rPr>
        <w:t>Each strategy is simulated once under each of five hydroclimates. The table lists the model run behind this strategy and the current-operations run it is compared against, for each hydroclimate, so any reader can trace this page to specific CalSim runs.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