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Prioritizing human health delivery levels to community water systems — COEQWAL Findings — Copy Deck for Language Review</w:t>
      </w:r>
    </w:p>
    <w:p>
      <w:r>
        <w:rPr>
          <w:rFonts w:ascii="Arial" w:hAnsi="Arial"/>
          <w:i/>
          <w:color w:val="667085"/>
          <w:sz w:val="19"/>
        </w:rPr>
        <w:t>Source: strategy_brief_prioritizing-human-health-delivery-levels-to-community-water-systems_v0_1.html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Community water systems</w:t>
      </w:r>
    </w:p>
    <w:p>
      <w:r>
        <w:rPr>
          <w:rFonts w:ascii="Arial" w:hAnsi="Arial"/>
          <w:b/>
          <w:color w:val="0B2545"/>
          <w:sz w:val="18"/>
        </w:rPr>
        <w:t>Headline (H1)</w:t>
      </w:r>
    </w:p>
    <w:p>
      <w:r>
        <w:rPr>
          <w:rFonts w:ascii="Arial" w:hAnsi="Arial"/>
          <w:i w:val="0"/>
          <w:color w:val="1A2433"/>
          <w:sz w:val="22"/>
        </w:rPr>
        <w:t>Prioritizing human health delivery levels to community water systems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changes the allocation of CVP and SWP surface supplies so that deliveries to municipal and industrial contractors sufficient to meet health-and-human-safety levels receive top priority. Agricultural contracts are assigned a lower priority than under standard allocation procedures to accommodate the prioritization.</w:t>
      </w:r>
    </w:p>
    <w:p>
      <w:r>
        <w:rPr>
          <w:rFonts w:ascii="Arial" w:hAnsi="Arial"/>
          <w:b/>
          <w:color w:val="0B2545"/>
          <w:sz w:val="18"/>
        </w:rPr>
        <w:t>Identity sentence</w:t>
      </w:r>
    </w:p>
    <w:p>
      <w:r>
        <w:rPr>
          <w:rFonts w:ascii="Arial" w:hAnsi="Arial"/>
          <w:i w:val="0"/>
          <w:color w:val="1A2433"/>
          <w:sz w:val="22"/>
        </w:rPr>
        <w:t>This brief describes prioritizing human health delivery levels to community water systems,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prioritizing human health delivery levels to community water systems, one of 24 management strategies in the COEQWAL scenario library: CVP and SWP allocation rules prioritizing health-and-human-safety delivery levels to community water systems.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prioritizes the allocation of surface supplies in the CVP and SWP systems to municipal and industrial (M&amp;I) contractors sufficient to meet the health-and-human-safety (HHS) levels defined by the project's Drinking Water / Community Water Systems group. CVP agricultural contracts (including Settlement and Exchange) are assigned a lower priority than under standard CVP allocation procedures; SWP contracts are split into agricultural and M&amp;I, with a higher-priority allocation made to a portion of the M&amp;I demand.</w:t>
      </w:r>
    </w:p>
    <w:p>
      <w:r>
        <w:rPr>
          <w:rFonts w:ascii="Arial" w:hAnsi="Arial"/>
          <w:b/>
          <w:color w:val="0B2545"/>
          <w:sz w:val="18"/>
        </w:rPr>
        <w:t>¶2</w:t>
      </w:r>
    </w:p>
    <w:p>
      <w:r>
        <w:rPr>
          <w:rFonts w:ascii="Arial" w:hAnsi="Arial"/>
          <w:i w:val="0"/>
          <w:color w:val="1A2433"/>
          <w:sz w:val="22"/>
        </w:rPr>
        <w:t>For both projects, an initial allotment of supply is allocated first to the HHS level (or as much of it as is available); agricultural, refuge, and remaining M&amp;I demands are then allocated from the remaining supply under standard rules. The minimum HHS delivery levels are assigned at each M&amp;I delivery endpoint as a weighted constraint in each timestep, to encourage consistent delivery of the allocated supply at the project level. All demands considered in allocations are set by maximum contract entitlements on an annual basis, while the HHS levels at each delivery endpoint are determined independently.</w:t>
      </w:r>
    </w:p>
    <w:p>
      <w:r>
        <w:rPr>
          <w:rFonts w:ascii="Arial" w:hAnsi="Arial"/>
          <w:b/>
          <w:color w:val="0B2545"/>
          <w:sz w:val="18"/>
        </w:rPr>
        <w:t>¶3</w:t>
      </w:r>
    </w:p>
    <w:p>
      <w:r>
        <w:rPr>
          <w:rFonts w:ascii="Arial" w:hAnsi="Arial"/>
          <w:i w:val="0"/>
          <w:color w:val="1A2433"/>
          <w:sz w:val="22"/>
        </w:rPr>
        <w:t>Non-project M&amp;I delivery endpoints are modified to include a high priority on the HHS delivery levels, but in general no allocation adjustments were made for those systems.</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in coordination with the project's Drinking Water / Community Water Systems group, which defined the health-and-human-safety delivery levels used as the priority target. The change is confined to the allocation and priority logic; flows, land use, and operating rules otherwise match current operations.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Community water systems</w:t>
      </w:r>
    </w:p>
    <w:p>
      <w:r>
        <w:rPr>
          <w:rFonts w:ascii="Arial" w:hAnsi="Arial"/>
          <w:b/>
          <w:color w:val="0B2545"/>
          <w:sz w:val="18"/>
        </w:rPr>
        <w:t>List item</w:t>
      </w:r>
    </w:p>
    <w:p>
      <w:r>
        <w:rPr>
          <w:rFonts w:ascii="Arial" w:hAnsi="Arial"/>
          <w:i w:val="0"/>
          <w:color w:val="1A2433"/>
          <w:sz w:val="22"/>
        </w:rPr>
        <w:t>Prioritizing functional delivery levels to community water systems. Surface-water allocation rules placing top priority on a functional delivery level — 70% of contract entitlement — to community water systems.</w:t>
      </w:r>
    </w:p>
    <w:p>
      <w:r>
        <w:rPr>
          <w:rFonts w:ascii="Arial" w:hAnsi="Arial"/>
          <w:b/>
          <w:color w:val="0B2545"/>
          <w:sz w:val="18"/>
        </w:rPr>
        <w:t>List item</w:t>
      </w:r>
    </w:p>
    <w:p>
      <w:r>
        <w:rPr>
          <w:rFonts w:ascii="Arial" w:hAnsi="Arial"/>
          <w:i w:val="0"/>
          <w:color w:val="1A2433"/>
          <w:sz w:val="22"/>
        </w:rPr>
        <w:t>Prioritizing full demands of community water systems. Surface-water allocation rules placing top priority on full contract deliveries to community water systems.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Community water systems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community water systems.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