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Reduce Delta outflows (35% of unimpaired flow) — COEQWAL Findings — Copy Deck for Language Review</w:t>
      </w:r>
    </w:p>
    <w:p>
      <w:r>
        <w:rPr>
          <w:rFonts w:ascii="Arial" w:hAnsi="Arial"/>
          <w:i/>
          <w:color w:val="667085"/>
          <w:sz w:val="19"/>
        </w:rPr>
        <w:t>Source: strategy_brief_reduce-delta-outflows-35-of-unimpaired-flow_v0_1.html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w:t>
      </w:r>
    </w:p>
    <w:p>
      <w:r>
        <w:rPr>
          <w:rFonts w:ascii="Arial" w:hAnsi="Arial"/>
          <w:b/>
          <w:color w:val="0B2545"/>
          <w:sz w:val="18"/>
        </w:rPr>
        <w:t>Headline (H1)</w:t>
      </w:r>
    </w:p>
    <w:p>
      <w:r>
        <w:rPr>
          <w:rFonts w:ascii="Arial" w:hAnsi="Arial"/>
          <w:i w:val="0"/>
          <w:color w:val="1A2433"/>
          <w:sz w:val="22"/>
        </w:rPr>
        <w:t>Reduce Delta outflows (35% of unimpaired flow)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adapts USBR's “Alternative 3” configuration — increased Delta outflow requirements supported by upstream actions — with the December–May outflow requirement set to roughly 35% of unimpaired flow, the lowest level among the four Delta-outflow strategies in the library.</w:t>
      </w:r>
    </w:p>
    <w:p>
      <w:r>
        <w:rPr>
          <w:rFonts w:ascii="Arial" w:hAnsi="Arial"/>
          <w:b/>
          <w:color w:val="0B2545"/>
          <w:sz w:val="18"/>
        </w:rPr>
        <w:t>Identity sentence</w:t>
      </w:r>
    </w:p>
    <w:p>
      <w:r>
        <w:rPr>
          <w:rFonts w:ascii="Arial" w:hAnsi="Arial"/>
          <w:i w:val="0"/>
          <w:color w:val="1A2433"/>
          <w:sz w:val="22"/>
        </w:rPr>
        <w:t>This brief describes reduce Delta outflows (35% of unimpaired flow),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reduce Delta outflows (35% of unimpaired flow), one of 24 management strategies in the COEQWAL scenario library: USBR's Alternative 3 configuration with the Delta outflow requirement at roughly 35% of unimpaired flow.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USBR undertook an exploratory modeling exercise while developing scenarios for what became the 2024 Long-Term Operations consultation. One set of scenarios, informed by discussions with environmental and non-governmental organizations, included increased Delta outflows and upstream actions to conserve water for environmental and ecological purposes. USBR formalized these actions as its “Alt3” (modified natural hydrograph) scenario; a detailed description appears in Chapter 3 of the Final Environmental Impact Statement for the consultation, published in November 2024.</w:t>
      </w:r>
    </w:p>
    <w:p>
      <w:r>
        <w:rPr>
          <w:rFonts w:ascii="Arial" w:hAnsi="Arial"/>
          <w:b/>
          <w:color w:val="0B2545"/>
          <w:sz w:val="18"/>
        </w:rPr>
        <w:t>¶2</w:t>
      </w:r>
    </w:p>
    <w:p>
      <w:r>
        <w:rPr>
          <w:rFonts w:ascii="Arial" w:hAnsi="Arial"/>
          <w:i w:val="0"/>
          <w:color w:val="1A2433"/>
          <w:sz w:val="22"/>
        </w:rPr>
        <w:t>This member of the set applies the Delta outflow requirement at roughly 35% of unimpaired flow, scaled down from the 65% level used in the original USBR studies. The NGO flow schedule that substitutes for the percentage requirement under a range of common conditions is scaled back proportionally.</w:t>
      </w:r>
    </w:p>
    <w:p>
      <w:r>
        <w:rPr>
          <w:rFonts w:ascii="Arial" w:hAnsi="Arial"/>
          <w:b/>
          <w:color w:val="0B2545"/>
          <w:sz w:val="18"/>
        </w:rPr>
        <w:t>¶3</w:t>
      </w:r>
    </w:p>
    <w:p>
      <w:r>
        <w:rPr>
          <w:rFonts w:ascii="Arial" w:hAnsi="Arial"/>
          <w:i w:val="0"/>
          <w:color w:val="1A2433"/>
          <w:sz w:val="22"/>
        </w:rPr>
        <w:t>The unimpaired-flow requirement applies only December through May and carries numerous overriding and off-ramping contingencies — simulated Delta outflow should not be expected to strictly match a 35%-of-unimpaired condition. Where unregulated flows are available (runoff on the valley floor during storms, for example), outflows can exceed the requirement level.</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adapted from USBR's Alt3 scenario, made available after the Long-Term Operations consultation concluded in December 2024. The COEQWAL team replaced the hydrology with DWR's adjusted historical dataset, updated agricultural demands to the 2020 LandIQ land-use dataset, and set the outflow requirement to this strategy's level.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the tributaries that contribute to Delta outflow.</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