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Relax Delta salinity standards — COEQWAL Findings — Copy Deck for Language Review</w:t>
      </w:r>
    </w:p>
    <w:p>
      <w:r>
        <w:rPr>
          <w:rFonts w:ascii="Arial" w:hAnsi="Arial"/>
          <w:i/>
          <w:color w:val="667085"/>
          <w:sz w:val="19"/>
        </w:rPr>
        <w:t>Source: strategy_brief_relax-delta-salinity-standards_v0_1.html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Strategy Brief · Background</w:t>
      </w:r>
    </w:p>
    <w:p>
      <w:r>
        <w:rPr>
          <w:rFonts w:ascii="Arial" w:hAnsi="Arial"/>
          <w:b/>
          <w:color w:val="0B2545"/>
          <w:sz w:val="18"/>
        </w:rPr>
        <w:t>Eyebrow (sector)</w:t>
      </w:r>
    </w:p>
    <w:p>
      <w:r>
        <w:rPr>
          <w:rFonts w:ascii="Arial" w:hAnsi="Arial"/>
          <w:i w:val="0"/>
          <w:color w:val="1A2433"/>
          <w:sz w:val="22"/>
        </w:rPr>
        <w:t>Operational Strategy · The Delta as a living place</w:t>
      </w:r>
    </w:p>
    <w:p>
      <w:r>
        <w:rPr>
          <w:rFonts w:ascii="Arial" w:hAnsi="Arial"/>
          <w:b/>
          <w:color w:val="0B2545"/>
          <w:sz w:val="18"/>
        </w:rPr>
        <w:t>Headline (H1)</w:t>
      </w:r>
    </w:p>
    <w:p>
      <w:r>
        <w:rPr>
          <w:rFonts w:ascii="Arial" w:hAnsi="Arial"/>
          <w:i w:val="0"/>
          <w:color w:val="1A2433"/>
          <w:sz w:val="22"/>
        </w:rPr>
        <w:t>Relax Delta salinity standards A management strategy in the COEQWAL scenario library</w:t>
      </w:r>
    </w:p>
    <w:p>
      <w:r>
        <w:rPr>
          <w:rFonts w:ascii="Arial" w:hAnsi="Arial"/>
          <w:b/>
          <w:color w:val="0B2545"/>
          <w:sz w:val="18"/>
        </w:rPr>
        <w:t>Headline / pull-quote (TL;DR)</w:t>
      </w:r>
    </w:p>
    <w:p>
      <w:r>
        <w:rPr>
          <w:rFonts w:ascii="Arial" w:hAnsi="Arial"/>
          <w:i w:val="0"/>
          <w:color w:val="1A2433"/>
          <w:sz w:val="22"/>
        </w:rPr>
        <w:t>This strategy removes the requirement for fall X2 salinity conditions to be met in August through October, as originally set by the 2008–2009 biological opinions. Other Delta flow and salinity requirements remain in place and may control system behavior regardless.</w:t>
      </w:r>
    </w:p>
    <w:p>
      <w:r>
        <w:rPr>
          <w:rFonts w:ascii="Arial" w:hAnsi="Arial"/>
          <w:b/>
          <w:color w:val="0B2545"/>
          <w:sz w:val="18"/>
        </w:rPr>
        <w:t>Identity sentence</w:t>
      </w:r>
    </w:p>
    <w:p>
      <w:r>
        <w:rPr>
          <w:rFonts w:ascii="Arial" w:hAnsi="Arial"/>
          <w:i w:val="0"/>
          <w:color w:val="1A2433"/>
          <w:sz w:val="22"/>
        </w:rPr>
        <w:t>This brief describes relax Delta salinity standards, one of 24 management strategies in the COEQWAL scenario library. Each strategy is simulated once under each of five hydroclimates; the references note at the end of this brief lists the model runs.</w:t>
      </w:r>
    </w:p>
    <w:p>
      <w:r>
        <w:rPr>
          <w:rFonts w:ascii="Arial" w:hAnsi="Arial"/>
          <w:b/>
          <w:color w:val="0B2545"/>
          <w:sz w:val="18"/>
        </w:rPr>
        <w:t>Search / meta description</w:t>
      </w:r>
    </w:p>
    <w:p>
      <w:r>
        <w:rPr>
          <w:rFonts w:ascii="Arial" w:hAnsi="Arial"/>
          <w:i w:val="0"/>
          <w:color w:val="1A2433"/>
          <w:sz w:val="22"/>
        </w:rPr>
        <w:t>A COEQWAL strategy background brief describing relax Delta salinity standards, one of 24 management strategies in the COEQWAL scenario library: removal of the fall X2 salinity requirement, with other Delta requirements kept in place. Background only — no modeled results.</w:t>
      </w:r>
    </w:p>
    <w:p>
      <w:pPr>
        <w:pStyle w:val="Heading2"/>
      </w:pPr>
      <w:r>
        <w:rPr>
          <w:rFonts w:ascii="Arial" w:hAnsi="Arial"/>
          <w:b/>
          <w:color w:val="0B2545"/>
          <w:sz w:val="26"/>
        </w:rPr>
        <w:t>§2 What this strategy changes</w:t>
      </w:r>
    </w:p>
    <w:p>
      <w:r>
        <w:rPr>
          <w:rFonts w:ascii="Arial" w:hAnsi="Arial"/>
          <w:b/>
          <w:color w:val="0B2545"/>
          <w:sz w:val="18"/>
        </w:rPr>
        <w:t>¶1</w:t>
      </w:r>
    </w:p>
    <w:p>
      <w:r>
        <w:rPr>
          <w:rFonts w:ascii="Arial" w:hAnsi="Arial"/>
          <w:i w:val="0"/>
          <w:color w:val="1A2433"/>
          <w:sz w:val="22"/>
        </w:rPr>
        <w:t>In recent years, many parties have called for the removal or loosening of the requirement that certain X2 conditions — the position of the Delta's salinity gradient — be met in August through October (“fall X2”), as originally set by the 2008–2009 biological opinions, arguing that the actions have not had the intended benefit for Delta ecology and fish. The most recent revised USBR proposed operation, updating the version released in December 2024, also removes the fall X2 requirement.</w:t>
      </w:r>
    </w:p>
    <w:p>
      <w:r>
        <w:rPr>
          <w:rFonts w:ascii="Arial" w:hAnsi="Arial"/>
          <w:b/>
          <w:color w:val="0B2545"/>
          <w:sz w:val="18"/>
        </w:rPr>
        <w:t>¶2</w:t>
      </w:r>
    </w:p>
    <w:p>
      <w:r>
        <w:rPr>
          <w:rFonts w:ascii="Arial" w:hAnsi="Arial"/>
          <w:i w:val="0"/>
          <w:color w:val="1A2433"/>
          <w:sz w:val="22"/>
        </w:rPr>
        <w:t>The strategy implements a version of this action: the requirement for X2 conditions to be met in late summer and fall is removed. Other Delta flow and salinity requirements are still in place and may control system behavior regardless of whether the fall X2 requirement is in effect.</w:t>
      </w:r>
    </w:p>
    <w:p>
      <w:pPr>
        <w:pStyle w:val="Heading2"/>
      </w:pPr>
      <w:r>
        <w:rPr>
          <w:rFonts w:ascii="Arial" w:hAnsi="Arial"/>
          <w:b/>
          <w:color w:val="0B2545"/>
          <w:sz w:val="26"/>
        </w:rPr>
        <w:t>§3 The configuration in detail</w:t>
      </w:r>
    </w:p>
    <w:p>
      <w:r>
        <w:rPr>
          <w:rFonts w:ascii="Arial" w:hAnsi="Arial"/>
          <w:b/>
          <w:color w:val="0B2545"/>
          <w:sz w:val="18"/>
        </w:rPr>
        <w:t>¶1</w:t>
      </w:r>
    </w:p>
    <w:p>
      <w:r>
        <w:rPr>
          <w:rFonts w:ascii="Arial" w:hAnsi="Arial"/>
          <w:i w:val="0"/>
          <w:color w:val="1A2433"/>
          <w:sz w:val="22"/>
        </w:rPr>
        <w:t>The table compares the eight operational fields that define this strategy against current operations — the strategy that represents existing operational rules, recent (2020) land use, and TUCPs. Rows that match current operations are shown in light gray; rows that differ are highlighted.</w:t>
      </w:r>
    </w:p>
    <w:p>
      <w:pPr>
        <w:pStyle w:val="Heading2"/>
      </w:pPr>
      <w:r>
        <w:rPr>
          <w:rFonts w:ascii="Arial" w:hAnsi="Arial"/>
          <w:b/>
          <w:color w:val="0B2545"/>
          <w:sz w:val="26"/>
        </w:rPr>
        <w:t>§4 Lineage and source</w:t>
      </w:r>
    </w:p>
    <w:p>
      <w:r>
        <w:rPr>
          <w:rFonts w:ascii="Arial" w:hAnsi="Arial"/>
          <w:b/>
          <w:color w:val="0B2545"/>
          <w:sz w:val="18"/>
        </w:rPr>
        <w:t>¶1</w:t>
      </w:r>
    </w:p>
    <w:p>
      <w:r>
        <w:rPr>
          <w:rFonts w:ascii="Arial" w:hAnsi="Arial"/>
          <w:i w:val="0"/>
          <w:color w:val="1A2433"/>
          <w:sz w:val="22"/>
        </w:rPr>
        <w:t>This strategy was developed by the COEQWAL team from current operations by removing the fall X2 salinity (and associated flow) requirements. It is otherwise unchanged from current operations. The CalSim model files for this strategy are referenced by the run IDs in the references note at the end of this brief.</w:t>
      </w:r>
    </w:p>
    <w:p>
      <w:pPr>
        <w:pStyle w:val="Heading2"/>
      </w:pPr>
      <w:r>
        <w:rPr>
          <w:rFonts w:ascii="Arial" w:hAnsi="Arial"/>
          <w:b/>
          <w:color w:val="0B2545"/>
          <w:sz w:val="26"/>
        </w:rPr>
        <w:t>§5 Related strategies</w:t>
      </w:r>
    </w:p>
    <w:p>
      <w:r>
        <w:rPr>
          <w:rFonts w:ascii="Arial" w:hAnsi="Arial"/>
          <w:b/>
          <w:color w:val="0B2545"/>
          <w:sz w:val="18"/>
        </w:rPr>
        <w:t>Subheading</w:t>
      </w:r>
    </w:p>
    <w:p>
      <w:r>
        <w:rPr>
          <w:rFonts w:ascii="Arial" w:hAnsi="Arial"/>
          <w:i w:val="0"/>
          <w:color w:val="1A2433"/>
          <w:sz w:val="22"/>
        </w:rPr>
        <w:t>Related strategies — The Delta as a living place</w:t>
      </w:r>
    </w:p>
    <w:p>
      <w:r>
        <w:rPr>
          <w:rFonts w:ascii="Arial" w:hAnsi="Arial"/>
          <w:b/>
          <w:color w:val="0B2545"/>
          <w:sz w:val="18"/>
        </w:rPr>
        <w:t>List item</w:t>
      </w:r>
    </w:p>
    <w:p>
      <w:r>
        <w:rPr>
          <w:rFonts w:ascii="Arial" w:hAnsi="Arial"/>
          <w:i w:val="0"/>
          <w:color w:val="1A2433"/>
          <w:sz w:val="22"/>
        </w:rPr>
        <w:t>Increase Delta outflows (65% of unimpaired flow). USBR Alternative 3 for the Long-Term Operation of the Central Valley Project, with Delta outflow requirements set to roughly 65% of unimpaired volume.</w:t>
      </w:r>
    </w:p>
    <w:p>
      <w:r>
        <w:rPr>
          <w:rFonts w:ascii="Arial" w:hAnsi="Arial"/>
          <w:b/>
          <w:color w:val="0B2545"/>
          <w:sz w:val="18"/>
        </w:rPr>
        <w:t>List item</w:t>
      </w:r>
    </w:p>
    <w:p>
      <w:r>
        <w:rPr>
          <w:rFonts w:ascii="Arial" w:hAnsi="Arial"/>
          <w:i w:val="0"/>
          <w:color w:val="1A2433"/>
          <w:sz w:val="22"/>
        </w:rPr>
        <w:t>Reduce Delta outflows (35% of unimpaired flow). USBR Alternative 3 for the Long-Term Operation of the Central Valley Project, with Delta outflow requirements set to roughly 35% of unimpaired volume.</w:t>
      </w:r>
    </w:p>
    <w:p>
      <w:r>
        <w:rPr>
          <w:rFonts w:ascii="Arial" w:hAnsi="Arial"/>
          <w:b/>
          <w:color w:val="0B2545"/>
          <w:sz w:val="18"/>
        </w:rPr>
        <w:t>List item</w:t>
      </w:r>
    </w:p>
    <w:p>
      <w:r>
        <w:rPr>
          <w:rFonts w:ascii="Arial" w:hAnsi="Arial"/>
          <w:i w:val="0"/>
          <w:color w:val="1A2433"/>
          <w:sz w:val="22"/>
        </w:rPr>
        <w:t>Maintain Delta outflows (45% of unimpaired flow). USBR Alternative 3 for the Long-Term Operation of the Central Valley Project, with Delta outflow requirements set to roughly 45% of unimpaired volume.</w:t>
      </w:r>
    </w:p>
    <w:p>
      <w:r>
        <w:rPr>
          <w:rFonts w:ascii="Arial" w:hAnsi="Arial"/>
          <w:b/>
          <w:color w:val="0B2545"/>
          <w:sz w:val="18"/>
        </w:rPr>
        <w:t>List item</w:t>
      </w:r>
    </w:p>
    <w:p>
      <w:r>
        <w:rPr>
          <w:rFonts w:ascii="Arial" w:hAnsi="Arial"/>
          <w:i w:val="0"/>
          <w:color w:val="1A2433"/>
          <w:sz w:val="22"/>
        </w:rPr>
        <w:t>Increase Delta outflows (55% of unimpaired flow). USBR Alternative 3 for the Long-Term Operation of the Central Valley Project, with Delta outflow requirements set to roughly 55% of unimpaired volume.</w:t>
      </w:r>
    </w:p>
    <w:p>
      <w:r>
        <w:rPr>
          <w:rFonts w:ascii="Arial" w:hAnsi="Arial"/>
          <w:b/>
          <w:color w:val="0B2545"/>
          <w:sz w:val="18"/>
        </w:rPr>
        <w:t>List item</w:t>
      </w:r>
    </w:p>
    <w:p>
      <w:r>
        <w:rPr>
          <w:rFonts w:ascii="Arial" w:hAnsi="Arial"/>
          <w:i w:val="0"/>
          <w:color w:val="1A2433"/>
          <w:sz w:val="22"/>
        </w:rPr>
        <w:t>Increase Shasta carry-over storage. Spring CVP allocation reductions that raise the target carry-over storage in Shasta reservoir by 20% relative to current operations.</w:t>
      </w:r>
    </w:p>
    <w:p>
      <w:r>
        <w:rPr>
          <w:rFonts w:ascii="Arial" w:hAnsi="Arial"/>
          <w:b/>
          <w:color w:val="0B2545"/>
          <w:sz w:val="18"/>
        </w:rPr>
        <w:t>List item</w:t>
      </w:r>
    </w:p>
    <w:p>
      <w:r>
        <w:rPr>
          <w:rFonts w:ascii="Arial" w:hAnsi="Arial"/>
          <w:i w:val="0"/>
          <w:color w:val="1A2433"/>
          <w:sz w:val="22"/>
        </w:rPr>
        <w:t>Delta Conveyance Project. The Delta Conveyance tunnel (6,000 cfs North Delta Diversion capacity) with 2025 voluntary-agreement flows and Sacramento Valley rice-fallowing actions.</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This brief describes an idealized representation in CalSim, not a real-world policy proposal or implementation plan. The strategy as modeled may not capture all details necessary to support direct translation to actual operations. The brief does not predict, evaluate, or recommend any outcome — it describes what the scenario changes about CalSim's representation of the system. For what the model produces under this strategy, see the result briefs referenced in §7.</w:t>
      </w:r>
    </w:p>
    <w:p>
      <w:pPr>
        <w:pStyle w:val="Heading2"/>
      </w:pPr>
      <w:r>
        <w:rPr>
          <w:rFonts w:ascii="Arial" w:hAnsi="Arial"/>
          <w:b/>
          <w:color w:val="0B2545"/>
          <w:sz w:val="26"/>
        </w:rPr>
        <w:t>§7 See results for this strategy</w:t>
      </w:r>
    </w:p>
    <w:p>
      <w:r>
        <w:rPr>
          <w:rFonts w:ascii="Arial" w:hAnsi="Arial"/>
          <w:b/>
          <w:color w:val="0B2545"/>
          <w:sz w:val="18"/>
        </w:rPr>
        <w:t>¶1</w:t>
      </w:r>
    </w:p>
    <w:p>
      <w:r>
        <w:rPr>
          <w:rFonts w:ascii="Arial" w:hAnsi="Arial"/>
          <w:i w:val="0"/>
          <w:color w:val="1A2433"/>
          <w:sz w:val="22"/>
        </w:rPr>
        <w:t>To see modeled outcomes under this strategy across all nine sectors at the reference hydroclimate, see the The Delta as a living place theme brief.</w:t>
      </w:r>
    </w:p>
    <w:p>
      <w:r>
        <w:rPr>
          <w:rFonts w:ascii="Arial" w:hAnsi="Arial"/>
          <w:b/>
          <w:color w:val="0B2545"/>
          <w:sz w:val="18"/>
        </w:rPr>
        <w:t>¶2</w:t>
      </w:r>
    </w:p>
    <w:p>
      <w:r>
        <w:rPr>
          <w:rFonts w:ascii="Arial" w:hAnsi="Arial"/>
          <w:i w:val="0"/>
          <w:color w:val="1A2433"/>
          <w:sz w:val="22"/>
        </w:rPr>
        <w:t>To see outcomes at a specific place, see the relevant LOI briefs — particularly those for Delta locations.</w:t>
      </w:r>
    </w:p>
    <w:p>
      <w:r>
        <w:rPr>
          <w:rFonts w:ascii="Arial" w:hAnsi="Arial"/>
          <w:b/>
          <w:color w:val="0B2545"/>
          <w:sz w:val="18"/>
        </w:rPr>
        <w:t>Explorer link</w:t>
      </w:r>
    </w:p>
    <w:p>
      <w:r>
        <w:rPr>
          <w:rFonts w:ascii="Arial" w:hAnsi="Arial"/>
          <w:i w:val="0"/>
          <w:color w:val="1A2433"/>
          <w:sz w:val="22"/>
        </w:rPr>
        <w:t>Compare this strategy in the data explorer →</w:t>
      </w:r>
    </w:p>
    <w:p>
      <w:pPr>
        <w:pStyle w:val="Heading2"/>
      </w:pPr>
      <w:r>
        <w:rPr>
          <w:rFonts w:ascii="Arial" w:hAnsi="Arial"/>
          <w:b/>
          <w:color w:val="0B2545"/>
          <w:sz w:val="26"/>
        </w:rPr>
        <w:t>References — model runs</w:t>
      </w:r>
    </w:p>
    <w:p>
      <w:r>
        <w:rPr>
          <w:rFonts w:ascii="Arial" w:hAnsi="Arial"/>
          <w:b/>
          <w:color w:val="0B2545"/>
          <w:sz w:val="18"/>
        </w:rPr>
        <w:t>¶1</w:t>
      </w:r>
    </w:p>
    <w:p>
      <w:r>
        <w:rPr>
          <w:rFonts w:ascii="Arial" w:hAnsi="Arial"/>
          <w:i w:val="0"/>
          <w:color w:val="1A2433"/>
          <w:sz w:val="22"/>
        </w:rPr>
        <w:t>Each strategy is simulated once under each of five hydroclimates. The table lists the model run behind this strategy and the current-operations run it is compared against, for each hydroclimate, so any reader can trace this page to specific CalSim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