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Farms and groundwater — Theme narrative — Copy Deck for Language Review</w:t>
      </w:r>
    </w:p>
    <w:p>
      <w:r>
        <w:rPr>
          <w:rFonts w:ascii="Arial" w:hAnsi="Arial"/>
          <w:i/>
          <w:color w:val="667085"/>
          <w:sz w:val="19"/>
        </w:rPr>
        <w:t>Source: theme_ag_gw_farms-and-groundwater_narrative_prototype_v0_2.html</w:t>
      </w:r>
    </w:p>
    <w:p>
      <w:r>
        <w:rPr>
          <w:rFonts w:ascii="Arial" w:hAnsi="Arial"/>
          <w:i/>
          <w:color w:val="667085"/>
          <w:sz w:val="19"/>
        </w:rPr>
        <w:t>The numbers in the text below are inserted from data and will be regenerated for the published brief. Edit the wording, not the numbers.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Theme Narrative · Public</w:t>
      </w:r>
    </w:p>
    <w:p>
      <w:r>
        <w:rPr>
          <w:rFonts w:ascii="Arial" w:hAnsi="Arial"/>
          <w:b/>
          <w:color w:val="0B2545"/>
          <w:sz w:val="18"/>
        </w:rPr>
        <w:t>Eyebrow (sector)</w:t>
      </w:r>
    </w:p>
    <w:p>
      <w:r>
        <w:rPr>
          <w:rFonts w:ascii="Arial" w:hAnsi="Arial"/>
          <w:i w:val="0"/>
          <w:color w:val="1A2433"/>
          <w:sz w:val="22"/>
        </w:rPr>
        <w:t>Farms and groundwater · Public Narrative</w:t>
      </w:r>
    </w:p>
    <w:p>
      <w:r>
        <w:rPr>
          <w:rFonts w:ascii="Arial" w:hAnsi="Arial"/>
          <w:b/>
          <w:color w:val="0B2545"/>
          <w:sz w:val="18"/>
        </w:rPr>
        <w:t>Headline (H1)</w:t>
      </w:r>
    </w:p>
    <w:p>
      <w:r>
        <w:rPr>
          <w:rFonts w:ascii="Arial" w:hAnsi="Arial"/>
          <w:i w:val="0"/>
          <w:color w:val="1A2433"/>
          <w:sz w:val="22"/>
        </w:rPr>
        <w:t>Farms and groundwater</w:t>
      </w:r>
    </w:p>
    <w:p>
      <w:r>
        <w:rPr>
          <w:rFonts w:ascii="Arial" w:hAnsi="Arial"/>
          <w:b/>
          <w:color w:val="0B2545"/>
          <w:sz w:val="18"/>
        </w:rPr>
        <w:t>Search / meta description</w:t>
      </w:r>
    </w:p>
    <w:p>
      <w:r>
        <w:rPr>
          <w:rFonts w:ascii="Arial" w:hAnsi="Arial"/>
          <w:i w:val="0"/>
          <w:color w:val="1A2433"/>
          <w:sz w:val="22"/>
        </w:rPr>
        <w:t>The COEQWAL farms-and-groundwater theme narrative: how can California grow food and support farming communities while protecting groundwater and sustaining the system for the future?</w:t>
      </w:r>
    </w:p>
    <w:p>
      <w:pPr>
        <w:pStyle w:val="Heading2"/>
      </w:pPr>
      <w:r>
        <w:rPr>
          <w:rFonts w:ascii="Arial" w:hAnsi="Arial"/>
          <w:b/>
          <w:color w:val="0B2545"/>
          <w:sz w:val="26"/>
        </w:rPr>
        <w:t>1. The core question</w:t>
      </w:r>
    </w:p>
    <w:p>
      <w:r>
        <w:rPr>
          <w:rFonts w:ascii="Arial" w:hAnsi="Arial"/>
          <w:b/>
          <w:color w:val="0B2545"/>
          <w:sz w:val="18"/>
        </w:rPr>
        <w:t>¶1</w:t>
      </w:r>
    </w:p>
    <w:p>
      <w:r>
        <w:rPr>
          <w:rFonts w:ascii="Arial" w:hAnsi="Arial"/>
          <w:i w:val="0"/>
          <w:color w:val="1A2433"/>
          <w:sz w:val="22"/>
        </w:rPr>
        <w:t>How can California continue to grow food and support farming communities, while protecting groundwater and sustaining the system for the future?</w:t>
      </w:r>
    </w:p>
    <w:p>
      <w:r>
        <w:rPr>
          <w:rFonts w:ascii="Arial" w:hAnsi="Arial"/>
          <w:b/>
          <w:color w:val="0B2545"/>
          <w:sz w:val="18"/>
        </w:rPr>
        <w:t>¶2</w:t>
      </w:r>
    </w:p>
    <w:p>
      <w:r>
        <w:rPr>
          <w:rFonts w:ascii="Arial" w:hAnsi="Arial"/>
          <w:i w:val="0"/>
          <w:color w:val="1A2433"/>
          <w:sz w:val="22"/>
        </w:rPr>
        <w:t>Farms need reliable water to grow crops and stay economically viable. This water comes from two main sources: surface water diverted from rivers and reservoirs and groundwater pumped from aquifers underground. These two sources are closely connected. When surface water becomes limited, people tend to use more groundwater. For example, during droughts or periods of high demand, farmers often rely more on groundwater. Surface water from rivers or applied irrigation water can also percolate through the soil to recharge aquifers. If too much groundwater is pumped or too little surface water is recharged, groundwater can become an unsustainable source of supply, putting farms, drinking water supplies, and ecosystems at risk.</w:t>
      </w:r>
    </w:p>
    <w:p>
      <w:pPr>
        <w:pStyle w:val="Heading2"/>
      </w:pPr>
      <w:r>
        <w:rPr>
          <w:rFonts w:ascii="Arial" w:hAnsi="Arial"/>
          <w:b/>
          <w:color w:val="0B2545"/>
          <w:sz w:val="26"/>
        </w:rPr>
        <w:t>2. Why this matters</w:t>
      </w:r>
    </w:p>
    <w:p>
      <w:r>
        <w:rPr>
          <w:rFonts w:ascii="Arial" w:hAnsi="Arial"/>
          <w:b/>
          <w:color w:val="0B2545"/>
          <w:sz w:val="18"/>
        </w:rPr>
        <w:t>¶1</w:t>
      </w:r>
    </w:p>
    <w:p>
      <w:r>
        <w:rPr>
          <w:rFonts w:ascii="Arial" w:hAnsi="Arial"/>
          <w:i w:val="0"/>
          <w:color w:val="1A2433"/>
          <w:sz w:val="22"/>
        </w:rPr>
        <w:t>California grows a large share of the nation's fruits, nuts, and vegetables. Farming supports jobs, local economies, and food systems across the country. But agriculture is also one of the largest water users in the state.</w:t>
      </w:r>
    </w:p>
    <w:p>
      <w:r>
        <w:rPr>
          <w:rFonts w:ascii="Arial" w:hAnsi="Arial"/>
          <w:b/>
          <w:color w:val="0B2545"/>
          <w:sz w:val="18"/>
        </w:rPr>
        <w:t>¶2</w:t>
      </w:r>
    </w:p>
    <w:p>
      <w:r>
        <w:rPr>
          <w:rFonts w:ascii="Arial" w:hAnsi="Arial"/>
          <w:i w:val="0"/>
          <w:color w:val="1A2433"/>
          <w:sz w:val="22"/>
        </w:rPr>
        <w:t>In wet years, farms receive more surface water deliveries from reservoirs, rivers, and canals. In dry years, when surface supplies are reduced, farmers often pump more groundwater to make up the difference. Over time, heavy groundwater pumping can lower water tables, increase costs for farmers, and cause land subsidence. Some regions, especially in the San Joaquin Valley, have seen long-term groundwater declines. The over-draft of groundwater has brought several undesirable consequences, including land subsidence, damaged infrastructure, dry wells, and impacts to freshwater ecosystems.</w:t>
      </w:r>
    </w:p>
    <w:p>
      <w:r>
        <w:rPr>
          <w:rFonts w:ascii="Arial" w:hAnsi="Arial"/>
          <w:b/>
          <w:color w:val="0B2545"/>
          <w:sz w:val="18"/>
        </w:rPr>
        <w:t>¶3</w:t>
      </w:r>
    </w:p>
    <w:p>
      <w:r>
        <w:rPr>
          <w:rFonts w:ascii="Arial" w:hAnsi="Arial"/>
          <w:i w:val="0"/>
          <w:color w:val="1A2433"/>
          <w:sz w:val="22"/>
        </w:rPr>
        <w:t>New groundwater laws, such as the Sustainable Groundwater Management Act (SGMA), require regions to bring groundwater use into balance over time. This may involve reducing pumping, shifting crops, or retiring farmland. At the same time, climate change is reducing snowpack and increasing drought intensity, making surface water supplies less reliable.</w:t>
      </w:r>
    </w:p>
    <w:p>
      <w:r>
        <w:rPr>
          <w:rFonts w:ascii="Arial" w:hAnsi="Arial"/>
          <w:b/>
          <w:color w:val="0B2545"/>
          <w:sz w:val="18"/>
        </w:rPr>
        <w:t>¶4</w:t>
      </w:r>
    </w:p>
    <w:p>
      <w:r>
        <w:rPr>
          <w:rFonts w:ascii="Arial" w:hAnsi="Arial"/>
          <w:i w:val="0"/>
          <w:color w:val="1A2433"/>
          <w:sz w:val="22"/>
        </w:rPr>
        <w:t>Understanding how surface water deliveries, groundwater use, agricultural production, and climate stress interact is essential for planning a stable and sustainable food future.</w:t>
      </w:r>
    </w:p>
    <w:p>
      <w:r>
        <w:rPr>
          <w:rFonts w:ascii="Arial" w:hAnsi="Arial"/>
          <w:b/>
          <w:color w:val="0B2545"/>
          <w:sz w:val="18"/>
        </w:rPr>
        <w:t>¶5</w:t>
      </w:r>
    </w:p>
    <w:p>
      <w:r>
        <w:rPr>
          <w:rFonts w:ascii="Arial" w:hAnsi="Arial"/>
          <w:i w:val="0"/>
          <w:color w:val="1A2433"/>
          <w:sz w:val="22"/>
        </w:rPr>
        <w:t>The graphics compare two hypothetical scenarios that illustrate groundwater conditions over 10 years. Without pumping limits (Scenario 1), groundwater use increases during drought, causing significant declines in groundwater levels. With pumping limits (Scenario 2), some agricultural water demand goes unmet during drought, but groundwater levels remain relatively stable.</w:t>
      </w:r>
    </w:p>
    <w:p>
      <w:r>
        <w:rPr>
          <w:rFonts w:ascii="Arial" w:hAnsi="Arial"/>
          <w:b/>
          <w:color w:val="0B2545"/>
          <w:sz w:val="18"/>
        </w:rPr>
        <w:t>¶6</w:t>
      </w:r>
    </w:p>
    <w:p>
      <w:r>
        <w:rPr>
          <w:rFonts w:ascii="Arial" w:hAnsi="Arial"/>
          <w:i w:val="0"/>
          <w:color w:val="1A2433"/>
          <w:sz w:val="22"/>
        </w:rPr>
        <w:t>These tradeoffs affect the economics of Central Valley agriculture. Pumping limits can reduce agricultural revenue during drought, but also help to sustain groundwater and support productive land use over the long term.</w:t>
      </w:r>
    </w:p>
    <w:p>
      <w:pPr>
        <w:pStyle w:val="Heading2"/>
      </w:pPr>
      <w:r>
        <w:rPr>
          <w:rFonts w:ascii="Arial" w:hAnsi="Arial"/>
          <w:b/>
          <w:color w:val="0B2545"/>
          <w:sz w:val="26"/>
        </w:rPr>
        <w:t>3. What this theme focuses on</w:t>
      </w:r>
    </w:p>
    <w:p>
      <w:r>
        <w:rPr>
          <w:rFonts w:ascii="Arial" w:hAnsi="Arial"/>
          <w:b/>
          <w:color w:val="0B2545"/>
          <w:sz w:val="18"/>
        </w:rPr>
        <w:t>¶1</w:t>
      </w:r>
    </w:p>
    <w:p>
      <w:r>
        <w:rPr>
          <w:rFonts w:ascii="Arial" w:hAnsi="Arial"/>
          <w:i w:val="0"/>
          <w:color w:val="1A2433"/>
          <w:sz w:val="22"/>
        </w:rPr>
        <w:t>Surface water and groundwater are part of a single, connected system. Reservoir storage determines how much water can be delivered through canals. When surface deliveries are reduced, farmers often rely more heavily on groundwater. Over time, this can lead to declining groundwater levels if pumping exceeds recharge.</w:t>
      </w:r>
    </w:p>
    <w:p>
      <w:r>
        <w:rPr>
          <w:rFonts w:ascii="Arial" w:hAnsi="Arial"/>
          <w:b/>
          <w:color w:val="0B2545"/>
          <w:sz w:val="18"/>
        </w:rPr>
        <w:t>¶2</w:t>
      </w:r>
    </w:p>
    <w:p>
      <w:r>
        <w:rPr>
          <w:rFonts w:ascii="Arial" w:hAnsi="Arial"/>
          <w:i w:val="0"/>
          <w:color w:val="1A2433"/>
          <w:sz w:val="22"/>
        </w:rPr>
        <w:t>Groundwater levels change slowly over time. Long-term trends matter more than single years. As groundwater laws are implemented, some regions may need to reduce pumping. Farmers may respond by fallowing land, changing crops, improving efficiency, or shifting water sources. These changes can affect both agricultural production and local economies.</w:t>
      </w:r>
    </w:p>
    <w:p>
      <w:r>
        <w:rPr>
          <w:rFonts w:ascii="Arial" w:hAnsi="Arial"/>
          <w:b/>
          <w:color w:val="0B2545"/>
          <w:sz w:val="18"/>
        </w:rPr>
        <w:t>¶3</w:t>
      </w:r>
    </w:p>
    <w:p>
      <w:r>
        <w:rPr>
          <w:rFonts w:ascii="Arial" w:hAnsi="Arial"/>
          <w:i w:val="0"/>
          <w:color w:val="1A2433"/>
          <w:sz w:val="22"/>
        </w:rPr>
        <w:t>Decisions about groundwater, land use, and surface water deliveries affect multiple parts of the system. Reducing groundwater pumping may improve flows in rivers. While pumping reductions can limit crop production in the short term, preventing groundwater over-draft can support long-term agricultural sustainability. Changes in one region may also shift pressures to other regions or water sources, creating complex system-wide responses.</w:t>
      </w:r>
    </w:p>
    <w:p>
      <w:pPr>
        <w:pStyle w:val="Heading2"/>
      </w:pPr>
      <w:r>
        <w:rPr>
          <w:rFonts w:ascii="Arial" w:hAnsi="Arial"/>
          <w:b/>
          <w:color w:val="0B2545"/>
          <w:sz w:val="26"/>
        </w:rPr>
        <w:t>4. What to keep in mind as you explore this theme</w:t>
      </w:r>
    </w:p>
    <w:p>
      <w:r>
        <w:rPr>
          <w:rFonts w:ascii="Arial" w:hAnsi="Arial"/>
          <w:b/>
          <w:color w:val="0B2545"/>
          <w:sz w:val="18"/>
        </w:rPr>
        <w:t>List item</w:t>
      </w:r>
    </w:p>
    <w:p>
      <w:r>
        <w:rPr>
          <w:rFonts w:ascii="Arial" w:hAnsi="Arial"/>
          <w:i w:val="0"/>
          <w:color w:val="1A2433"/>
          <w:sz w:val="22"/>
        </w:rPr>
        <w:t>Across the Central Valley, farms rely on a varying mix of surface water and groundwater. When surface water is limited, groundwater often helps fill the gap, but when groundwater is restricted, surface supplies usually cannot increase, leading to shortages.</w:t>
      </w:r>
    </w:p>
    <w:p>
      <w:r>
        <w:rPr>
          <w:rFonts w:ascii="Arial" w:hAnsi="Arial"/>
          <w:b/>
          <w:color w:val="0B2545"/>
          <w:sz w:val="18"/>
        </w:rPr>
        <w:t>List item</w:t>
      </w:r>
    </w:p>
    <w:p>
      <w:r>
        <w:rPr>
          <w:rFonts w:ascii="Arial" w:hAnsi="Arial"/>
          <w:i w:val="0"/>
          <w:color w:val="1A2433"/>
          <w:sz w:val="22"/>
        </w:rPr>
        <w:t>Groundwater systems change slowly. Conditions over multiple years (3–5 years) or decades matter more than single wet or dry years.</w:t>
      </w:r>
    </w:p>
    <w:p>
      <w:r>
        <w:rPr>
          <w:rFonts w:ascii="Arial" w:hAnsi="Arial"/>
          <w:b/>
          <w:color w:val="0B2545"/>
          <w:sz w:val="18"/>
        </w:rPr>
        <w:t>List item</w:t>
      </w:r>
    </w:p>
    <w:p>
      <w:r>
        <w:rPr>
          <w:rFonts w:ascii="Arial" w:hAnsi="Arial"/>
          <w:i w:val="0"/>
          <w:color w:val="1A2433"/>
          <w:sz w:val="22"/>
        </w:rPr>
        <w:t>Results reflect long-term patterns across many years, rather than predictions for any one year, and highlight risks when dry conditions persist.</w:t>
      </w:r>
    </w:p>
    <w:p>
      <w:r>
        <w:rPr>
          <w:rFonts w:ascii="Arial" w:hAnsi="Arial"/>
          <w:b/>
          <w:color w:val="0B2545"/>
          <w:sz w:val="18"/>
        </w:rPr>
        <w:t>List item</w:t>
      </w:r>
    </w:p>
    <w:p>
      <w:r>
        <w:rPr>
          <w:rFonts w:ascii="Arial" w:hAnsi="Arial"/>
          <w:i w:val="0"/>
          <w:color w:val="1A2433"/>
          <w:sz w:val="22"/>
        </w:rPr>
        <w:t>Farmers can adapt by shifting crops, using stored water, or retiring farmland, but many of these decisions require long-term planning.</w:t>
      </w:r>
    </w:p>
    <w:p>
      <w:r>
        <w:rPr>
          <w:rFonts w:ascii="Arial" w:hAnsi="Arial"/>
          <w:b/>
          <w:color w:val="0B2545"/>
          <w:sz w:val="18"/>
        </w:rPr>
        <w:t>List item</w:t>
      </w:r>
    </w:p>
    <w:p>
      <w:r>
        <w:rPr>
          <w:rFonts w:ascii="Arial" w:hAnsi="Arial"/>
          <w:i w:val="0"/>
          <w:color w:val="1A2433"/>
          <w:sz w:val="22"/>
        </w:rPr>
        <w:t>Perennial crops (such as nuts and fruit trees) require continuous water and years of investment, making them difficult to adjust in response to short-term shortages.</w:t>
      </w:r>
    </w:p>
    <w:p>
      <w:r>
        <w:rPr>
          <w:rFonts w:ascii="Arial" w:hAnsi="Arial"/>
          <w:b/>
          <w:color w:val="0B2545"/>
          <w:sz w:val="18"/>
        </w:rPr>
        <w:t>List item</w:t>
      </w:r>
    </w:p>
    <w:p>
      <w:r>
        <w:rPr>
          <w:rFonts w:ascii="Arial" w:hAnsi="Arial"/>
          <w:i w:val="0"/>
          <w:color w:val="1A2433"/>
          <w:sz w:val="22"/>
        </w:rPr>
        <w:t>Impacts vary by region. The Sacramento Valley and San Joaquin Valley face different groundwater conditions and constraints, so system-wide averages can mask important local challenges.</w:t>
      </w:r>
    </w:p>
    <w:p>
      <w:r>
        <w:rPr>
          <w:rFonts w:ascii="Arial" w:hAnsi="Arial"/>
          <w:b/>
          <w:color w:val="0B2545"/>
          <w:sz w:val="18"/>
        </w:rPr>
        <w:t>List item</w:t>
      </w:r>
    </w:p>
    <w:p>
      <w:r>
        <w:rPr>
          <w:rFonts w:ascii="Arial" w:hAnsi="Arial"/>
          <w:i w:val="0"/>
          <w:color w:val="1A2433"/>
          <w:sz w:val="22"/>
        </w:rPr>
        <w:t>Some management actions to improve groundwater storage, such as managed aquifer recharge, are not assessed.</w:t>
      </w:r>
    </w:p>
    <w:p>
      <w:pPr>
        <w:pStyle w:val="Heading2"/>
      </w:pPr>
      <w:r>
        <w:rPr>
          <w:rFonts w:ascii="Arial" w:hAnsi="Arial"/>
          <w:b/>
          <w:color w:val="0B2545"/>
          <w:sz w:val="26"/>
        </w:rPr>
        <w:t>5. What management strategies are explored</w:t>
      </w:r>
    </w:p>
    <w:p>
      <w:r>
        <w:rPr>
          <w:rFonts w:ascii="Arial" w:hAnsi="Arial"/>
          <w:b/>
          <w:color w:val="0B2545"/>
          <w:sz w:val="18"/>
        </w:rPr>
        <w:t>¶1</w:t>
      </w:r>
    </w:p>
    <w:p>
      <w:r>
        <w:rPr>
          <w:rFonts w:ascii="Arial" w:hAnsi="Arial"/>
          <w:i w:val="0"/>
          <w:color w:val="1A2433"/>
          <w:sz w:val="22"/>
        </w:rPr>
        <w:t>This theme allows you to explore how different water management choices affect:</w:t>
      </w:r>
    </w:p>
    <w:p>
      <w:r>
        <w:rPr>
          <w:rFonts w:ascii="Arial" w:hAnsi="Arial"/>
          <w:b/>
          <w:color w:val="0B2545"/>
          <w:sz w:val="18"/>
        </w:rPr>
        <w:t>List item</w:t>
      </w:r>
    </w:p>
    <w:p>
      <w:r>
        <w:rPr>
          <w:rFonts w:ascii="Arial" w:hAnsi="Arial"/>
          <w:i w:val="0"/>
          <w:color w:val="1A2433"/>
          <w:sz w:val="22"/>
        </w:rPr>
        <w:t>Agricultural production and revenue</w:t>
      </w:r>
    </w:p>
    <w:p>
      <w:r>
        <w:rPr>
          <w:rFonts w:ascii="Arial" w:hAnsi="Arial"/>
          <w:b/>
          <w:color w:val="0B2545"/>
          <w:sz w:val="18"/>
        </w:rPr>
        <w:t>List item</w:t>
      </w:r>
    </w:p>
    <w:p>
      <w:r>
        <w:rPr>
          <w:rFonts w:ascii="Arial" w:hAnsi="Arial"/>
          <w:i w:val="0"/>
          <w:color w:val="1A2433"/>
          <w:sz w:val="22"/>
        </w:rPr>
        <w:t>Groundwater pumping limits</w:t>
      </w:r>
    </w:p>
    <w:p>
      <w:r>
        <w:rPr>
          <w:rFonts w:ascii="Arial" w:hAnsi="Arial"/>
          <w:b/>
          <w:color w:val="0B2545"/>
          <w:sz w:val="18"/>
        </w:rPr>
        <w:t>List item</w:t>
      </w:r>
    </w:p>
    <w:p>
      <w:r>
        <w:rPr>
          <w:rFonts w:ascii="Arial" w:hAnsi="Arial"/>
          <w:i w:val="0"/>
          <w:color w:val="1A2433"/>
          <w:sz w:val="22"/>
        </w:rPr>
        <w:t>Changes in irrigated acreage</w:t>
      </w:r>
    </w:p>
    <w:p>
      <w:r>
        <w:rPr>
          <w:rFonts w:ascii="Arial" w:hAnsi="Arial"/>
          <w:b/>
          <w:color w:val="0B2545"/>
          <w:sz w:val="18"/>
        </w:rPr>
        <w:t>List item</w:t>
      </w:r>
    </w:p>
    <w:p>
      <w:r>
        <w:rPr>
          <w:rFonts w:ascii="Arial" w:hAnsi="Arial"/>
          <w:i w:val="0"/>
          <w:color w:val="1A2433"/>
          <w:sz w:val="22"/>
        </w:rPr>
        <w:t>Surface water deliveries to farms</w:t>
      </w:r>
    </w:p>
    <w:p>
      <w:r>
        <w:rPr>
          <w:rFonts w:ascii="Arial" w:hAnsi="Arial"/>
          <w:b/>
          <w:color w:val="0B2545"/>
          <w:sz w:val="18"/>
        </w:rPr>
        <w:t>List item</w:t>
      </w:r>
    </w:p>
    <w:p>
      <w:r>
        <w:rPr>
          <w:rFonts w:ascii="Arial" w:hAnsi="Arial"/>
          <w:i w:val="0"/>
          <w:color w:val="1A2433"/>
          <w:sz w:val="22"/>
        </w:rPr>
        <w:t>Reservoir storage patterns</w:t>
      </w:r>
    </w:p>
    <w:p>
      <w:r>
        <w:rPr>
          <w:rFonts w:ascii="Arial" w:hAnsi="Arial"/>
          <w:b/>
          <w:color w:val="0B2545"/>
          <w:sz w:val="18"/>
        </w:rPr>
        <w:t>List item</w:t>
      </w:r>
    </w:p>
    <w:p>
      <w:r>
        <w:rPr>
          <w:rFonts w:ascii="Arial" w:hAnsi="Arial"/>
          <w:i w:val="0"/>
          <w:color w:val="1A2433"/>
          <w:sz w:val="22"/>
        </w:rPr>
        <w:t>Long-term groundwater storage trends</w:t>
      </w:r>
    </w:p>
    <w:p>
      <w:r>
        <w:rPr>
          <w:rFonts w:ascii="Arial" w:hAnsi="Arial"/>
          <w:b/>
          <w:color w:val="0B2545"/>
          <w:sz w:val="18"/>
        </w:rPr>
        <w:t>¶2</w:t>
      </w:r>
    </w:p>
    <w:p>
      <w:r>
        <w:rPr>
          <w:rFonts w:ascii="Arial" w:hAnsi="Arial"/>
          <w:i w:val="0"/>
          <w:color w:val="1A2433"/>
          <w:sz w:val="22"/>
        </w:rPr>
        <w:t>Some scenarios explore groundwater pumping restrictions in the San Joaquin Valley or across the Central Valley. Others explore land-use changes or combined strategies that include both groundwater limits and changes to surface water management. Looking at these strategies together helps reveal how farms respond under different policy, climate, and operational conditions.</w:t>
      </w:r>
    </w:p>
    <w:p>
      <w:pPr>
        <w:pStyle w:val="Heading2"/>
      </w:pPr>
      <w:r>
        <w:rPr>
          <w:rFonts w:ascii="Arial" w:hAnsi="Arial"/>
          <w:b/>
          <w:color w:val="0B2545"/>
          <w:sz w:val="26"/>
        </w:rPr>
        <w:t>6. What the models show</w:t>
      </w:r>
    </w:p>
    <w:p>
      <w:r>
        <w:rPr>
          <w:rFonts w:ascii="Arial" w:hAnsi="Arial"/>
          <w:b/>
          <w:color w:val="0B2545"/>
          <w:sz w:val="18"/>
        </w:rPr>
        <w:t>¶1</w:t>
      </w:r>
    </w:p>
    <w:p>
      <w:r>
        <w:rPr>
          <w:rFonts w:ascii="Arial" w:hAnsi="Arial"/>
          <w:i w:val="0"/>
          <w:color w:val="1A2433"/>
          <w:sz w:val="22"/>
        </w:rPr>
        <w:t>Trade-offs: Restricting groundwater pumping can improve groundwater storage over time but often reduces agricultural revenue in some regions. In some cases, limits in one area may shift pressure to other water sources or regions. Increasing environmental flows also tends to reduce agricultural revenue.</w:t>
      </w:r>
    </w:p>
    <w:p>
      <w:r>
        <w:rPr>
          <w:rFonts w:ascii="Arial" w:hAnsi="Arial"/>
          <w:b/>
          <w:color w:val="0B2545"/>
          <w:sz w:val="18"/>
        </w:rPr>
        <w:t>¶2</w:t>
      </w:r>
    </w:p>
    <w:p>
      <w:r>
        <w:rPr>
          <w:rFonts w:ascii="Arial" w:hAnsi="Arial"/>
          <w:i w:val="0"/>
          <w:color w:val="1A2433"/>
          <w:sz w:val="22"/>
        </w:rPr>
        <w:t>Yellow: current operations (s0020, the baseline). Green: groundwater pumping limits and reduced crop acreage in the Central Valley (s0028). Blue: functional environmental flows (s0046).</w:t>
      </w:r>
    </w:p>
    <w:p>
      <w:r>
        <w:rPr>
          <w:rFonts w:ascii="Arial" w:hAnsi="Arial"/>
          <w:b/>
          <w:color w:val="0B2545"/>
          <w:sz w:val="18"/>
        </w:rPr>
        <w:t>¶3</w:t>
      </w:r>
    </w:p>
    <w:p>
      <w:r>
        <w:rPr>
          <w:rFonts w:ascii="Arial" w:hAnsi="Arial"/>
          <w:i w:val="0"/>
          <w:color w:val="1A2433"/>
          <w:sz w:val="22"/>
        </w:rPr>
        <w:t>Equity: Impacts are not evenly distributed. Adverse impacts affecting agricultural revenue are often concentrated in regions where pumping is restricted. With pumping limits and crop acreage restrictions across the whole valley, agricultural revenue falls more in the Sacramento Valley, while groundwater storage improves across the Central Valley.</w:t>
      </w:r>
    </w:p>
    <w:p>
      <w:r>
        <w:rPr>
          <w:rFonts w:ascii="Arial" w:hAnsi="Arial"/>
          <w:b/>
          <w:color w:val="0B2545"/>
          <w:sz w:val="18"/>
        </w:rPr>
        <w:t>¶4</w:t>
      </w:r>
    </w:p>
    <w:p>
      <w:r>
        <w:rPr>
          <w:rFonts w:ascii="Arial" w:hAnsi="Arial"/>
          <w:i w:val="0"/>
          <w:color w:val="1A2433"/>
          <w:sz w:val="22"/>
        </w:rPr>
        <w:t>Basins with improved groundwater storage under groundwater pumping limits and reduced crop acreage in the Central Valley (s0028).</w:t>
      </w:r>
    </w:p>
    <w:p>
      <w:r>
        <w:rPr>
          <w:rFonts w:ascii="Arial" w:hAnsi="Arial"/>
          <w:b/>
          <w:color w:val="0B2545"/>
          <w:sz w:val="18"/>
        </w:rPr>
        <w:t>¶5</w:t>
      </w:r>
    </w:p>
    <w:p>
      <w:r>
        <w:rPr>
          <w:rFonts w:ascii="Arial" w:hAnsi="Arial"/>
          <w:i w:val="0"/>
          <w:color w:val="1A2433"/>
          <w:sz w:val="22"/>
        </w:rPr>
        <w:t>Declines in agricultural revenue under groundwater pumping limits and reduced crop acreage in the Central Valley (s0028).</w:t>
      </w:r>
    </w:p>
    <w:p>
      <w:r>
        <w:rPr>
          <w:rFonts w:ascii="Arial" w:hAnsi="Arial"/>
          <w:b/>
          <w:color w:val="0B2545"/>
          <w:sz w:val="18"/>
        </w:rPr>
        <w:t>¶6</w:t>
      </w:r>
    </w:p>
    <w:p>
      <w:r>
        <w:rPr>
          <w:rFonts w:ascii="Arial" w:hAnsi="Arial"/>
          <w:i w:val="0"/>
          <w:color w:val="1A2433"/>
          <w:sz w:val="22"/>
        </w:rPr>
        <w:t>Resilience: Resilience in this system means balancing short-term reliability with long-term sustainability. A system that relies heavily on groundwater during drought may maintain production in the short term but risk long-term depletion. A system that stabilizes groundwater but significantly reduces production may face economic challenges. Resilience depends on the ability to adapt to changing conditions while maintaining both agricultural viability and groundwater health. Climate change makes achieving this resilience more challenging. Under warmer and drier conditions, surface water supplies decline, increasing reliance on groundwater just as it is being constrained.</w:t>
      </w:r>
    </w:p>
    <w:p>
      <w:r>
        <w:rPr>
          <w:rFonts w:ascii="Arial" w:hAnsi="Arial"/>
          <w:b/>
          <w:color w:val="0B2545"/>
          <w:sz w:val="18"/>
        </w:rPr>
        <w:t>¶7</w:t>
      </w:r>
    </w:p>
    <w:p>
      <w:r>
        <w:rPr>
          <w:rFonts w:ascii="Arial" w:hAnsi="Arial"/>
          <w:i w:val="0"/>
          <w:color w:val="1A2433"/>
          <w:sz w:val="22"/>
        </w:rPr>
        <w:t>Groundwater pumping limits and reduced crop acreage in the Central Valley (s0028).</w:t>
      </w:r>
    </w:p>
    <w:p>
      <w:pPr>
        <w:pStyle w:val="Heading2"/>
      </w:pPr>
      <w:r>
        <w:rPr>
          <w:rFonts w:ascii="Arial" w:hAnsi="Arial"/>
          <w:b/>
          <w:color w:val="0B2545"/>
          <w:sz w:val="26"/>
        </w:rPr>
        <w:t>7. How to explore this theme further</w:t>
      </w:r>
    </w:p>
    <w:p>
      <w:r>
        <w:rPr>
          <w:rFonts w:ascii="Arial" w:hAnsi="Arial"/>
          <w:b/>
          <w:color w:val="0B2545"/>
          <w:sz w:val="18"/>
        </w:rPr>
        <w:t>¶1</w:t>
      </w:r>
    </w:p>
    <w:p>
      <w:r>
        <w:rPr>
          <w:rFonts w:ascii="Arial" w:hAnsi="Arial"/>
          <w:i w:val="0"/>
          <w:color w:val="1A2433"/>
          <w:sz w:val="22"/>
        </w:rPr>
        <w:t>Explore how different water management choices affect agricultural production, groundwater storage, and water deliveries across regions and climate conditions.</w:t>
      </w:r>
    </w:p>
    <w:p>
      <w:pPr>
        <w:pStyle w:val="Heading2"/>
      </w:pPr>
      <w:r>
        <w:rPr>
          <w:rFonts w:ascii="Arial" w:hAnsi="Arial"/>
          <w:b/>
          <w:color w:val="0B2545"/>
          <w:sz w:val="26"/>
        </w:rPr>
        <w:t>8. Closing line</w:t>
      </w:r>
    </w:p>
    <w:p>
      <w:r>
        <w:rPr>
          <w:rFonts w:ascii="Arial" w:hAnsi="Arial"/>
          <w:b/>
          <w:color w:val="0B2545"/>
          <w:sz w:val="18"/>
        </w:rPr>
        <w:t>¶1</w:t>
      </w:r>
    </w:p>
    <w:p>
      <w:r>
        <w:rPr>
          <w:rFonts w:ascii="Arial" w:hAnsi="Arial"/>
          <w:i w:val="0"/>
          <w:color w:val="1A2433"/>
          <w:sz w:val="22"/>
        </w:rPr>
        <w:t>Together, these views make trade-offs, equity, and resilience visible, providing a shared, data-grounded basis for comparison, discussion,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